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1359" w14:textId="77777777" w:rsidR="00DE385A" w:rsidRPr="00423872" w:rsidRDefault="00DE385A" w:rsidP="00DE385A">
      <w:pPr>
        <w:spacing w:after="120"/>
        <w:rPr>
          <w:sz w:val="28"/>
          <w:szCs w:val="28"/>
        </w:rPr>
      </w:pPr>
      <w:r w:rsidRPr="00423872">
        <w:rPr>
          <w:sz w:val="28"/>
          <w:szCs w:val="28"/>
        </w:rPr>
        <w:t>4.2 Forest Health Agent Writeups</w:t>
      </w:r>
    </w:p>
    <w:p w14:paraId="0EA21CCB" w14:textId="77777777" w:rsidR="006B31E9" w:rsidRDefault="00DE385A" w:rsidP="0027214C">
      <w:pPr>
        <w:spacing w:before="360"/>
        <w:rPr>
          <w:sz w:val="24"/>
          <w:szCs w:val="24"/>
        </w:rPr>
      </w:pPr>
      <w:r>
        <w:rPr>
          <w:sz w:val="24"/>
          <w:szCs w:val="24"/>
        </w:rPr>
        <w:t xml:space="preserve">4.2.1 Mountain Pine Beetle </w:t>
      </w:r>
      <w:r w:rsidR="00CC72D3">
        <w:rPr>
          <w:sz w:val="24"/>
          <w:szCs w:val="24"/>
        </w:rPr>
        <w:t>(IBM)</w:t>
      </w:r>
      <w:r w:rsidR="00423872">
        <w:rPr>
          <w:sz w:val="24"/>
          <w:szCs w:val="24"/>
        </w:rPr>
        <w:tab/>
      </w:r>
      <w:r w:rsidR="00423872">
        <w:rPr>
          <w:sz w:val="24"/>
          <w:szCs w:val="24"/>
        </w:rPr>
        <w:tab/>
      </w:r>
      <w:r w:rsidR="00423872">
        <w:rPr>
          <w:sz w:val="24"/>
          <w:szCs w:val="24"/>
        </w:rPr>
        <w:tab/>
      </w:r>
      <w:r w:rsidR="00423872">
        <w:rPr>
          <w:sz w:val="24"/>
          <w:szCs w:val="24"/>
        </w:rPr>
        <w:tab/>
      </w:r>
      <w:r w:rsidR="00423872">
        <w:rPr>
          <w:sz w:val="24"/>
          <w:szCs w:val="24"/>
        </w:rPr>
        <w:tab/>
      </w:r>
      <w:proofErr w:type="spellStart"/>
      <w:r w:rsidR="00423872" w:rsidRPr="00423872">
        <w:rPr>
          <w:i/>
          <w:iCs/>
          <w:sz w:val="24"/>
          <w:szCs w:val="24"/>
        </w:rPr>
        <w:t>Dendroctonus</w:t>
      </w:r>
      <w:proofErr w:type="spellEnd"/>
      <w:r w:rsidR="00423872" w:rsidRPr="00423872">
        <w:rPr>
          <w:i/>
          <w:iCs/>
          <w:sz w:val="24"/>
          <w:szCs w:val="24"/>
        </w:rPr>
        <w:t xml:space="preserve"> </w:t>
      </w:r>
      <w:proofErr w:type="spellStart"/>
      <w:r w:rsidR="00423872" w:rsidRPr="00423872">
        <w:rPr>
          <w:i/>
          <w:iCs/>
          <w:sz w:val="24"/>
          <w:szCs w:val="24"/>
        </w:rPr>
        <w:t>ponderosae</w:t>
      </w:r>
      <w:proofErr w:type="spellEnd"/>
      <w:r w:rsidR="00423872" w:rsidRPr="00423872">
        <w:rPr>
          <w:sz w:val="24"/>
          <w:szCs w:val="24"/>
        </w:rPr>
        <w:t xml:space="preserve"> (</w:t>
      </w:r>
      <w:proofErr w:type="spellStart"/>
      <w:r w:rsidR="00423872" w:rsidRPr="00423872">
        <w:rPr>
          <w:sz w:val="24"/>
          <w:szCs w:val="24"/>
        </w:rPr>
        <w:t>Hopk</w:t>
      </w:r>
      <w:proofErr w:type="spellEnd"/>
      <w:r w:rsidR="00423872" w:rsidRPr="00423872">
        <w:rPr>
          <w:sz w:val="24"/>
          <w:szCs w:val="24"/>
        </w:rPr>
        <w:t>.)</w:t>
      </w:r>
    </w:p>
    <w:p w14:paraId="7C375AF4" w14:textId="77777777" w:rsidR="00BE22FC" w:rsidRPr="00AF7A8E" w:rsidRDefault="00DE385A" w:rsidP="0027214C">
      <w:pPr>
        <w:spacing w:before="120" w:after="120"/>
        <w:rPr>
          <w:color w:val="FF0000"/>
          <w:u w:val="single"/>
        </w:rPr>
      </w:pPr>
      <w:r w:rsidRPr="00AF7A8E">
        <w:rPr>
          <w:color w:val="FF0000"/>
          <w:u w:val="single"/>
        </w:rPr>
        <w:t>Description</w:t>
      </w:r>
    </w:p>
    <w:p w14:paraId="72A94038" w14:textId="77777777" w:rsidR="00DE385A" w:rsidRDefault="000E36EF" w:rsidP="008B29F4">
      <w:pPr>
        <w:spacing w:after="120"/>
      </w:pPr>
      <w:r>
        <w:t>See Appendices</w:t>
      </w:r>
      <w:r w:rsidR="00317C10">
        <w:t xml:space="preserve"> 1.1 and 1.2</w:t>
      </w:r>
      <w:r w:rsidR="00A0518D">
        <w:t xml:space="preserve"> for </w:t>
      </w:r>
      <w:r w:rsidR="00CC72D3">
        <w:t>description</w:t>
      </w:r>
      <w:r w:rsidR="00A0518D">
        <w:t>s</w:t>
      </w:r>
      <w:r w:rsidR="00CC72D3">
        <w:t xml:space="preserve"> of IBM Life Cycle, Host Susceptibility, Signs &amp; Symptoms, and Damage.</w:t>
      </w:r>
    </w:p>
    <w:p w14:paraId="62118EAA" w14:textId="77777777" w:rsidR="00CC72D3" w:rsidRDefault="008B29F4" w:rsidP="008B29F4">
      <w:pPr>
        <w:pStyle w:val="BodyText3"/>
        <w:spacing w:after="120"/>
      </w:pPr>
      <w:r w:rsidRPr="00C319C7">
        <w:rPr>
          <w:rFonts w:asciiTheme="minorHAnsi" w:hAnsiTheme="minorHAnsi" w:cstheme="minorHAnsi"/>
        </w:rPr>
        <w:t xml:space="preserve">IBM is </w:t>
      </w:r>
      <w:r>
        <w:rPr>
          <w:rFonts w:asciiTheme="minorHAnsi" w:hAnsiTheme="minorHAnsi" w:cstheme="minorHAnsi"/>
        </w:rPr>
        <w:t xml:space="preserve">one of </w:t>
      </w:r>
      <w:r w:rsidRPr="00C319C7">
        <w:rPr>
          <w:rFonts w:asciiTheme="minorHAnsi" w:hAnsiTheme="minorHAnsi" w:cstheme="minorHAnsi"/>
        </w:rPr>
        <w:t>the most destructive insect pest</w:t>
      </w:r>
      <w:r>
        <w:rPr>
          <w:rFonts w:asciiTheme="minorHAnsi" w:hAnsiTheme="minorHAnsi" w:cstheme="minorHAnsi"/>
        </w:rPr>
        <w:t>s</w:t>
      </w:r>
      <w:r w:rsidRPr="00C319C7">
        <w:rPr>
          <w:rFonts w:asciiTheme="minorHAnsi" w:hAnsiTheme="minorHAnsi" w:cstheme="minorHAnsi"/>
        </w:rPr>
        <w:t xml:space="preserve"> of</w:t>
      </w:r>
      <w:r>
        <w:rPr>
          <w:rFonts w:asciiTheme="minorHAnsi" w:hAnsiTheme="minorHAnsi" w:cstheme="minorHAnsi"/>
        </w:rPr>
        <w:t xml:space="preserve"> mature pine in BC. It is a priority forest health agent for Skeena Stikine District </w:t>
      </w:r>
      <w:r w:rsidR="00F62CAE">
        <w:rPr>
          <w:rFonts w:asciiTheme="minorHAnsi" w:hAnsiTheme="minorHAnsi" w:cstheme="minorHAnsi"/>
        </w:rPr>
        <w:t>because</w:t>
      </w:r>
      <w:r w:rsidR="00AF7A8E">
        <w:rPr>
          <w:rFonts w:asciiTheme="minorHAnsi" w:hAnsiTheme="minorHAnsi" w:cstheme="minorHAnsi"/>
        </w:rPr>
        <w:t xml:space="preserve"> there are</w:t>
      </w:r>
      <w:r>
        <w:rPr>
          <w:rFonts w:asciiTheme="minorHAnsi" w:hAnsiTheme="minorHAnsi" w:cstheme="minorHAnsi"/>
        </w:rPr>
        <w:t xml:space="preserve"> large areas of contiguous susceptible forest in each of the TSA’s (pine comprises 20%, 8% and 30%, respectively</w:t>
      </w:r>
      <w:r w:rsidR="00AF7A8E">
        <w:rPr>
          <w:rFonts w:asciiTheme="minorHAnsi" w:hAnsiTheme="minorHAnsi" w:cstheme="minorHAnsi"/>
        </w:rPr>
        <w:t>,</w:t>
      </w:r>
      <w:r>
        <w:rPr>
          <w:rFonts w:asciiTheme="minorHAnsi" w:hAnsiTheme="minorHAnsi" w:cstheme="minorHAnsi"/>
        </w:rPr>
        <w:t xml:space="preserve"> of </w:t>
      </w:r>
      <w:proofErr w:type="spellStart"/>
      <w:r>
        <w:rPr>
          <w:rFonts w:asciiTheme="minorHAnsi" w:hAnsiTheme="minorHAnsi" w:cstheme="minorHAnsi"/>
        </w:rPr>
        <w:t>Bulkley</w:t>
      </w:r>
      <w:proofErr w:type="spellEnd"/>
      <w:r>
        <w:rPr>
          <w:rFonts w:asciiTheme="minorHAnsi" w:hAnsiTheme="minorHAnsi" w:cstheme="minorHAnsi"/>
        </w:rPr>
        <w:t xml:space="preserve">, Kispiox, and </w:t>
      </w:r>
      <w:proofErr w:type="spellStart"/>
      <w:r>
        <w:rPr>
          <w:rFonts w:asciiTheme="minorHAnsi" w:hAnsiTheme="minorHAnsi" w:cstheme="minorHAnsi"/>
        </w:rPr>
        <w:t>Cassiar</w:t>
      </w:r>
      <w:proofErr w:type="spellEnd"/>
      <w:r>
        <w:rPr>
          <w:rFonts w:asciiTheme="minorHAnsi" w:hAnsiTheme="minorHAnsi" w:cstheme="minorHAnsi"/>
        </w:rPr>
        <w:t xml:space="preserve"> TSA’s forested </w:t>
      </w:r>
      <w:proofErr w:type="spellStart"/>
      <w:r>
        <w:rPr>
          <w:rFonts w:asciiTheme="minorHAnsi" w:hAnsiTheme="minorHAnsi" w:cstheme="minorHAnsi"/>
        </w:rPr>
        <w:t>landbases</w:t>
      </w:r>
      <w:proofErr w:type="spellEnd"/>
      <w:r>
        <w:rPr>
          <w:rFonts w:asciiTheme="minorHAnsi" w:hAnsiTheme="minorHAnsi" w:cstheme="minorHAnsi"/>
        </w:rPr>
        <w:t xml:space="preserve">), and </w:t>
      </w:r>
      <w:r w:rsidR="00C62093">
        <w:rPr>
          <w:rFonts w:asciiTheme="minorHAnsi" w:hAnsiTheme="minorHAnsi" w:cstheme="minorHAnsi"/>
        </w:rPr>
        <w:t>because of recent</w:t>
      </w:r>
      <w:r w:rsidR="00F62CAE">
        <w:rPr>
          <w:rFonts w:asciiTheme="minorHAnsi" w:hAnsiTheme="minorHAnsi" w:cstheme="minorHAnsi"/>
        </w:rPr>
        <w:t xml:space="preserve"> </w:t>
      </w:r>
      <w:r>
        <w:rPr>
          <w:rFonts w:asciiTheme="minorHAnsi" w:hAnsiTheme="minorHAnsi" w:cstheme="minorHAnsi"/>
        </w:rPr>
        <w:t xml:space="preserve">high incidence levels in </w:t>
      </w:r>
      <w:proofErr w:type="spellStart"/>
      <w:r>
        <w:rPr>
          <w:rFonts w:asciiTheme="minorHAnsi" w:hAnsiTheme="minorHAnsi" w:cstheme="minorHAnsi"/>
        </w:rPr>
        <w:t>Bulkley</w:t>
      </w:r>
      <w:proofErr w:type="spellEnd"/>
      <w:r>
        <w:rPr>
          <w:rFonts w:asciiTheme="minorHAnsi" w:hAnsiTheme="minorHAnsi" w:cstheme="minorHAnsi"/>
        </w:rPr>
        <w:t xml:space="preserve"> TSA. </w:t>
      </w:r>
    </w:p>
    <w:p w14:paraId="569B065E" w14:textId="77777777" w:rsidR="00CC72D3" w:rsidRPr="00AF7A8E" w:rsidRDefault="000E36EF" w:rsidP="008B29F4">
      <w:pPr>
        <w:spacing w:before="240" w:after="120"/>
        <w:rPr>
          <w:color w:val="FF0000"/>
          <w:u w:val="single"/>
        </w:rPr>
      </w:pPr>
      <w:r>
        <w:rPr>
          <w:color w:val="FF0000"/>
          <w:u w:val="single"/>
        </w:rPr>
        <w:br/>
      </w:r>
      <w:r w:rsidR="00CC72D3" w:rsidRPr="00AF7A8E">
        <w:rPr>
          <w:color w:val="FF0000"/>
          <w:u w:val="single"/>
        </w:rPr>
        <w:t>Extent</w:t>
      </w:r>
    </w:p>
    <w:p w14:paraId="14503299" w14:textId="77777777" w:rsidR="008B29F4" w:rsidRDefault="002F35A9" w:rsidP="008B29F4">
      <w:pPr>
        <w:pStyle w:val="BodyText3"/>
        <w:spacing w:after="120"/>
        <w:rPr>
          <w:rFonts w:asciiTheme="minorHAnsi" w:hAnsiTheme="minorHAnsi" w:cstheme="minorHAnsi"/>
          <w:szCs w:val="22"/>
        </w:rPr>
      </w:pPr>
      <w:r w:rsidRPr="00305242">
        <w:rPr>
          <w:rFonts w:asciiTheme="minorHAnsi" w:hAnsiTheme="minorHAnsi" w:cstheme="minorHAnsi"/>
        </w:rPr>
        <w:t xml:space="preserve">There has been a history of IBM infestation in </w:t>
      </w:r>
      <w:proofErr w:type="spellStart"/>
      <w:r w:rsidRPr="00305242">
        <w:rPr>
          <w:rFonts w:asciiTheme="minorHAnsi" w:hAnsiTheme="minorHAnsi" w:cstheme="minorHAnsi"/>
        </w:rPr>
        <w:t>Bulkley</w:t>
      </w:r>
      <w:proofErr w:type="spellEnd"/>
      <w:r w:rsidRPr="00305242">
        <w:rPr>
          <w:rFonts w:asciiTheme="minorHAnsi" w:hAnsiTheme="minorHAnsi" w:cstheme="minorHAnsi"/>
        </w:rPr>
        <w:t xml:space="preserve"> TSA. In the 1970’s and </w:t>
      </w:r>
      <w:r w:rsidR="008B29F4">
        <w:rPr>
          <w:rFonts w:asciiTheme="minorHAnsi" w:hAnsiTheme="minorHAnsi" w:cstheme="minorHAnsi"/>
        </w:rPr>
        <w:t>19</w:t>
      </w:r>
      <w:r w:rsidRPr="00305242">
        <w:rPr>
          <w:rFonts w:asciiTheme="minorHAnsi" w:hAnsiTheme="minorHAnsi" w:cstheme="minorHAnsi"/>
        </w:rPr>
        <w:t>80’s</w:t>
      </w:r>
      <w:r w:rsidR="008B29F4">
        <w:rPr>
          <w:rFonts w:asciiTheme="minorHAnsi" w:hAnsiTheme="minorHAnsi" w:cstheme="minorHAnsi"/>
        </w:rPr>
        <w:t>,</w:t>
      </w:r>
      <w:r w:rsidRPr="00305242">
        <w:rPr>
          <w:rFonts w:asciiTheme="minorHAnsi" w:hAnsiTheme="minorHAnsi" w:cstheme="minorHAnsi"/>
        </w:rPr>
        <w:t xml:space="preserve"> </w:t>
      </w:r>
      <w:r w:rsidR="009C53E5">
        <w:rPr>
          <w:rFonts w:asciiTheme="minorHAnsi" w:hAnsiTheme="minorHAnsi" w:cstheme="minorHAnsi"/>
        </w:rPr>
        <w:t xml:space="preserve">IBM </w:t>
      </w:r>
      <w:r w:rsidRPr="00305242">
        <w:rPr>
          <w:rFonts w:asciiTheme="minorHAnsi" w:hAnsiTheme="minorHAnsi" w:cstheme="minorHAnsi"/>
        </w:rPr>
        <w:t xml:space="preserve">infestation caused extensive pine mortality in the Chapman and Coffin Lake areas. </w:t>
      </w:r>
      <w:r>
        <w:rPr>
          <w:rFonts w:asciiTheme="minorHAnsi" w:hAnsiTheme="minorHAnsi" w:cstheme="minorHAnsi"/>
        </w:rPr>
        <w:t>From 2003-</w:t>
      </w:r>
      <w:r w:rsidRPr="00305242">
        <w:rPr>
          <w:rFonts w:asciiTheme="minorHAnsi" w:hAnsiTheme="minorHAnsi" w:cstheme="minorHAnsi"/>
        </w:rPr>
        <w:t xml:space="preserve">2012, portions of both Kispiox and </w:t>
      </w:r>
      <w:proofErr w:type="spellStart"/>
      <w:r w:rsidRPr="00305242">
        <w:rPr>
          <w:rFonts w:asciiTheme="minorHAnsi" w:hAnsiTheme="minorHAnsi" w:cstheme="minorHAnsi"/>
        </w:rPr>
        <w:t>Bulkley</w:t>
      </w:r>
      <w:proofErr w:type="spellEnd"/>
      <w:r w:rsidRPr="00305242">
        <w:rPr>
          <w:rFonts w:asciiTheme="minorHAnsi" w:hAnsiTheme="minorHAnsi" w:cstheme="minorHAnsi"/>
        </w:rPr>
        <w:t xml:space="preserve"> TSA were included in the provincial Emergency Bark Beetle Management Area (EBBMA) established </w:t>
      </w:r>
      <w:r w:rsidR="008B29F4">
        <w:rPr>
          <w:rFonts w:asciiTheme="minorHAnsi" w:hAnsiTheme="minorHAnsi" w:cstheme="minorHAnsi"/>
        </w:rPr>
        <w:t xml:space="preserve">via the </w:t>
      </w:r>
      <w:r w:rsidR="008B29F4" w:rsidRPr="008B29F4">
        <w:rPr>
          <w:rFonts w:asciiTheme="minorHAnsi" w:hAnsiTheme="minorHAnsi" w:cstheme="minorHAnsi"/>
          <w:i/>
        </w:rPr>
        <w:t>Forest Practices Code</w:t>
      </w:r>
      <w:r w:rsidR="008B29F4">
        <w:rPr>
          <w:rFonts w:asciiTheme="minorHAnsi" w:hAnsiTheme="minorHAnsi" w:cstheme="minorHAnsi"/>
        </w:rPr>
        <w:t xml:space="preserve"> Bark Beetle Regulation </w:t>
      </w:r>
      <w:r w:rsidRPr="00305242">
        <w:rPr>
          <w:rFonts w:asciiTheme="minorHAnsi" w:hAnsiTheme="minorHAnsi" w:cstheme="minorHAnsi"/>
        </w:rPr>
        <w:t>to address the recent epidemic. S</w:t>
      </w:r>
      <w:r w:rsidRPr="00305242">
        <w:rPr>
          <w:rFonts w:asciiTheme="minorHAnsi" w:hAnsiTheme="minorHAnsi" w:cstheme="minorHAnsi"/>
          <w:szCs w:val="22"/>
        </w:rPr>
        <w:t>trong westerly prevailing winds</w:t>
      </w:r>
      <w:r w:rsidR="00AF7A8E">
        <w:rPr>
          <w:rFonts w:asciiTheme="minorHAnsi" w:hAnsiTheme="minorHAnsi" w:cstheme="minorHAnsi"/>
          <w:szCs w:val="22"/>
        </w:rPr>
        <w:t xml:space="preserve"> and </w:t>
      </w:r>
      <w:r w:rsidR="00652D28">
        <w:rPr>
          <w:rFonts w:asciiTheme="minorHAnsi" w:hAnsiTheme="minorHAnsi" w:cstheme="minorHAnsi"/>
          <w:szCs w:val="22"/>
        </w:rPr>
        <w:t>geographic</w:t>
      </w:r>
      <w:r w:rsidR="00AF7A8E">
        <w:rPr>
          <w:rFonts w:asciiTheme="minorHAnsi" w:hAnsiTheme="minorHAnsi" w:cstheme="minorHAnsi"/>
          <w:szCs w:val="22"/>
        </w:rPr>
        <w:t xml:space="preserve"> barriers</w:t>
      </w:r>
      <w:r w:rsidRPr="00305242">
        <w:rPr>
          <w:rFonts w:asciiTheme="minorHAnsi" w:hAnsiTheme="minorHAnsi" w:cstheme="minorHAnsi"/>
          <w:szCs w:val="22"/>
        </w:rPr>
        <w:t xml:space="preserve"> slowed </w:t>
      </w:r>
      <w:r>
        <w:rPr>
          <w:rFonts w:asciiTheme="minorHAnsi" w:hAnsiTheme="minorHAnsi" w:cstheme="minorHAnsi"/>
          <w:szCs w:val="22"/>
        </w:rPr>
        <w:t xml:space="preserve">IBM </w:t>
      </w:r>
      <w:r w:rsidRPr="00305242">
        <w:rPr>
          <w:rFonts w:asciiTheme="minorHAnsi" w:hAnsiTheme="minorHAnsi" w:cstheme="minorHAnsi"/>
          <w:szCs w:val="22"/>
        </w:rPr>
        <w:t>spread</w:t>
      </w:r>
      <w:r>
        <w:rPr>
          <w:rFonts w:asciiTheme="minorHAnsi" w:hAnsiTheme="minorHAnsi" w:cstheme="minorHAnsi"/>
          <w:szCs w:val="22"/>
        </w:rPr>
        <w:t xml:space="preserve"> from the epicentre</w:t>
      </w:r>
      <w:r w:rsidRPr="00305242">
        <w:rPr>
          <w:rFonts w:asciiTheme="minorHAnsi" w:hAnsiTheme="minorHAnsi" w:cstheme="minorHAnsi"/>
          <w:szCs w:val="22"/>
        </w:rPr>
        <w:t xml:space="preserve">, but waves </w:t>
      </w:r>
      <w:r>
        <w:rPr>
          <w:rFonts w:asciiTheme="minorHAnsi" w:hAnsiTheme="minorHAnsi" w:cstheme="minorHAnsi"/>
          <w:szCs w:val="22"/>
        </w:rPr>
        <w:t>of attack occur</w:t>
      </w:r>
      <w:r w:rsidR="0094302E">
        <w:rPr>
          <w:rFonts w:asciiTheme="minorHAnsi" w:hAnsiTheme="minorHAnsi" w:cstheme="minorHAnsi"/>
          <w:szCs w:val="22"/>
        </w:rPr>
        <w:t>ring</w:t>
      </w:r>
      <w:r w:rsidR="002E7FA1">
        <w:rPr>
          <w:rFonts w:asciiTheme="minorHAnsi" w:hAnsiTheme="minorHAnsi" w:cstheme="minorHAnsi"/>
          <w:szCs w:val="22"/>
        </w:rPr>
        <w:t xml:space="preserve"> between 2003 and </w:t>
      </w:r>
      <w:r w:rsidRPr="00305242">
        <w:rPr>
          <w:rFonts w:asciiTheme="minorHAnsi" w:hAnsiTheme="minorHAnsi" w:cstheme="minorHAnsi"/>
          <w:szCs w:val="22"/>
        </w:rPr>
        <w:t>2008</w:t>
      </w:r>
      <w:r w:rsidR="0094302E">
        <w:rPr>
          <w:rFonts w:asciiTheme="minorHAnsi" w:hAnsiTheme="minorHAnsi" w:cstheme="minorHAnsi"/>
          <w:szCs w:val="22"/>
        </w:rPr>
        <w:t xml:space="preserve"> resulted</w:t>
      </w:r>
      <w:r w:rsidRPr="00305242">
        <w:rPr>
          <w:rFonts w:asciiTheme="minorHAnsi" w:hAnsiTheme="minorHAnsi" w:cstheme="minorHAnsi"/>
          <w:szCs w:val="22"/>
        </w:rPr>
        <w:t xml:space="preserve"> in </w:t>
      </w:r>
      <w:r>
        <w:rPr>
          <w:rFonts w:asciiTheme="minorHAnsi" w:hAnsiTheme="minorHAnsi" w:cstheme="minorHAnsi"/>
          <w:szCs w:val="22"/>
        </w:rPr>
        <w:t xml:space="preserve">significant </w:t>
      </w:r>
      <w:r w:rsidRPr="00305242">
        <w:rPr>
          <w:rFonts w:asciiTheme="minorHAnsi" w:hAnsiTheme="minorHAnsi" w:cstheme="minorHAnsi"/>
          <w:szCs w:val="22"/>
        </w:rPr>
        <w:t xml:space="preserve">infestation and mortality in south and east central </w:t>
      </w:r>
      <w:proofErr w:type="spellStart"/>
      <w:r w:rsidRPr="00305242">
        <w:rPr>
          <w:rFonts w:asciiTheme="minorHAnsi" w:hAnsiTheme="minorHAnsi" w:cstheme="minorHAnsi"/>
          <w:szCs w:val="22"/>
        </w:rPr>
        <w:t>Bulkley</w:t>
      </w:r>
      <w:proofErr w:type="spellEnd"/>
      <w:r w:rsidRPr="00305242">
        <w:rPr>
          <w:rFonts w:asciiTheme="minorHAnsi" w:hAnsiTheme="minorHAnsi" w:cstheme="minorHAnsi"/>
          <w:szCs w:val="22"/>
        </w:rPr>
        <w:t xml:space="preserve"> landscape units.</w:t>
      </w:r>
      <w:r>
        <w:rPr>
          <w:rFonts w:asciiTheme="minorHAnsi" w:hAnsiTheme="minorHAnsi" w:cstheme="minorHAnsi"/>
          <w:szCs w:val="22"/>
        </w:rPr>
        <w:t xml:space="preserve"> </w:t>
      </w:r>
    </w:p>
    <w:p w14:paraId="63B1C104" w14:textId="77777777" w:rsidR="002F35A9" w:rsidRPr="00305242" w:rsidRDefault="002F35A9" w:rsidP="008B29F4">
      <w:pPr>
        <w:pStyle w:val="BodyText3"/>
        <w:spacing w:after="120"/>
        <w:rPr>
          <w:rFonts w:asciiTheme="minorHAnsi" w:hAnsiTheme="minorHAnsi" w:cstheme="minorHAnsi"/>
        </w:rPr>
      </w:pPr>
      <w:r>
        <w:rPr>
          <w:rFonts w:asciiTheme="minorHAnsi" w:hAnsiTheme="minorHAnsi" w:cstheme="minorHAnsi"/>
          <w:szCs w:val="22"/>
        </w:rPr>
        <w:t xml:space="preserve">It is </w:t>
      </w:r>
      <w:r w:rsidR="0018355F">
        <w:rPr>
          <w:rFonts w:asciiTheme="minorHAnsi" w:hAnsiTheme="minorHAnsi" w:cstheme="minorHAnsi"/>
          <w:szCs w:val="22"/>
        </w:rPr>
        <w:t xml:space="preserve">widely </w:t>
      </w:r>
      <w:r>
        <w:rPr>
          <w:rFonts w:asciiTheme="minorHAnsi" w:hAnsiTheme="minorHAnsi" w:cstheme="minorHAnsi"/>
          <w:szCs w:val="22"/>
        </w:rPr>
        <w:t xml:space="preserve">understood that the epidemic has </w:t>
      </w:r>
      <w:r w:rsidR="001F1A8A">
        <w:rPr>
          <w:rFonts w:asciiTheme="minorHAnsi" w:hAnsiTheme="minorHAnsi" w:cstheme="minorHAnsi"/>
          <w:szCs w:val="22"/>
        </w:rPr>
        <w:t>subsided</w:t>
      </w:r>
      <w:r w:rsidR="009C53E5">
        <w:rPr>
          <w:rFonts w:asciiTheme="minorHAnsi" w:hAnsiTheme="minorHAnsi" w:cstheme="minorHAnsi"/>
          <w:szCs w:val="22"/>
        </w:rPr>
        <w:t xml:space="preserve">, </w:t>
      </w:r>
      <w:r w:rsidR="0094302E">
        <w:rPr>
          <w:rFonts w:asciiTheme="minorHAnsi" w:hAnsiTheme="minorHAnsi" w:cstheme="minorHAnsi"/>
          <w:szCs w:val="22"/>
        </w:rPr>
        <w:t>with</w:t>
      </w:r>
      <w:r w:rsidR="009C53E5">
        <w:rPr>
          <w:rFonts w:asciiTheme="minorHAnsi" w:hAnsiTheme="minorHAnsi" w:cstheme="minorHAnsi"/>
          <w:szCs w:val="22"/>
        </w:rPr>
        <w:t xml:space="preserve"> pine mortality in </w:t>
      </w:r>
      <w:proofErr w:type="spellStart"/>
      <w:r w:rsidR="009C53E5">
        <w:rPr>
          <w:rFonts w:asciiTheme="minorHAnsi" w:hAnsiTheme="minorHAnsi" w:cstheme="minorHAnsi"/>
          <w:szCs w:val="22"/>
        </w:rPr>
        <w:t>Bulkley</w:t>
      </w:r>
      <w:proofErr w:type="spellEnd"/>
      <w:r w:rsidR="009C53E5">
        <w:rPr>
          <w:rFonts w:asciiTheme="minorHAnsi" w:hAnsiTheme="minorHAnsi" w:cstheme="minorHAnsi"/>
          <w:szCs w:val="22"/>
        </w:rPr>
        <w:t xml:space="preserve"> TSA </w:t>
      </w:r>
      <w:r w:rsidR="0094302E">
        <w:rPr>
          <w:rFonts w:asciiTheme="minorHAnsi" w:hAnsiTheme="minorHAnsi" w:cstheme="minorHAnsi"/>
          <w:szCs w:val="22"/>
        </w:rPr>
        <w:t>peaking</w:t>
      </w:r>
      <w:r w:rsidR="009C53E5">
        <w:rPr>
          <w:rFonts w:asciiTheme="minorHAnsi" w:hAnsiTheme="minorHAnsi" w:cstheme="minorHAnsi"/>
          <w:szCs w:val="22"/>
        </w:rPr>
        <w:t xml:space="preserve"> in 2011</w:t>
      </w:r>
      <w:r w:rsidR="0094302E">
        <w:rPr>
          <w:rStyle w:val="FootnoteReference"/>
          <w:rFonts w:asciiTheme="minorHAnsi" w:hAnsiTheme="minorHAnsi" w:cstheme="minorHAnsi"/>
          <w:szCs w:val="22"/>
        </w:rPr>
        <w:footnoteReference w:id="1"/>
      </w:r>
      <w:r>
        <w:rPr>
          <w:rFonts w:asciiTheme="minorHAnsi" w:hAnsiTheme="minorHAnsi" w:cstheme="minorHAnsi"/>
          <w:szCs w:val="22"/>
        </w:rPr>
        <w:t>.</w:t>
      </w:r>
    </w:p>
    <w:p w14:paraId="3546A174" w14:textId="77777777" w:rsidR="002F35A9" w:rsidRDefault="0029081E" w:rsidP="0027214C">
      <w:pPr>
        <w:spacing w:after="360"/>
        <w:rPr>
          <w:rFonts w:asciiTheme="minorHAnsi" w:hAnsiTheme="minorHAnsi" w:cstheme="minorHAnsi"/>
        </w:rPr>
      </w:pPr>
      <w:r>
        <w:t>Map 2</w:t>
      </w:r>
      <w:r w:rsidR="00CC72D3">
        <w:t xml:space="preserve"> shows areas and points of </w:t>
      </w:r>
      <w:r w:rsidR="002F35A9">
        <w:t xml:space="preserve">known </w:t>
      </w:r>
      <w:r w:rsidR="00CC72D3">
        <w:t>current incidence</w:t>
      </w:r>
      <w:r w:rsidR="00A0518D">
        <w:t>,</w:t>
      </w:r>
      <w:r w:rsidR="00CC72D3">
        <w:t xml:space="preserve"> against a background of </w:t>
      </w:r>
      <w:r w:rsidR="00A0518D">
        <w:t xml:space="preserve">forest </w:t>
      </w:r>
      <w:r w:rsidR="002F35A9">
        <w:t xml:space="preserve">classified as </w:t>
      </w:r>
      <w:r w:rsidR="00A0518D">
        <w:t xml:space="preserve">high </w:t>
      </w:r>
      <w:r w:rsidR="002F35A9">
        <w:t>to</w:t>
      </w:r>
      <w:r w:rsidR="00A0518D">
        <w:t xml:space="preserve"> very high IBM hazard (</w:t>
      </w:r>
      <w:proofErr w:type="gramStart"/>
      <w:r w:rsidR="00A0518D">
        <w:t>i.e.</w:t>
      </w:r>
      <w:proofErr w:type="gramEnd"/>
      <w:r w:rsidR="00A0518D">
        <w:t xml:space="preserve"> highly susceptible types)</w:t>
      </w:r>
      <w:r w:rsidR="002F35A9">
        <w:rPr>
          <w:rStyle w:val="FootnoteReference"/>
        </w:rPr>
        <w:footnoteReference w:id="2"/>
      </w:r>
      <w:r w:rsidR="00CC72D3">
        <w:t>. Table</w:t>
      </w:r>
      <w:r w:rsidR="0027214C">
        <w:t>/Figure</w:t>
      </w:r>
      <w:r w:rsidR="00CC72D3">
        <w:t xml:space="preserve"> XX </w:t>
      </w:r>
      <w:r w:rsidR="0027214C">
        <w:t>show</w:t>
      </w:r>
      <w:r w:rsidR="00CC72D3">
        <w:t xml:space="preserve"> </w:t>
      </w:r>
      <w:r w:rsidR="00A0518D">
        <w:t xml:space="preserve">current </w:t>
      </w:r>
      <w:r w:rsidR="00CC72D3">
        <w:t xml:space="preserve">incidence trends </w:t>
      </w:r>
      <w:r w:rsidR="00C319C7">
        <w:t xml:space="preserve">by TSA, </w:t>
      </w:r>
      <w:r w:rsidR="004D5100">
        <w:t>from 201</w:t>
      </w:r>
      <w:r w:rsidR="007A5FC3">
        <w:t>1</w:t>
      </w:r>
      <w:r w:rsidR="004D5100">
        <w:t xml:space="preserve"> to 2015</w:t>
      </w:r>
      <w:r w:rsidR="0027214C">
        <w:t>,</w:t>
      </w:r>
      <w:r w:rsidR="007A5FC3">
        <w:rPr>
          <w:rFonts w:asciiTheme="minorHAnsi" w:hAnsiTheme="minorHAnsi" w:cstheme="minorHAnsi"/>
        </w:rPr>
        <w:t xml:space="preserve"> highlighting general declines since 2011 and relatively</w:t>
      </w:r>
      <w:r w:rsidR="009C53E5">
        <w:rPr>
          <w:rFonts w:asciiTheme="minorHAnsi" w:hAnsiTheme="minorHAnsi" w:cstheme="minorHAnsi"/>
        </w:rPr>
        <w:t xml:space="preserve"> low current incidence levels</w:t>
      </w:r>
      <w:r w:rsidR="0018355F">
        <w:rPr>
          <w:rFonts w:asciiTheme="minorHAnsi" w:hAnsiTheme="minorHAnsi" w:cstheme="minorHAnsi"/>
        </w:rPr>
        <w:t>.</w:t>
      </w:r>
      <w:r w:rsidR="000E36EF">
        <w:rPr>
          <w:rFonts w:asciiTheme="minorHAnsi" w:hAnsiTheme="minorHAnsi" w:cstheme="minorHAnsi"/>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6156"/>
      </w:tblGrid>
      <w:tr w:rsidR="0027214C" w14:paraId="49906494" w14:textId="77777777" w:rsidTr="007A5FC3">
        <w:tc>
          <w:tcPr>
            <w:tcW w:w="4820" w:type="dxa"/>
          </w:tcPr>
          <w:p w14:paraId="71ACA14D" w14:textId="77777777" w:rsidR="0027214C" w:rsidRPr="00405CAD" w:rsidRDefault="0027214C" w:rsidP="0027214C">
            <w:pPr>
              <w:pStyle w:val="BodyText3"/>
              <w:spacing w:after="120"/>
              <w:rPr>
                <w:rFonts w:asciiTheme="minorHAnsi" w:hAnsiTheme="minorHAnsi" w:cstheme="minorHAnsi"/>
                <w:i/>
              </w:rPr>
            </w:pPr>
            <w:r w:rsidRPr="00405CAD">
              <w:rPr>
                <w:rFonts w:asciiTheme="minorHAnsi" w:hAnsiTheme="minorHAnsi" w:cstheme="minorHAnsi"/>
                <w:i/>
                <w:szCs w:val="22"/>
              </w:rPr>
              <w:t>Table</w:t>
            </w:r>
            <w:r w:rsidR="00C96145">
              <w:rPr>
                <w:rFonts w:asciiTheme="minorHAnsi" w:hAnsiTheme="minorHAnsi" w:cstheme="minorHAnsi"/>
                <w:i/>
                <w:szCs w:val="22"/>
              </w:rPr>
              <w:t xml:space="preserve">/Figure </w:t>
            </w:r>
            <w:r w:rsidRPr="00405CAD">
              <w:rPr>
                <w:rFonts w:asciiTheme="minorHAnsi" w:hAnsiTheme="minorHAnsi" w:cstheme="minorHAnsi"/>
                <w:i/>
                <w:szCs w:val="22"/>
              </w:rPr>
              <w:t xml:space="preserve">XX: Provincial Annual Overview Survey </w:t>
            </w:r>
            <w:r w:rsidR="001F1A8A">
              <w:rPr>
                <w:rFonts w:asciiTheme="minorHAnsi" w:hAnsiTheme="minorHAnsi" w:cstheme="minorHAnsi"/>
                <w:i/>
                <w:szCs w:val="22"/>
              </w:rPr>
              <w:t>(P</w:t>
            </w:r>
            <w:r>
              <w:rPr>
                <w:rFonts w:asciiTheme="minorHAnsi" w:hAnsiTheme="minorHAnsi" w:cstheme="minorHAnsi"/>
                <w:i/>
                <w:szCs w:val="22"/>
              </w:rPr>
              <w:t>A</w:t>
            </w:r>
            <w:r w:rsidR="001F1A8A">
              <w:rPr>
                <w:rFonts w:asciiTheme="minorHAnsi" w:hAnsiTheme="minorHAnsi" w:cstheme="minorHAnsi"/>
                <w:i/>
                <w:szCs w:val="22"/>
              </w:rPr>
              <w:t>O</w:t>
            </w:r>
            <w:r>
              <w:rPr>
                <w:rFonts w:asciiTheme="minorHAnsi" w:hAnsiTheme="minorHAnsi" w:cstheme="minorHAnsi"/>
                <w:i/>
                <w:szCs w:val="22"/>
              </w:rPr>
              <w:t xml:space="preserve">S) </w:t>
            </w:r>
            <w:r w:rsidR="004D5100">
              <w:rPr>
                <w:rFonts w:asciiTheme="minorHAnsi" w:hAnsiTheme="minorHAnsi" w:cstheme="minorHAnsi"/>
                <w:i/>
                <w:szCs w:val="22"/>
              </w:rPr>
              <w:t>Summary, 201</w:t>
            </w:r>
            <w:r w:rsidR="007A5FC3">
              <w:rPr>
                <w:rFonts w:asciiTheme="minorHAnsi" w:hAnsiTheme="minorHAnsi" w:cstheme="minorHAnsi"/>
                <w:i/>
                <w:szCs w:val="22"/>
              </w:rPr>
              <w:t>1</w:t>
            </w:r>
            <w:r w:rsidRPr="00405CAD">
              <w:rPr>
                <w:rFonts w:asciiTheme="minorHAnsi" w:hAnsiTheme="minorHAnsi" w:cstheme="minorHAnsi"/>
                <w:i/>
                <w:szCs w:val="22"/>
              </w:rPr>
              <w:t>-201</w:t>
            </w:r>
            <w:r w:rsidR="004D5100">
              <w:rPr>
                <w:rFonts w:asciiTheme="minorHAnsi" w:hAnsiTheme="minorHAnsi" w:cstheme="minorHAnsi"/>
                <w:i/>
                <w:szCs w:val="22"/>
              </w:rPr>
              <w:t>5</w:t>
            </w:r>
            <w:r>
              <w:rPr>
                <w:rStyle w:val="FootnoteReference"/>
                <w:rFonts w:asciiTheme="minorHAnsi" w:hAnsiTheme="minorHAnsi" w:cstheme="minorHAnsi"/>
                <w:i/>
                <w:szCs w:val="22"/>
              </w:rPr>
              <w:footnoteReference w:id="3"/>
            </w:r>
          </w:p>
          <w:tbl>
            <w:tblPr>
              <w:tblW w:w="4474" w:type="dxa"/>
              <w:tblInd w:w="93" w:type="dxa"/>
              <w:tblLook w:val="04A0" w:firstRow="1" w:lastRow="0" w:firstColumn="1" w:lastColumn="0" w:noHBand="0" w:noVBand="1"/>
            </w:tblPr>
            <w:tblGrid>
              <w:gridCol w:w="866"/>
              <w:gridCol w:w="774"/>
              <w:gridCol w:w="785"/>
              <w:gridCol w:w="709"/>
              <w:gridCol w:w="709"/>
              <w:gridCol w:w="663"/>
            </w:tblGrid>
            <w:tr w:rsidR="007A5FC3" w:rsidRPr="00405CAD" w14:paraId="27C4B02C" w14:textId="77777777" w:rsidTr="00AC6067">
              <w:trPr>
                <w:trHeight w:val="288"/>
              </w:trPr>
              <w:tc>
                <w:tcPr>
                  <w:tcW w:w="866" w:type="dxa"/>
                  <w:tcBorders>
                    <w:top w:val="nil"/>
                    <w:left w:val="nil"/>
                    <w:bottom w:val="single" w:sz="4" w:space="0" w:color="auto"/>
                    <w:right w:val="single" w:sz="4" w:space="0" w:color="auto"/>
                  </w:tcBorders>
                  <w:shd w:val="clear" w:color="auto" w:fill="auto"/>
                  <w:noWrap/>
                  <w:vAlign w:val="bottom"/>
                  <w:hideMark/>
                </w:tcPr>
                <w:p w14:paraId="06B4EFBA" w14:textId="77777777" w:rsidR="007A5FC3" w:rsidRPr="00405CAD" w:rsidRDefault="007A5FC3" w:rsidP="00BE22FC">
                  <w:pPr>
                    <w:rPr>
                      <w:rFonts w:eastAsia="Times New Roman"/>
                      <w:color w:val="000000"/>
                      <w:lang w:eastAsia="en-CA"/>
                    </w:rPr>
                  </w:pPr>
                  <w:r w:rsidRPr="00405CAD">
                    <w:rPr>
                      <w:rFonts w:eastAsia="Times New Roman"/>
                      <w:color w:val="000000"/>
                      <w:lang w:eastAsia="en-CA"/>
                    </w:rPr>
                    <w:t> </w:t>
                  </w:r>
                </w:p>
              </w:tc>
              <w:tc>
                <w:tcPr>
                  <w:tcW w:w="3608" w:type="dxa"/>
                  <w:gridSpan w:val="5"/>
                  <w:tcBorders>
                    <w:top w:val="single" w:sz="4" w:space="0" w:color="auto"/>
                    <w:left w:val="nil"/>
                    <w:bottom w:val="single" w:sz="4" w:space="0" w:color="auto"/>
                    <w:right w:val="single" w:sz="4" w:space="0" w:color="auto"/>
                  </w:tcBorders>
                  <w:shd w:val="clear" w:color="auto" w:fill="auto"/>
                  <w:noWrap/>
                  <w:vAlign w:val="bottom"/>
                  <w:hideMark/>
                </w:tcPr>
                <w:p w14:paraId="665D63A5" w14:textId="77777777" w:rsidR="007A5FC3" w:rsidRPr="00405CAD" w:rsidRDefault="007A5FC3" w:rsidP="00BE22FC">
                  <w:pPr>
                    <w:jc w:val="center"/>
                    <w:rPr>
                      <w:rFonts w:eastAsia="Times New Roman"/>
                      <w:b/>
                      <w:bCs/>
                      <w:color w:val="000000"/>
                      <w:lang w:eastAsia="en-CA"/>
                    </w:rPr>
                  </w:pPr>
                  <w:r w:rsidRPr="00405CAD">
                    <w:rPr>
                      <w:rFonts w:eastAsia="Times New Roman"/>
                      <w:b/>
                      <w:bCs/>
                      <w:color w:val="000000"/>
                      <w:lang w:eastAsia="en-CA"/>
                    </w:rPr>
                    <w:t>IBM - Affected/Killed Area (ha), by Year</w:t>
                  </w:r>
                </w:p>
              </w:tc>
            </w:tr>
            <w:tr w:rsidR="007A5FC3" w:rsidRPr="00405CAD" w14:paraId="7F715870" w14:textId="77777777" w:rsidTr="001E5AFB">
              <w:trPr>
                <w:trHeight w:val="288"/>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FA74BCB" w14:textId="77777777" w:rsidR="007A5FC3" w:rsidRPr="00405CAD" w:rsidRDefault="007A5FC3" w:rsidP="00BE22FC">
                  <w:pPr>
                    <w:jc w:val="center"/>
                    <w:rPr>
                      <w:rFonts w:eastAsia="Times New Roman"/>
                      <w:b/>
                      <w:bCs/>
                      <w:color w:val="FF0000"/>
                      <w:lang w:eastAsia="en-CA"/>
                    </w:rPr>
                  </w:pPr>
                  <w:r w:rsidRPr="00405CAD">
                    <w:rPr>
                      <w:rFonts w:eastAsia="Times New Roman"/>
                      <w:b/>
                      <w:bCs/>
                      <w:color w:val="FF0000"/>
                      <w:lang w:eastAsia="en-CA"/>
                    </w:rPr>
                    <w:t>Timber Supply Area</w:t>
                  </w:r>
                </w:p>
              </w:tc>
              <w:tc>
                <w:tcPr>
                  <w:tcW w:w="774" w:type="dxa"/>
                  <w:tcBorders>
                    <w:top w:val="nil"/>
                    <w:left w:val="nil"/>
                    <w:bottom w:val="single" w:sz="4" w:space="0" w:color="auto"/>
                    <w:right w:val="single" w:sz="4" w:space="0" w:color="auto"/>
                  </w:tcBorders>
                  <w:shd w:val="clear" w:color="auto" w:fill="auto"/>
                  <w:noWrap/>
                  <w:vAlign w:val="bottom"/>
                  <w:hideMark/>
                </w:tcPr>
                <w:p w14:paraId="10139359" w14:textId="77777777" w:rsidR="007A5FC3" w:rsidRPr="00405CAD" w:rsidRDefault="007A5FC3" w:rsidP="003B25D3">
                  <w:pPr>
                    <w:jc w:val="center"/>
                    <w:rPr>
                      <w:rFonts w:eastAsia="Times New Roman"/>
                      <w:b/>
                      <w:bCs/>
                      <w:color w:val="FF0000"/>
                      <w:lang w:eastAsia="en-CA"/>
                    </w:rPr>
                  </w:pPr>
                  <w:r>
                    <w:rPr>
                      <w:rFonts w:eastAsia="Times New Roman"/>
                      <w:b/>
                      <w:bCs/>
                      <w:color w:val="FF0000"/>
                      <w:lang w:eastAsia="en-CA"/>
                    </w:rPr>
                    <w:t>2011</w:t>
                  </w:r>
                </w:p>
              </w:tc>
              <w:tc>
                <w:tcPr>
                  <w:tcW w:w="785" w:type="dxa"/>
                  <w:tcBorders>
                    <w:top w:val="nil"/>
                    <w:left w:val="nil"/>
                    <w:bottom w:val="single" w:sz="4" w:space="0" w:color="auto"/>
                    <w:right w:val="single" w:sz="4" w:space="0" w:color="auto"/>
                  </w:tcBorders>
                  <w:shd w:val="clear" w:color="auto" w:fill="auto"/>
                  <w:noWrap/>
                  <w:vAlign w:val="bottom"/>
                  <w:hideMark/>
                </w:tcPr>
                <w:p w14:paraId="5A0886B0" w14:textId="77777777" w:rsidR="007A5FC3" w:rsidRPr="00405CAD" w:rsidRDefault="007A5FC3" w:rsidP="003B25D3">
                  <w:pPr>
                    <w:jc w:val="center"/>
                    <w:rPr>
                      <w:rFonts w:eastAsia="Times New Roman"/>
                      <w:b/>
                      <w:bCs/>
                      <w:color w:val="FF0000"/>
                      <w:lang w:eastAsia="en-CA"/>
                    </w:rPr>
                  </w:pPr>
                  <w:r w:rsidRPr="00405CAD">
                    <w:rPr>
                      <w:rFonts w:eastAsia="Times New Roman"/>
                      <w:b/>
                      <w:bCs/>
                      <w:color w:val="FF0000"/>
                      <w:lang w:eastAsia="en-CA"/>
                    </w:rPr>
                    <w:t>2012</w:t>
                  </w:r>
                </w:p>
              </w:tc>
              <w:tc>
                <w:tcPr>
                  <w:tcW w:w="709" w:type="dxa"/>
                  <w:tcBorders>
                    <w:top w:val="nil"/>
                    <w:left w:val="nil"/>
                    <w:bottom w:val="single" w:sz="4" w:space="0" w:color="auto"/>
                    <w:right w:val="single" w:sz="4" w:space="0" w:color="auto"/>
                  </w:tcBorders>
                  <w:shd w:val="clear" w:color="auto" w:fill="auto"/>
                  <w:noWrap/>
                  <w:vAlign w:val="bottom"/>
                  <w:hideMark/>
                </w:tcPr>
                <w:p w14:paraId="1423E11C" w14:textId="77777777" w:rsidR="007A5FC3" w:rsidRPr="00405CAD" w:rsidRDefault="007A5FC3" w:rsidP="003B25D3">
                  <w:pPr>
                    <w:jc w:val="center"/>
                    <w:rPr>
                      <w:rFonts w:eastAsia="Times New Roman"/>
                      <w:b/>
                      <w:bCs/>
                      <w:color w:val="FF0000"/>
                      <w:lang w:eastAsia="en-CA"/>
                    </w:rPr>
                  </w:pPr>
                  <w:r w:rsidRPr="00405CAD">
                    <w:rPr>
                      <w:rFonts w:eastAsia="Times New Roman"/>
                      <w:b/>
                      <w:bCs/>
                      <w:color w:val="FF0000"/>
                      <w:lang w:eastAsia="en-CA"/>
                    </w:rPr>
                    <w:t>2013</w:t>
                  </w:r>
                </w:p>
              </w:tc>
              <w:tc>
                <w:tcPr>
                  <w:tcW w:w="709" w:type="dxa"/>
                  <w:tcBorders>
                    <w:top w:val="nil"/>
                    <w:left w:val="nil"/>
                    <w:bottom w:val="single" w:sz="4" w:space="0" w:color="auto"/>
                    <w:right w:val="single" w:sz="4" w:space="0" w:color="auto"/>
                  </w:tcBorders>
                  <w:shd w:val="clear" w:color="auto" w:fill="auto"/>
                  <w:noWrap/>
                  <w:vAlign w:val="bottom"/>
                </w:tcPr>
                <w:p w14:paraId="3F7FBA7A" w14:textId="77777777" w:rsidR="007A5FC3" w:rsidRPr="00405CAD" w:rsidRDefault="007A5FC3" w:rsidP="003B25D3">
                  <w:pPr>
                    <w:jc w:val="center"/>
                    <w:rPr>
                      <w:rFonts w:eastAsia="Times New Roman"/>
                      <w:b/>
                      <w:bCs/>
                      <w:color w:val="FF0000"/>
                      <w:lang w:eastAsia="en-CA"/>
                    </w:rPr>
                  </w:pPr>
                  <w:r w:rsidRPr="00405CAD">
                    <w:rPr>
                      <w:rFonts w:eastAsia="Times New Roman"/>
                      <w:b/>
                      <w:bCs/>
                      <w:color w:val="FF0000"/>
                      <w:lang w:eastAsia="en-CA"/>
                    </w:rPr>
                    <w:t>2014</w:t>
                  </w:r>
                </w:p>
              </w:tc>
              <w:tc>
                <w:tcPr>
                  <w:tcW w:w="631" w:type="dxa"/>
                  <w:tcBorders>
                    <w:top w:val="nil"/>
                    <w:left w:val="nil"/>
                    <w:bottom w:val="single" w:sz="4" w:space="0" w:color="auto"/>
                    <w:right w:val="single" w:sz="4" w:space="0" w:color="auto"/>
                  </w:tcBorders>
                  <w:vAlign w:val="bottom"/>
                </w:tcPr>
                <w:p w14:paraId="2221A2DA" w14:textId="77777777" w:rsidR="007A5FC3" w:rsidRPr="00405CAD" w:rsidRDefault="007A5FC3" w:rsidP="003B25D3">
                  <w:pPr>
                    <w:jc w:val="center"/>
                    <w:rPr>
                      <w:rFonts w:eastAsia="Times New Roman"/>
                      <w:b/>
                      <w:bCs/>
                      <w:color w:val="FF0000"/>
                      <w:lang w:eastAsia="en-CA"/>
                    </w:rPr>
                  </w:pPr>
                  <w:r>
                    <w:rPr>
                      <w:rFonts w:eastAsia="Times New Roman"/>
                      <w:b/>
                      <w:bCs/>
                      <w:color w:val="FF0000"/>
                      <w:lang w:eastAsia="en-CA"/>
                    </w:rPr>
                    <w:t>2015</w:t>
                  </w:r>
                </w:p>
              </w:tc>
            </w:tr>
            <w:tr w:rsidR="007A5FC3" w:rsidRPr="00405CAD" w14:paraId="0379D4BA" w14:textId="77777777" w:rsidTr="007A5FC3">
              <w:trPr>
                <w:trHeight w:val="288"/>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A5AB953" w14:textId="77777777" w:rsidR="007A5FC3" w:rsidRPr="00405CAD" w:rsidRDefault="007A5FC3" w:rsidP="00BE22FC">
                  <w:pPr>
                    <w:jc w:val="center"/>
                    <w:rPr>
                      <w:rFonts w:eastAsia="Times New Roman"/>
                      <w:color w:val="000000"/>
                      <w:lang w:eastAsia="en-CA"/>
                    </w:rPr>
                  </w:pPr>
                  <w:proofErr w:type="spellStart"/>
                  <w:r w:rsidRPr="00405CAD">
                    <w:rPr>
                      <w:rFonts w:eastAsia="Times New Roman"/>
                      <w:color w:val="000000"/>
                      <w:lang w:eastAsia="en-CA"/>
                    </w:rPr>
                    <w:t>Bulkley</w:t>
                  </w:r>
                  <w:proofErr w:type="spellEnd"/>
                </w:p>
              </w:tc>
              <w:tc>
                <w:tcPr>
                  <w:tcW w:w="774" w:type="dxa"/>
                  <w:tcBorders>
                    <w:top w:val="nil"/>
                    <w:left w:val="nil"/>
                    <w:bottom w:val="single" w:sz="4" w:space="0" w:color="auto"/>
                    <w:right w:val="single" w:sz="4" w:space="0" w:color="auto"/>
                  </w:tcBorders>
                  <w:shd w:val="clear" w:color="auto" w:fill="auto"/>
                  <w:noWrap/>
                  <w:vAlign w:val="bottom"/>
                </w:tcPr>
                <w:p w14:paraId="458469B6" w14:textId="77777777" w:rsidR="007A5FC3" w:rsidRPr="00405CAD" w:rsidRDefault="007A5FC3" w:rsidP="003B25D3">
                  <w:pPr>
                    <w:jc w:val="right"/>
                    <w:rPr>
                      <w:rFonts w:eastAsia="Times New Roman"/>
                      <w:color w:val="000000"/>
                      <w:lang w:eastAsia="en-CA"/>
                    </w:rPr>
                  </w:pPr>
                  <w:r>
                    <w:rPr>
                      <w:rFonts w:eastAsia="Times New Roman"/>
                      <w:color w:val="000000"/>
                      <w:lang w:eastAsia="en-CA"/>
                    </w:rPr>
                    <w:t>10690</w:t>
                  </w:r>
                </w:p>
              </w:tc>
              <w:tc>
                <w:tcPr>
                  <w:tcW w:w="785" w:type="dxa"/>
                  <w:tcBorders>
                    <w:top w:val="nil"/>
                    <w:left w:val="nil"/>
                    <w:bottom w:val="single" w:sz="4" w:space="0" w:color="auto"/>
                    <w:right w:val="single" w:sz="4" w:space="0" w:color="auto"/>
                  </w:tcBorders>
                  <w:shd w:val="clear" w:color="auto" w:fill="auto"/>
                  <w:noWrap/>
                  <w:vAlign w:val="bottom"/>
                  <w:hideMark/>
                </w:tcPr>
                <w:p w14:paraId="03D84CAE"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7091</w:t>
                  </w:r>
                </w:p>
              </w:tc>
              <w:tc>
                <w:tcPr>
                  <w:tcW w:w="709" w:type="dxa"/>
                  <w:tcBorders>
                    <w:top w:val="nil"/>
                    <w:left w:val="nil"/>
                    <w:bottom w:val="single" w:sz="4" w:space="0" w:color="auto"/>
                    <w:right w:val="single" w:sz="4" w:space="0" w:color="auto"/>
                  </w:tcBorders>
                  <w:shd w:val="clear" w:color="auto" w:fill="auto"/>
                  <w:noWrap/>
                  <w:vAlign w:val="bottom"/>
                  <w:hideMark/>
                </w:tcPr>
                <w:p w14:paraId="1C024F5C"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3797</w:t>
                  </w:r>
                </w:p>
              </w:tc>
              <w:tc>
                <w:tcPr>
                  <w:tcW w:w="709" w:type="dxa"/>
                  <w:tcBorders>
                    <w:top w:val="nil"/>
                    <w:left w:val="nil"/>
                    <w:bottom w:val="single" w:sz="4" w:space="0" w:color="auto"/>
                    <w:right w:val="single" w:sz="4" w:space="0" w:color="auto"/>
                  </w:tcBorders>
                  <w:shd w:val="clear" w:color="auto" w:fill="auto"/>
                  <w:noWrap/>
                  <w:vAlign w:val="bottom"/>
                </w:tcPr>
                <w:p w14:paraId="1FAB2CFA"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623</w:t>
                  </w:r>
                </w:p>
              </w:tc>
              <w:tc>
                <w:tcPr>
                  <w:tcW w:w="631" w:type="dxa"/>
                  <w:tcBorders>
                    <w:top w:val="nil"/>
                    <w:left w:val="nil"/>
                    <w:bottom w:val="single" w:sz="4" w:space="0" w:color="auto"/>
                    <w:right w:val="single" w:sz="4" w:space="0" w:color="auto"/>
                  </w:tcBorders>
                  <w:vAlign w:val="bottom"/>
                </w:tcPr>
                <w:p w14:paraId="04E94146" w14:textId="77777777" w:rsidR="007A5FC3" w:rsidRPr="00405CAD" w:rsidRDefault="007A5FC3" w:rsidP="003B25D3">
                  <w:pPr>
                    <w:jc w:val="right"/>
                    <w:rPr>
                      <w:rFonts w:eastAsia="Times New Roman"/>
                      <w:color w:val="000000"/>
                      <w:lang w:eastAsia="en-CA"/>
                    </w:rPr>
                  </w:pPr>
                  <w:r>
                    <w:rPr>
                      <w:rFonts w:eastAsia="Times New Roman"/>
                      <w:color w:val="000000"/>
                      <w:lang w:eastAsia="en-CA"/>
                    </w:rPr>
                    <w:t>765</w:t>
                  </w:r>
                </w:p>
              </w:tc>
            </w:tr>
            <w:tr w:rsidR="007A5FC3" w:rsidRPr="00405CAD" w14:paraId="040B2172" w14:textId="77777777" w:rsidTr="007A5FC3">
              <w:trPr>
                <w:trHeight w:val="288"/>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73E2A32E" w14:textId="77777777" w:rsidR="007A5FC3" w:rsidRPr="00405CAD" w:rsidRDefault="007A5FC3" w:rsidP="00BE22FC">
                  <w:pPr>
                    <w:jc w:val="center"/>
                    <w:rPr>
                      <w:rFonts w:eastAsia="Times New Roman"/>
                      <w:color w:val="000000"/>
                      <w:lang w:eastAsia="en-CA"/>
                    </w:rPr>
                  </w:pPr>
                  <w:r w:rsidRPr="00405CAD">
                    <w:rPr>
                      <w:rFonts w:eastAsia="Times New Roman"/>
                      <w:color w:val="000000"/>
                      <w:lang w:eastAsia="en-CA"/>
                    </w:rPr>
                    <w:t>Kispiox</w:t>
                  </w:r>
                </w:p>
              </w:tc>
              <w:tc>
                <w:tcPr>
                  <w:tcW w:w="774" w:type="dxa"/>
                  <w:tcBorders>
                    <w:top w:val="nil"/>
                    <w:left w:val="nil"/>
                    <w:bottom w:val="single" w:sz="4" w:space="0" w:color="auto"/>
                    <w:right w:val="single" w:sz="4" w:space="0" w:color="auto"/>
                  </w:tcBorders>
                  <w:shd w:val="clear" w:color="auto" w:fill="auto"/>
                  <w:noWrap/>
                  <w:vAlign w:val="bottom"/>
                </w:tcPr>
                <w:p w14:paraId="589B2414" w14:textId="77777777" w:rsidR="007A5FC3" w:rsidRPr="00405CAD" w:rsidRDefault="007A5FC3" w:rsidP="003B25D3">
                  <w:pPr>
                    <w:jc w:val="right"/>
                    <w:rPr>
                      <w:rFonts w:eastAsia="Times New Roman"/>
                      <w:color w:val="000000"/>
                      <w:lang w:eastAsia="en-CA"/>
                    </w:rPr>
                  </w:pPr>
                  <w:r>
                    <w:rPr>
                      <w:rFonts w:eastAsia="Times New Roman"/>
                      <w:color w:val="000000"/>
                      <w:lang w:eastAsia="en-CA"/>
                    </w:rPr>
                    <w:t>1033</w:t>
                  </w:r>
                </w:p>
              </w:tc>
              <w:tc>
                <w:tcPr>
                  <w:tcW w:w="785" w:type="dxa"/>
                  <w:tcBorders>
                    <w:top w:val="nil"/>
                    <w:left w:val="nil"/>
                    <w:bottom w:val="single" w:sz="4" w:space="0" w:color="auto"/>
                    <w:right w:val="single" w:sz="4" w:space="0" w:color="auto"/>
                  </w:tcBorders>
                  <w:shd w:val="clear" w:color="auto" w:fill="auto"/>
                  <w:noWrap/>
                  <w:vAlign w:val="bottom"/>
                  <w:hideMark/>
                </w:tcPr>
                <w:p w14:paraId="52C40395"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845</w:t>
                  </w:r>
                </w:p>
              </w:tc>
              <w:tc>
                <w:tcPr>
                  <w:tcW w:w="709" w:type="dxa"/>
                  <w:tcBorders>
                    <w:top w:val="nil"/>
                    <w:left w:val="nil"/>
                    <w:bottom w:val="single" w:sz="4" w:space="0" w:color="auto"/>
                    <w:right w:val="single" w:sz="4" w:space="0" w:color="auto"/>
                  </w:tcBorders>
                  <w:shd w:val="clear" w:color="auto" w:fill="auto"/>
                  <w:noWrap/>
                  <w:vAlign w:val="bottom"/>
                  <w:hideMark/>
                </w:tcPr>
                <w:p w14:paraId="44CA4FAF"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342</w:t>
                  </w:r>
                </w:p>
              </w:tc>
              <w:tc>
                <w:tcPr>
                  <w:tcW w:w="709" w:type="dxa"/>
                  <w:tcBorders>
                    <w:top w:val="nil"/>
                    <w:left w:val="nil"/>
                    <w:bottom w:val="single" w:sz="4" w:space="0" w:color="auto"/>
                    <w:right w:val="single" w:sz="4" w:space="0" w:color="auto"/>
                  </w:tcBorders>
                  <w:shd w:val="clear" w:color="auto" w:fill="auto"/>
                  <w:noWrap/>
                  <w:vAlign w:val="bottom"/>
                </w:tcPr>
                <w:p w14:paraId="205FBD46"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456</w:t>
                  </w:r>
                </w:p>
              </w:tc>
              <w:tc>
                <w:tcPr>
                  <w:tcW w:w="631" w:type="dxa"/>
                  <w:tcBorders>
                    <w:top w:val="nil"/>
                    <w:left w:val="nil"/>
                    <w:bottom w:val="single" w:sz="4" w:space="0" w:color="auto"/>
                    <w:right w:val="single" w:sz="4" w:space="0" w:color="auto"/>
                  </w:tcBorders>
                  <w:vAlign w:val="bottom"/>
                </w:tcPr>
                <w:p w14:paraId="13ECF1F6" w14:textId="77777777" w:rsidR="007A5FC3" w:rsidRPr="00405CAD" w:rsidRDefault="007A5FC3" w:rsidP="003B25D3">
                  <w:pPr>
                    <w:jc w:val="right"/>
                    <w:rPr>
                      <w:rFonts w:eastAsia="Times New Roman"/>
                      <w:color w:val="000000"/>
                      <w:lang w:eastAsia="en-CA"/>
                    </w:rPr>
                  </w:pPr>
                  <w:r>
                    <w:rPr>
                      <w:rFonts w:eastAsia="Times New Roman"/>
                      <w:color w:val="000000"/>
                      <w:lang w:eastAsia="en-CA"/>
                    </w:rPr>
                    <w:t>4</w:t>
                  </w:r>
                </w:p>
              </w:tc>
            </w:tr>
            <w:tr w:rsidR="007A5FC3" w:rsidRPr="00405CAD" w14:paraId="22461E7A" w14:textId="77777777" w:rsidTr="007A5FC3">
              <w:trPr>
                <w:trHeight w:val="288"/>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A0EB2EF" w14:textId="77777777" w:rsidR="007A5FC3" w:rsidRPr="00405CAD" w:rsidRDefault="007A5FC3" w:rsidP="00BE22FC">
                  <w:pPr>
                    <w:jc w:val="center"/>
                    <w:rPr>
                      <w:rFonts w:eastAsia="Times New Roman"/>
                      <w:color w:val="000000"/>
                      <w:lang w:eastAsia="en-CA"/>
                    </w:rPr>
                  </w:pPr>
                  <w:proofErr w:type="spellStart"/>
                  <w:r w:rsidRPr="00405CAD">
                    <w:rPr>
                      <w:rFonts w:eastAsia="Times New Roman"/>
                      <w:color w:val="000000"/>
                      <w:lang w:eastAsia="en-CA"/>
                    </w:rPr>
                    <w:t>Cassiar</w:t>
                  </w:r>
                  <w:proofErr w:type="spellEnd"/>
                </w:p>
              </w:tc>
              <w:tc>
                <w:tcPr>
                  <w:tcW w:w="774" w:type="dxa"/>
                  <w:tcBorders>
                    <w:top w:val="nil"/>
                    <w:left w:val="nil"/>
                    <w:bottom w:val="single" w:sz="4" w:space="0" w:color="auto"/>
                    <w:right w:val="single" w:sz="4" w:space="0" w:color="auto"/>
                  </w:tcBorders>
                  <w:shd w:val="clear" w:color="auto" w:fill="auto"/>
                  <w:noWrap/>
                  <w:vAlign w:val="bottom"/>
                </w:tcPr>
                <w:p w14:paraId="60F34E38" w14:textId="77777777" w:rsidR="007A5FC3" w:rsidRPr="00405CAD" w:rsidRDefault="007A5FC3" w:rsidP="003B25D3">
                  <w:pPr>
                    <w:jc w:val="right"/>
                    <w:rPr>
                      <w:rFonts w:eastAsia="Times New Roman"/>
                      <w:color w:val="000000"/>
                      <w:lang w:eastAsia="en-CA"/>
                    </w:rPr>
                  </w:pPr>
                  <w:r>
                    <w:rPr>
                      <w:rFonts w:eastAsia="Times New Roman"/>
                      <w:color w:val="000000"/>
                      <w:lang w:eastAsia="en-CA"/>
                    </w:rPr>
                    <w:t>5</w:t>
                  </w:r>
                </w:p>
              </w:tc>
              <w:tc>
                <w:tcPr>
                  <w:tcW w:w="785" w:type="dxa"/>
                  <w:tcBorders>
                    <w:top w:val="nil"/>
                    <w:left w:val="nil"/>
                    <w:bottom w:val="single" w:sz="4" w:space="0" w:color="auto"/>
                    <w:right w:val="single" w:sz="4" w:space="0" w:color="auto"/>
                  </w:tcBorders>
                  <w:shd w:val="clear" w:color="auto" w:fill="auto"/>
                  <w:noWrap/>
                  <w:vAlign w:val="bottom"/>
                  <w:hideMark/>
                </w:tcPr>
                <w:p w14:paraId="710C9A8D"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73</w:t>
                  </w:r>
                </w:p>
              </w:tc>
              <w:tc>
                <w:tcPr>
                  <w:tcW w:w="709" w:type="dxa"/>
                  <w:tcBorders>
                    <w:top w:val="nil"/>
                    <w:left w:val="nil"/>
                    <w:bottom w:val="single" w:sz="4" w:space="0" w:color="auto"/>
                    <w:right w:val="single" w:sz="4" w:space="0" w:color="auto"/>
                  </w:tcBorders>
                  <w:shd w:val="clear" w:color="auto" w:fill="auto"/>
                  <w:noWrap/>
                  <w:vAlign w:val="bottom"/>
                  <w:hideMark/>
                </w:tcPr>
                <w:p w14:paraId="0B91F5C2"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44</w:t>
                  </w:r>
                </w:p>
              </w:tc>
              <w:tc>
                <w:tcPr>
                  <w:tcW w:w="709" w:type="dxa"/>
                  <w:tcBorders>
                    <w:top w:val="nil"/>
                    <w:left w:val="nil"/>
                    <w:bottom w:val="single" w:sz="4" w:space="0" w:color="auto"/>
                    <w:right w:val="single" w:sz="4" w:space="0" w:color="auto"/>
                  </w:tcBorders>
                  <w:shd w:val="clear" w:color="auto" w:fill="auto"/>
                  <w:noWrap/>
                  <w:vAlign w:val="bottom"/>
                </w:tcPr>
                <w:p w14:paraId="798DC18E" w14:textId="77777777" w:rsidR="007A5FC3" w:rsidRPr="00405CAD" w:rsidRDefault="007A5FC3" w:rsidP="003B25D3">
                  <w:pPr>
                    <w:jc w:val="right"/>
                    <w:rPr>
                      <w:rFonts w:eastAsia="Times New Roman"/>
                      <w:color w:val="000000"/>
                      <w:lang w:eastAsia="en-CA"/>
                    </w:rPr>
                  </w:pPr>
                  <w:r w:rsidRPr="00405CAD">
                    <w:rPr>
                      <w:rFonts w:eastAsia="Times New Roman"/>
                      <w:color w:val="000000"/>
                      <w:lang w:eastAsia="en-CA"/>
                    </w:rPr>
                    <w:t>18</w:t>
                  </w:r>
                </w:p>
              </w:tc>
              <w:tc>
                <w:tcPr>
                  <w:tcW w:w="631" w:type="dxa"/>
                  <w:tcBorders>
                    <w:top w:val="nil"/>
                    <w:left w:val="nil"/>
                    <w:bottom w:val="single" w:sz="4" w:space="0" w:color="auto"/>
                    <w:right w:val="single" w:sz="4" w:space="0" w:color="auto"/>
                  </w:tcBorders>
                  <w:vAlign w:val="bottom"/>
                </w:tcPr>
                <w:p w14:paraId="4E4759A0" w14:textId="77777777" w:rsidR="007A5FC3" w:rsidRPr="00405CAD" w:rsidRDefault="007A5FC3" w:rsidP="003B25D3">
                  <w:pPr>
                    <w:jc w:val="right"/>
                    <w:rPr>
                      <w:rFonts w:eastAsia="Times New Roman"/>
                      <w:color w:val="000000"/>
                      <w:lang w:eastAsia="en-CA"/>
                    </w:rPr>
                  </w:pPr>
                  <w:r>
                    <w:rPr>
                      <w:rFonts w:eastAsia="Times New Roman"/>
                      <w:color w:val="000000"/>
                      <w:lang w:eastAsia="en-CA"/>
                    </w:rPr>
                    <w:t>0</w:t>
                  </w:r>
                </w:p>
              </w:tc>
            </w:tr>
            <w:tr w:rsidR="007A5FC3" w:rsidRPr="00405CAD" w14:paraId="54E6E8AC" w14:textId="77777777" w:rsidTr="007A5FC3">
              <w:trPr>
                <w:trHeight w:val="288"/>
              </w:trPr>
              <w:tc>
                <w:tcPr>
                  <w:tcW w:w="866" w:type="dxa"/>
                  <w:tcBorders>
                    <w:top w:val="nil"/>
                    <w:left w:val="nil"/>
                    <w:bottom w:val="nil"/>
                    <w:right w:val="nil"/>
                  </w:tcBorders>
                  <w:shd w:val="clear" w:color="auto" w:fill="auto"/>
                  <w:noWrap/>
                  <w:vAlign w:val="bottom"/>
                  <w:hideMark/>
                </w:tcPr>
                <w:p w14:paraId="770BEF81" w14:textId="77777777" w:rsidR="007A5FC3" w:rsidRPr="00405CAD" w:rsidRDefault="007A5FC3" w:rsidP="00BE22FC">
                  <w:pPr>
                    <w:jc w:val="right"/>
                    <w:rPr>
                      <w:rFonts w:eastAsia="Times New Roman"/>
                      <w:color w:val="000000"/>
                      <w:sz w:val="18"/>
                      <w:szCs w:val="18"/>
                      <w:lang w:eastAsia="en-CA"/>
                    </w:rPr>
                  </w:pPr>
                  <w:r w:rsidRPr="00405CAD">
                    <w:rPr>
                      <w:rFonts w:eastAsia="Times New Roman"/>
                      <w:color w:val="000000"/>
                      <w:sz w:val="18"/>
                      <w:szCs w:val="18"/>
                      <w:lang w:eastAsia="en-CA"/>
                    </w:rPr>
                    <w:t>Totals:</w:t>
                  </w:r>
                </w:p>
              </w:tc>
              <w:tc>
                <w:tcPr>
                  <w:tcW w:w="774" w:type="dxa"/>
                  <w:tcBorders>
                    <w:top w:val="nil"/>
                    <w:left w:val="nil"/>
                    <w:bottom w:val="nil"/>
                    <w:right w:val="nil"/>
                  </w:tcBorders>
                  <w:shd w:val="clear" w:color="auto" w:fill="auto"/>
                  <w:noWrap/>
                  <w:vAlign w:val="bottom"/>
                </w:tcPr>
                <w:p w14:paraId="1FF0291E" w14:textId="77777777" w:rsidR="007A5FC3" w:rsidRPr="00405CAD" w:rsidRDefault="007A5FC3" w:rsidP="00BE22FC">
                  <w:pPr>
                    <w:jc w:val="right"/>
                    <w:rPr>
                      <w:rFonts w:eastAsia="Times New Roman"/>
                      <w:color w:val="000000"/>
                      <w:sz w:val="18"/>
                      <w:szCs w:val="18"/>
                      <w:lang w:eastAsia="en-CA"/>
                    </w:rPr>
                  </w:pPr>
                  <w:r>
                    <w:rPr>
                      <w:rFonts w:eastAsia="Times New Roman"/>
                      <w:color w:val="000000"/>
                      <w:sz w:val="18"/>
                      <w:szCs w:val="18"/>
                      <w:lang w:eastAsia="en-CA"/>
                    </w:rPr>
                    <w:t>11727</w:t>
                  </w:r>
                </w:p>
              </w:tc>
              <w:tc>
                <w:tcPr>
                  <w:tcW w:w="785" w:type="dxa"/>
                  <w:tcBorders>
                    <w:top w:val="nil"/>
                    <w:left w:val="nil"/>
                    <w:bottom w:val="nil"/>
                    <w:right w:val="nil"/>
                  </w:tcBorders>
                  <w:shd w:val="clear" w:color="auto" w:fill="auto"/>
                  <w:noWrap/>
                  <w:vAlign w:val="bottom"/>
                  <w:hideMark/>
                </w:tcPr>
                <w:p w14:paraId="5B66241C" w14:textId="77777777" w:rsidR="007A5FC3" w:rsidRPr="00405CAD" w:rsidRDefault="007A5FC3" w:rsidP="003B25D3">
                  <w:pPr>
                    <w:jc w:val="right"/>
                    <w:rPr>
                      <w:rFonts w:eastAsia="Times New Roman"/>
                      <w:color w:val="000000"/>
                      <w:sz w:val="18"/>
                      <w:szCs w:val="18"/>
                      <w:lang w:eastAsia="en-CA"/>
                    </w:rPr>
                  </w:pPr>
                  <w:r>
                    <w:rPr>
                      <w:rFonts w:eastAsia="Times New Roman"/>
                      <w:color w:val="000000"/>
                      <w:sz w:val="18"/>
                      <w:szCs w:val="18"/>
                      <w:lang w:eastAsia="en-CA"/>
                    </w:rPr>
                    <w:t>8010</w:t>
                  </w:r>
                </w:p>
              </w:tc>
              <w:tc>
                <w:tcPr>
                  <w:tcW w:w="709" w:type="dxa"/>
                  <w:tcBorders>
                    <w:top w:val="nil"/>
                    <w:left w:val="nil"/>
                    <w:bottom w:val="nil"/>
                    <w:right w:val="nil"/>
                  </w:tcBorders>
                  <w:shd w:val="clear" w:color="auto" w:fill="auto"/>
                  <w:noWrap/>
                  <w:vAlign w:val="bottom"/>
                  <w:hideMark/>
                </w:tcPr>
                <w:p w14:paraId="7884398F" w14:textId="77777777" w:rsidR="007A5FC3" w:rsidRPr="00405CAD" w:rsidRDefault="007A5FC3" w:rsidP="003B25D3">
                  <w:pPr>
                    <w:jc w:val="right"/>
                    <w:rPr>
                      <w:rFonts w:eastAsia="Times New Roman"/>
                      <w:color w:val="000000"/>
                      <w:sz w:val="18"/>
                      <w:szCs w:val="18"/>
                      <w:lang w:eastAsia="en-CA"/>
                    </w:rPr>
                  </w:pPr>
                  <w:r>
                    <w:rPr>
                      <w:rFonts w:eastAsia="Times New Roman"/>
                      <w:color w:val="000000"/>
                      <w:sz w:val="18"/>
                      <w:szCs w:val="18"/>
                      <w:lang w:eastAsia="en-CA"/>
                    </w:rPr>
                    <w:t>4183</w:t>
                  </w:r>
                </w:p>
              </w:tc>
              <w:tc>
                <w:tcPr>
                  <w:tcW w:w="709" w:type="dxa"/>
                  <w:tcBorders>
                    <w:top w:val="nil"/>
                    <w:left w:val="nil"/>
                    <w:bottom w:val="nil"/>
                    <w:right w:val="nil"/>
                  </w:tcBorders>
                  <w:shd w:val="clear" w:color="auto" w:fill="auto"/>
                  <w:noWrap/>
                  <w:vAlign w:val="bottom"/>
                  <w:hideMark/>
                </w:tcPr>
                <w:p w14:paraId="03A118AA" w14:textId="77777777" w:rsidR="007A5FC3" w:rsidRPr="00405CAD" w:rsidRDefault="007A5FC3" w:rsidP="003B25D3">
                  <w:pPr>
                    <w:jc w:val="right"/>
                    <w:rPr>
                      <w:rFonts w:eastAsia="Times New Roman"/>
                      <w:color w:val="000000"/>
                      <w:sz w:val="18"/>
                      <w:szCs w:val="18"/>
                      <w:lang w:eastAsia="en-CA"/>
                    </w:rPr>
                  </w:pPr>
                  <w:r>
                    <w:rPr>
                      <w:rFonts w:eastAsia="Times New Roman"/>
                      <w:color w:val="000000"/>
                      <w:sz w:val="18"/>
                      <w:szCs w:val="18"/>
                      <w:lang w:eastAsia="en-CA"/>
                    </w:rPr>
                    <w:t>1096</w:t>
                  </w:r>
                </w:p>
              </w:tc>
              <w:tc>
                <w:tcPr>
                  <w:tcW w:w="631" w:type="dxa"/>
                  <w:tcBorders>
                    <w:top w:val="nil"/>
                    <w:left w:val="nil"/>
                    <w:bottom w:val="nil"/>
                    <w:right w:val="nil"/>
                  </w:tcBorders>
                  <w:vAlign w:val="bottom"/>
                </w:tcPr>
                <w:p w14:paraId="563BF305" w14:textId="77777777" w:rsidR="007A5FC3" w:rsidRPr="00405CAD" w:rsidRDefault="007A5FC3" w:rsidP="003B25D3">
                  <w:pPr>
                    <w:jc w:val="right"/>
                    <w:rPr>
                      <w:rFonts w:eastAsia="Times New Roman"/>
                      <w:color w:val="000000"/>
                      <w:sz w:val="18"/>
                      <w:szCs w:val="18"/>
                      <w:lang w:eastAsia="en-CA"/>
                    </w:rPr>
                  </w:pPr>
                  <w:r>
                    <w:rPr>
                      <w:rFonts w:eastAsia="Times New Roman"/>
                      <w:color w:val="000000"/>
                      <w:sz w:val="18"/>
                      <w:szCs w:val="18"/>
                      <w:lang w:eastAsia="en-CA"/>
                    </w:rPr>
                    <w:t>769</w:t>
                  </w:r>
                </w:p>
              </w:tc>
            </w:tr>
          </w:tbl>
          <w:p w14:paraId="3978F0DE" w14:textId="77777777" w:rsidR="0027214C" w:rsidRDefault="0027214C" w:rsidP="008B29F4">
            <w:pPr>
              <w:pStyle w:val="BodyText3"/>
              <w:spacing w:after="120"/>
              <w:rPr>
                <w:rFonts w:asciiTheme="minorHAnsi" w:hAnsiTheme="minorHAnsi" w:cstheme="minorHAnsi"/>
                <w:szCs w:val="22"/>
              </w:rPr>
            </w:pPr>
          </w:p>
        </w:tc>
        <w:tc>
          <w:tcPr>
            <w:tcW w:w="4806" w:type="dxa"/>
          </w:tcPr>
          <w:p w14:paraId="6FBD3B14" w14:textId="77777777" w:rsidR="0027214C" w:rsidRDefault="007A5FC3" w:rsidP="008B29F4">
            <w:pPr>
              <w:pStyle w:val="BodyText3"/>
              <w:spacing w:after="120"/>
              <w:rPr>
                <w:rFonts w:asciiTheme="minorHAnsi" w:hAnsiTheme="minorHAnsi" w:cstheme="minorHAnsi"/>
                <w:szCs w:val="22"/>
              </w:rPr>
            </w:pPr>
            <w:r>
              <w:rPr>
                <w:noProof/>
                <w:lang w:val="en-CA"/>
              </w:rPr>
              <w:drawing>
                <wp:inline distT="0" distB="0" distL="0" distR="0" wp14:anchorId="50B315E9" wp14:editId="015C7C91">
                  <wp:extent cx="3756660" cy="2240280"/>
                  <wp:effectExtent l="0" t="0" r="15240" b="2667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14:paraId="436F5469" w14:textId="77777777" w:rsidR="00D50002" w:rsidRDefault="00D50002" w:rsidP="00D50002">
      <w:pPr>
        <w:spacing w:after="200" w:line="276" w:lineRule="auto"/>
        <w:jc w:val="center"/>
        <w:rPr>
          <w:rFonts w:asciiTheme="minorHAnsi" w:hAnsiTheme="minorHAnsi" w:cstheme="minorHAnsi"/>
          <w:color w:val="FF0000"/>
          <w:u w:val="single"/>
        </w:rPr>
      </w:pPr>
      <w:r>
        <w:rPr>
          <w:rFonts w:asciiTheme="minorHAnsi" w:hAnsiTheme="minorHAnsi" w:cstheme="minorHAnsi"/>
          <w:color w:val="FF0000"/>
          <w:u w:val="single"/>
        </w:rPr>
        <w:br w:type="page"/>
      </w:r>
      <w:r>
        <w:rPr>
          <w:rFonts w:asciiTheme="minorHAnsi" w:hAnsiTheme="minorHAnsi" w:cstheme="minorHAnsi"/>
          <w:noProof/>
          <w:color w:val="FF0000"/>
          <w:u w:val="single"/>
          <w:lang w:eastAsia="en-CA"/>
        </w:rPr>
        <w:lastRenderedPageBreak/>
        <w:drawing>
          <wp:inline distT="0" distB="0" distL="0" distR="0" wp14:anchorId="54236FE3" wp14:editId="6E882D8E">
            <wp:extent cx="9195733" cy="5950181"/>
            <wp:effectExtent l="3493" t="0" r="9207" b="9208"/>
            <wp:docPr id="2" name="Picture 2" descr="G:\!Workgrp\Stewardship\Operations\Forest Health\DSS Forest Health\2014-2015\2015 Forest Health Strategy\4_Forest Health Agents_Descr-etc\1 Mtn Pine Beetle\Map2_IBM_INCx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1 Mtn Pine Beetle\Map2_IBM_INCxHA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9204042" cy="5955558"/>
                    </a:xfrm>
                    <a:prstGeom prst="rect">
                      <a:avLst/>
                    </a:prstGeom>
                    <a:noFill/>
                    <a:ln>
                      <a:noFill/>
                    </a:ln>
                  </pic:spPr>
                </pic:pic>
              </a:graphicData>
            </a:graphic>
          </wp:inline>
        </w:drawing>
      </w:r>
    </w:p>
    <w:p w14:paraId="21062766" w14:textId="77777777" w:rsidR="0027214C" w:rsidRPr="00AF7A8E" w:rsidRDefault="00445646" w:rsidP="00D50002">
      <w:pPr>
        <w:spacing w:after="200" w:line="276" w:lineRule="auto"/>
        <w:rPr>
          <w:rFonts w:asciiTheme="minorHAnsi" w:hAnsiTheme="minorHAnsi" w:cstheme="minorHAnsi"/>
          <w:color w:val="FF0000"/>
          <w:u w:val="single"/>
        </w:rPr>
      </w:pPr>
      <w:r w:rsidRPr="00AF7A8E">
        <w:rPr>
          <w:rFonts w:asciiTheme="minorHAnsi" w:hAnsiTheme="minorHAnsi" w:cstheme="minorHAnsi"/>
          <w:color w:val="FF0000"/>
          <w:u w:val="single"/>
        </w:rPr>
        <w:lastRenderedPageBreak/>
        <w:t xml:space="preserve">Non-Recoverable Loss (NRL) </w:t>
      </w:r>
      <w:r w:rsidR="00ED555D" w:rsidRPr="00AF7A8E">
        <w:rPr>
          <w:rFonts w:asciiTheme="minorHAnsi" w:hAnsiTheme="minorHAnsi" w:cstheme="minorHAnsi"/>
          <w:color w:val="FF0000"/>
          <w:u w:val="single"/>
        </w:rPr>
        <w:t xml:space="preserve">Assumptions and </w:t>
      </w:r>
      <w:r w:rsidR="001F1A8A">
        <w:rPr>
          <w:rFonts w:asciiTheme="minorHAnsi" w:hAnsiTheme="minorHAnsi" w:cstheme="minorHAnsi"/>
          <w:color w:val="FF0000"/>
          <w:u w:val="single"/>
        </w:rPr>
        <w:t>Estimation f</w:t>
      </w:r>
      <w:r w:rsidRPr="00AF7A8E">
        <w:rPr>
          <w:rFonts w:asciiTheme="minorHAnsi" w:hAnsiTheme="minorHAnsi" w:cstheme="minorHAnsi"/>
          <w:color w:val="FF0000"/>
          <w:u w:val="single"/>
        </w:rPr>
        <w:t>rom Timber Supply Reviews (TSR)</w:t>
      </w:r>
    </w:p>
    <w:p w14:paraId="04223313" w14:textId="77777777" w:rsidR="00D3446B" w:rsidRDefault="00445646" w:rsidP="008B29F4">
      <w:pPr>
        <w:pStyle w:val="BodyText3"/>
        <w:spacing w:after="120"/>
        <w:rPr>
          <w:rFonts w:asciiTheme="minorHAnsi" w:hAnsiTheme="minorHAnsi" w:cstheme="minorHAnsi"/>
          <w:i/>
          <w:szCs w:val="22"/>
        </w:rPr>
      </w:pPr>
      <w:proofErr w:type="spellStart"/>
      <w:r w:rsidRPr="00445646">
        <w:rPr>
          <w:rFonts w:asciiTheme="minorHAnsi" w:hAnsiTheme="minorHAnsi" w:cstheme="minorHAnsi"/>
          <w:i/>
          <w:szCs w:val="22"/>
        </w:rPr>
        <w:t>Bulkley</w:t>
      </w:r>
      <w:proofErr w:type="spellEnd"/>
      <w:r w:rsidR="00D3446B">
        <w:rPr>
          <w:rFonts w:asciiTheme="minorHAnsi" w:hAnsiTheme="minorHAnsi" w:cstheme="minorHAnsi"/>
          <w:i/>
          <w:szCs w:val="22"/>
        </w:rPr>
        <w:t xml:space="preserve"> TSR3 </w:t>
      </w:r>
      <w:r w:rsidR="00ED555D">
        <w:rPr>
          <w:rFonts w:asciiTheme="minorHAnsi" w:hAnsiTheme="minorHAnsi" w:cstheme="minorHAnsi"/>
          <w:i/>
          <w:szCs w:val="22"/>
        </w:rPr>
        <w:t>(2011 currency</w:t>
      </w:r>
      <w:r w:rsidR="00D3446B">
        <w:rPr>
          <w:rFonts w:asciiTheme="minorHAnsi" w:hAnsiTheme="minorHAnsi" w:cstheme="minorHAnsi"/>
          <w:i/>
          <w:szCs w:val="22"/>
        </w:rPr>
        <w:t>)</w:t>
      </w:r>
    </w:p>
    <w:p w14:paraId="2F0E0A2A" w14:textId="77777777" w:rsidR="00ED555D" w:rsidRDefault="00D3446B" w:rsidP="00ED555D">
      <w:pPr>
        <w:pStyle w:val="BodyText3"/>
        <w:numPr>
          <w:ilvl w:val="0"/>
          <w:numId w:val="2"/>
        </w:numPr>
        <w:spacing w:after="120"/>
        <w:rPr>
          <w:rFonts w:asciiTheme="minorHAnsi" w:hAnsiTheme="minorHAnsi" w:cstheme="minorHAnsi"/>
          <w:szCs w:val="22"/>
        </w:rPr>
      </w:pPr>
      <w:r w:rsidRPr="00D3446B">
        <w:rPr>
          <w:rFonts w:asciiTheme="minorHAnsi" w:hAnsiTheme="minorHAnsi" w:cstheme="minorHAnsi"/>
          <w:szCs w:val="22"/>
        </w:rPr>
        <w:t xml:space="preserve">2010 Provincial </w:t>
      </w:r>
      <w:r>
        <w:rPr>
          <w:rFonts w:asciiTheme="minorHAnsi" w:hAnsiTheme="minorHAnsi" w:cstheme="minorHAnsi"/>
          <w:szCs w:val="22"/>
        </w:rPr>
        <w:t>Aerial Overview S</w:t>
      </w:r>
      <w:r w:rsidRPr="00D3446B">
        <w:rPr>
          <w:rFonts w:asciiTheme="minorHAnsi" w:hAnsiTheme="minorHAnsi" w:cstheme="minorHAnsi"/>
          <w:szCs w:val="22"/>
        </w:rPr>
        <w:t xml:space="preserve">urvey </w:t>
      </w:r>
      <w:r>
        <w:rPr>
          <w:rFonts w:asciiTheme="minorHAnsi" w:hAnsiTheme="minorHAnsi" w:cstheme="minorHAnsi"/>
          <w:szCs w:val="22"/>
        </w:rPr>
        <w:t>(</w:t>
      </w:r>
      <w:r w:rsidR="001F1A8A">
        <w:rPr>
          <w:rFonts w:asciiTheme="minorHAnsi" w:hAnsiTheme="minorHAnsi" w:cstheme="minorHAnsi"/>
          <w:szCs w:val="22"/>
        </w:rPr>
        <w:t>P</w:t>
      </w:r>
      <w:r>
        <w:rPr>
          <w:rFonts w:asciiTheme="minorHAnsi" w:hAnsiTheme="minorHAnsi" w:cstheme="minorHAnsi"/>
          <w:szCs w:val="22"/>
        </w:rPr>
        <w:t>AOS) polygons define</w:t>
      </w:r>
      <w:r w:rsidRPr="00D3446B">
        <w:rPr>
          <w:rFonts w:asciiTheme="minorHAnsi" w:hAnsiTheme="minorHAnsi" w:cstheme="minorHAnsi"/>
          <w:szCs w:val="22"/>
        </w:rPr>
        <w:t xml:space="preserve"> the extent of the current infestation. </w:t>
      </w:r>
    </w:p>
    <w:p w14:paraId="48A8B1D1" w14:textId="77777777" w:rsidR="0029081E" w:rsidRDefault="001F1A8A" w:rsidP="0029081E">
      <w:pPr>
        <w:pStyle w:val="BodyText3"/>
        <w:spacing w:after="200"/>
        <w:rPr>
          <w:rFonts w:asciiTheme="minorHAnsi" w:hAnsiTheme="minorHAnsi" w:cstheme="minorHAnsi"/>
          <w:szCs w:val="22"/>
        </w:rPr>
      </w:pPr>
      <w:r>
        <w:rPr>
          <w:rFonts w:asciiTheme="minorHAnsi" w:hAnsiTheme="minorHAnsi" w:cstheme="minorHAnsi"/>
          <w:szCs w:val="22"/>
        </w:rPr>
        <w:t>P</w:t>
      </w:r>
      <w:r w:rsidR="00ED555D">
        <w:rPr>
          <w:rFonts w:asciiTheme="minorHAnsi" w:hAnsiTheme="minorHAnsi" w:cstheme="minorHAnsi"/>
          <w:szCs w:val="22"/>
        </w:rPr>
        <w:t>A</w:t>
      </w:r>
      <w:r w:rsidR="00D3446B">
        <w:rPr>
          <w:rFonts w:asciiTheme="minorHAnsi" w:hAnsiTheme="minorHAnsi" w:cstheme="minorHAnsi"/>
          <w:szCs w:val="22"/>
        </w:rPr>
        <w:t>OS polygons were</w:t>
      </w:r>
      <w:r w:rsidR="00D3446B" w:rsidRPr="00D3446B">
        <w:rPr>
          <w:rFonts w:asciiTheme="minorHAnsi" w:hAnsiTheme="minorHAnsi" w:cstheme="minorHAnsi"/>
          <w:szCs w:val="22"/>
        </w:rPr>
        <w:t xml:space="preserve"> used to group pine-leading types; the </w:t>
      </w:r>
      <w:r>
        <w:rPr>
          <w:rFonts w:asciiTheme="minorHAnsi" w:hAnsiTheme="minorHAnsi" w:cstheme="minorHAnsi"/>
          <w:szCs w:val="22"/>
        </w:rPr>
        <w:t>P</w:t>
      </w:r>
      <w:r w:rsidR="00ED555D">
        <w:rPr>
          <w:rFonts w:asciiTheme="minorHAnsi" w:hAnsiTheme="minorHAnsi" w:cstheme="minorHAnsi"/>
          <w:szCs w:val="22"/>
        </w:rPr>
        <w:t>AOS</w:t>
      </w:r>
      <w:r w:rsidR="00D3446B" w:rsidRPr="00D3446B">
        <w:rPr>
          <w:rFonts w:asciiTheme="minorHAnsi" w:hAnsiTheme="minorHAnsi" w:cstheme="minorHAnsi"/>
          <w:szCs w:val="22"/>
        </w:rPr>
        <w:t xml:space="preserve"> call on degree of infestation </w:t>
      </w:r>
      <w:r w:rsidR="00D3446B">
        <w:rPr>
          <w:rFonts w:asciiTheme="minorHAnsi" w:hAnsiTheme="minorHAnsi" w:cstheme="minorHAnsi"/>
          <w:szCs w:val="22"/>
        </w:rPr>
        <w:t>was</w:t>
      </w:r>
      <w:r w:rsidR="00D3446B" w:rsidRPr="00D3446B">
        <w:rPr>
          <w:rFonts w:asciiTheme="minorHAnsi" w:hAnsiTheme="minorHAnsi" w:cstheme="minorHAnsi"/>
          <w:szCs w:val="22"/>
        </w:rPr>
        <w:t xml:space="preserve"> then applied to</w:t>
      </w:r>
      <w:r w:rsidR="00D3446B">
        <w:rPr>
          <w:rFonts w:asciiTheme="minorHAnsi" w:hAnsiTheme="minorHAnsi" w:cstheme="minorHAnsi"/>
          <w:szCs w:val="22"/>
        </w:rPr>
        <w:t xml:space="preserve"> </w:t>
      </w:r>
      <w:r w:rsidR="00D3446B" w:rsidRPr="00D3446B">
        <w:rPr>
          <w:rFonts w:asciiTheme="minorHAnsi" w:hAnsiTheme="minorHAnsi" w:cstheme="minorHAnsi"/>
          <w:szCs w:val="22"/>
        </w:rPr>
        <w:t xml:space="preserve">pine </w:t>
      </w:r>
      <w:r w:rsidR="00D3446B">
        <w:rPr>
          <w:rFonts w:asciiTheme="minorHAnsi" w:hAnsiTheme="minorHAnsi" w:cstheme="minorHAnsi"/>
          <w:szCs w:val="22"/>
        </w:rPr>
        <w:t xml:space="preserve">volume </w:t>
      </w:r>
      <w:r w:rsidR="00D3446B" w:rsidRPr="00D3446B">
        <w:rPr>
          <w:rFonts w:asciiTheme="minorHAnsi" w:hAnsiTheme="minorHAnsi" w:cstheme="minorHAnsi"/>
          <w:szCs w:val="22"/>
        </w:rPr>
        <w:t>component of the grouped types</w:t>
      </w:r>
      <w:r w:rsidR="009247F9">
        <w:rPr>
          <w:rFonts w:asciiTheme="minorHAnsi" w:hAnsiTheme="minorHAnsi" w:cstheme="minorHAnsi"/>
          <w:szCs w:val="22"/>
        </w:rPr>
        <w:t>,</w:t>
      </w:r>
      <w:r w:rsidR="00D3446B" w:rsidRPr="00D3446B">
        <w:rPr>
          <w:rFonts w:asciiTheme="minorHAnsi" w:hAnsiTheme="minorHAnsi" w:cstheme="minorHAnsi"/>
          <w:szCs w:val="22"/>
        </w:rPr>
        <w:t xml:space="preserve"> per </w:t>
      </w:r>
      <w:r w:rsidR="0029081E">
        <w:rPr>
          <w:rFonts w:asciiTheme="minorHAnsi" w:hAnsiTheme="minorHAnsi" w:cstheme="minorHAnsi"/>
          <w:szCs w:val="22"/>
        </w:rPr>
        <w:t>Table XX</w:t>
      </w:r>
      <w:r w:rsidR="009247F9">
        <w:rPr>
          <w:rFonts w:asciiTheme="minorHAnsi" w:hAnsiTheme="minorHAnsi" w:cstheme="minorHAnsi"/>
          <w:szCs w:val="22"/>
        </w:rPr>
        <w:t>, to estimate volumes of infested/killed pine</w:t>
      </w:r>
      <w:r w:rsidR="00D3446B">
        <w:rPr>
          <w:rFonts w:asciiTheme="minorHAnsi" w:hAnsiTheme="minorHAnsi" w:cstheme="minorHAnsi"/>
          <w:szCs w:val="22"/>
        </w:rPr>
        <w:t>.</w:t>
      </w:r>
    </w:p>
    <w:p w14:paraId="0ABA807C" w14:textId="77777777" w:rsidR="0029081E" w:rsidRPr="0029081E" w:rsidRDefault="0029081E" w:rsidP="0029081E">
      <w:pPr>
        <w:pStyle w:val="BodyText3"/>
        <w:spacing w:after="200"/>
        <w:rPr>
          <w:rFonts w:asciiTheme="minorHAnsi" w:hAnsiTheme="minorHAnsi" w:cstheme="minorHAnsi"/>
          <w:i/>
          <w:szCs w:val="22"/>
        </w:rPr>
      </w:pPr>
      <w:r w:rsidRPr="0029081E">
        <w:rPr>
          <w:rFonts w:asciiTheme="minorHAnsi" w:hAnsiTheme="minorHAnsi" w:cstheme="minorHAnsi"/>
          <w:i/>
          <w:szCs w:val="22"/>
        </w:rPr>
        <w:t xml:space="preserve">Table XX:  % </w:t>
      </w:r>
      <w:proofErr w:type="spellStart"/>
      <w:r w:rsidRPr="0029081E">
        <w:rPr>
          <w:rFonts w:asciiTheme="minorHAnsi" w:hAnsiTheme="minorHAnsi" w:cstheme="minorHAnsi"/>
          <w:i/>
          <w:szCs w:val="22"/>
        </w:rPr>
        <w:t>Pli</w:t>
      </w:r>
      <w:proofErr w:type="spellEnd"/>
      <w:r w:rsidRPr="0029081E">
        <w:rPr>
          <w:rFonts w:asciiTheme="minorHAnsi" w:hAnsiTheme="minorHAnsi" w:cstheme="minorHAnsi"/>
          <w:i/>
          <w:szCs w:val="22"/>
        </w:rPr>
        <w:t xml:space="preserve"> Volume Mortality Assumed by PAOS Severity Class</w:t>
      </w:r>
    </w:p>
    <w:p w14:paraId="2FDFDB8E" w14:textId="77777777" w:rsidR="00D3446B" w:rsidRPr="00D3446B" w:rsidRDefault="00D3446B" w:rsidP="00ED555D">
      <w:pPr>
        <w:pStyle w:val="BodyText3"/>
        <w:spacing w:after="120"/>
        <w:ind w:left="357"/>
        <w:rPr>
          <w:rFonts w:asciiTheme="minorHAnsi" w:hAnsiTheme="minorHAnsi" w:cstheme="minorHAnsi"/>
          <w:szCs w:val="22"/>
        </w:rPr>
      </w:pPr>
      <w:r>
        <w:rPr>
          <w:noProof/>
          <w:lang w:val="en-CA"/>
        </w:rPr>
        <w:drawing>
          <wp:inline distT="0" distB="0" distL="0" distR="0" wp14:anchorId="7948A0EF" wp14:editId="7252F6DE">
            <wp:extent cx="2959242" cy="1386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59242" cy="1386840"/>
                    </a:xfrm>
                    <a:prstGeom prst="rect">
                      <a:avLst/>
                    </a:prstGeom>
                  </pic:spPr>
                </pic:pic>
              </a:graphicData>
            </a:graphic>
          </wp:inline>
        </w:drawing>
      </w:r>
    </w:p>
    <w:p w14:paraId="39F6AD81" w14:textId="77777777" w:rsidR="00D3446B" w:rsidRDefault="00D3446B" w:rsidP="00E1634A">
      <w:pPr>
        <w:pStyle w:val="Default"/>
        <w:numPr>
          <w:ilvl w:val="0"/>
          <w:numId w:val="1"/>
        </w:numPr>
        <w:spacing w:after="120"/>
        <w:ind w:left="357" w:hanging="357"/>
        <w:rPr>
          <w:rFonts w:asciiTheme="minorHAnsi" w:hAnsiTheme="minorHAnsi" w:cstheme="minorHAnsi"/>
          <w:sz w:val="22"/>
          <w:szCs w:val="22"/>
        </w:rPr>
      </w:pPr>
      <w:r>
        <w:rPr>
          <w:rFonts w:asciiTheme="minorHAnsi" w:hAnsiTheme="minorHAnsi" w:cstheme="minorHAnsi"/>
          <w:sz w:val="22"/>
          <w:szCs w:val="22"/>
        </w:rPr>
        <w:t>current</w:t>
      </w:r>
      <w:r w:rsidRPr="00D3446B">
        <w:rPr>
          <w:rFonts w:asciiTheme="minorHAnsi" w:hAnsiTheme="minorHAnsi" w:cstheme="minorHAnsi"/>
          <w:sz w:val="22"/>
          <w:szCs w:val="22"/>
        </w:rPr>
        <w:t xml:space="preserve"> infestation levels will stay static – </w:t>
      </w:r>
      <w:proofErr w:type="gramStart"/>
      <w:r w:rsidRPr="00D3446B">
        <w:rPr>
          <w:rFonts w:asciiTheme="minorHAnsi" w:hAnsiTheme="minorHAnsi" w:cstheme="minorHAnsi"/>
          <w:sz w:val="22"/>
          <w:szCs w:val="22"/>
        </w:rPr>
        <w:t>i.e.</w:t>
      </w:r>
      <w:proofErr w:type="gramEnd"/>
      <w:r w:rsidRPr="00D3446B">
        <w:rPr>
          <w:rFonts w:asciiTheme="minorHAnsi" w:hAnsiTheme="minorHAnsi" w:cstheme="minorHAnsi"/>
          <w:sz w:val="22"/>
          <w:szCs w:val="22"/>
        </w:rPr>
        <w:t xml:space="preserve"> </w:t>
      </w:r>
      <w:proofErr w:type="spellStart"/>
      <w:r w:rsidRPr="00D3446B">
        <w:rPr>
          <w:rFonts w:asciiTheme="minorHAnsi" w:hAnsiTheme="minorHAnsi" w:cstheme="minorHAnsi"/>
          <w:sz w:val="22"/>
          <w:szCs w:val="22"/>
        </w:rPr>
        <w:t>Bulkley</w:t>
      </w:r>
      <w:proofErr w:type="spellEnd"/>
      <w:r w:rsidRPr="00D3446B">
        <w:rPr>
          <w:rFonts w:asciiTheme="minorHAnsi" w:hAnsiTheme="minorHAnsi" w:cstheme="minorHAnsi"/>
          <w:sz w:val="22"/>
          <w:szCs w:val="22"/>
        </w:rPr>
        <w:t xml:space="preserve"> will not experience future waves of attack from the MPB epicentre.</w:t>
      </w:r>
    </w:p>
    <w:p w14:paraId="476AFC50" w14:textId="77777777" w:rsidR="009247F9" w:rsidRPr="00E1634A" w:rsidRDefault="009247F9" w:rsidP="009247F9">
      <w:pPr>
        <w:pStyle w:val="BodyText3"/>
        <w:numPr>
          <w:ilvl w:val="0"/>
          <w:numId w:val="1"/>
        </w:numPr>
        <w:spacing w:after="120"/>
        <w:ind w:left="357" w:hanging="357"/>
        <w:rPr>
          <w:rFonts w:asciiTheme="minorHAnsi" w:hAnsiTheme="minorHAnsi" w:cstheme="minorHAnsi"/>
          <w:szCs w:val="22"/>
        </w:rPr>
      </w:pPr>
      <w:r w:rsidRPr="00D3446B">
        <w:rPr>
          <w:rFonts w:asciiTheme="minorHAnsi" w:hAnsiTheme="minorHAnsi" w:cstheme="minorHAnsi"/>
          <w:szCs w:val="22"/>
        </w:rPr>
        <w:t xml:space="preserve">licensees will target all currently infested, </w:t>
      </w:r>
      <w:proofErr w:type="gramStart"/>
      <w:r w:rsidRPr="00D3446B">
        <w:rPr>
          <w:rFonts w:asciiTheme="minorHAnsi" w:hAnsiTheme="minorHAnsi" w:cstheme="minorHAnsi"/>
          <w:szCs w:val="22"/>
        </w:rPr>
        <w:t>red</w:t>
      </w:r>
      <w:proofErr w:type="gramEnd"/>
      <w:r w:rsidRPr="00D3446B">
        <w:rPr>
          <w:rFonts w:asciiTheme="minorHAnsi" w:hAnsiTheme="minorHAnsi" w:cstheme="minorHAnsi"/>
          <w:szCs w:val="22"/>
        </w:rPr>
        <w:t xml:space="preserve"> or dead sawlog potential </w:t>
      </w:r>
      <w:proofErr w:type="spellStart"/>
      <w:r w:rsidRPr="00D3446B">
        <w:rPr>
          <w:rFonts w:asciiTheme="minorHAnsi" w:hAnsiTheme="minorHAnsi" w:cstheme="minorHAnsi"/>
          <w:szCs w:val="22"/>
        </w:rPr>
        <w:t>Pli</w:t>
      </w:r>
      <w:proofErr w:type="spellEnd"/>
      <w:r w:rsidRPr="00D3446B">
        <w:rPr>
          <w:rFonts w:asciiTheme="minorHAnsi" w:hAnsiTheme="minorHAnsi" w:cstheme="minorHAnsi"/>
          <w:szCs w:val="22"/>
        </w:rPr>
        <w:t>-leading stands for harvest over the next 2 decades to maximum levels permitted by land base constraints</w:t>
      </w:r>
      <w:r>
        <w:rPr>
          <w:rFonts w:asciiTheme="minorHAnsi" w:hAnsiTheme="minorHAnsi" w:cstheme="minorHAnsi"/>
          <w:szCs w:val="22"/>
        </w:rPr>
        <w:t>.</w:t>
      </w:r>
    </w:p>
    <w:p w14:paraId="6E5E69B8" w14:textId="77777777" w:rsidR="00E1634A" w:rsidRDefault="00D3446B" w:rsidP="00E1634A">
      <w:pPr>
        <w:pStyle w:val="Default"/>
        <w:numPr>
          <w:ilvl w:val="0"/>
          <w:numId w:val="1"/>
        </w:numPr>
        <w:spacing w:after="120"/>
        <w:rPr>
          <w:rFonts w:asciiTheme="minorHAnsi" w:hAnsiTheme="minorHAnsi" w:cstheme="minorHAnsi"/>
          <w:sz w:val="22"/>
          <w:szCs w:val="22"/>
        </w:rPr>
      </w:pPr>
      <w:r w:rsidRPr="00D3446B">
        <w:rPr>
          <w:rFonts w:asciiTheme="minorHAnsi" w:hAnsiTheme="minorHAnsi" w:cstheme="minorHAnsi"/>
          <w:sz w:val="22"/>
          <w:szCs w:val="22"/>
        </w:rPr>
        <w:t xml:space="preserve">sawlog potential of the pine component of pine-leading stands will persist for 5 years (with the year of analysis set as year 0), after which if not already harvested by the model it will revert to pulp. </w:t>
      </w:r>
    </w:p>
    <w:p w14:paraId="370A9DD2" w14:textId="77777777" w:rsidR="00D3446B" w:rsidRDefault="00D3446B" w:rsidP="00E1634A">
      <w:pPr>
        <w:pStyle w:val="Default"/>
        <w:numPr>
          <w:ilvl w:val="0"/>
          <w:numId w:val="1"/>
        </w:numPr>
        <w:spacing w:after="120"/>
        <w:rPr>
          <w:rFonts w:asciiTheme="minorHAnsi" w:hAnsiTheme="minorHAnsi" w:cstheme="minorHAnsi"/>
          <w:sz w:val="22"/>
          <w:szCs w:val="22"/>
        </w:rPr>
      </w:pPr>
      <w:r w:rsidRPr="00E1634A">
        <w:rPr>
          <w:rFonts w:asciiTheme="minorHAnsi" w:hAnsiTheme="minorHAnsi" w:cstheme="minorHAnsi"/>
          <w:sz w:val="22"/>
          <w:szCs w:val="22"/>
        </w:rPr>
        <w:t xml:space="preserve">dead pine will persist as standing inventory for 15 years, after which if not already harvested by the model it will </w:t>
      </w:r>
      <w:proofErr w:type="gramStart"/>
      <w:r w:rsidRPr="00E1634A">
        <w:rPr>
          <w:rFonts w:asciiTheme="minorHAnsi" w:hAnsiTheme="minorHAnsi" w:cstheme="minorHAnsi"/>
          <w:sz w:val="22"/>
          <w:szCs w:val="22"/>
        </w:rPr>
        <w:t>fall down</w:t>
      </w:r>
      <w:proofErr w:type="gramEnd"/>
      <w:r w:rsidRPr="00E1634A">
        <w:rPr>
          <w:rFonts w:asciiTheme="minorHAnsi" w:hAnsiTheme="minorHAnsi" w:cstheme="minorHAnsi"/>
          <w:sz w:val="22"/>
          <w:szCs w:val="22"/>
        </w:rPr>
        <w:t xml:space="preserve">. Thus after 15 years this volume will be removed from the inventory to be counted as NRL (pro-rated over a 5-year period). </w:t>
      </w:r>
    </w:p>
    <w:p w14:paraId="2D55635F" w14:textId="77777777" w:rsidR="00D3446B" w:rsidRPr="007A698C" w:rsidRDefault="00E1634A" w:rsidP="00E1634A">
      <w:pPr>
        <w:pStyle w:val="Default"/>
        <w:numPr>
          <w:ilvl w:val="0"/>
          <w:numId w:val="1"/>
        </w:numPr>
        <w:rPr>
          <w:rFonts w:asciiTheme="minorHAnsi" w:hAnsiTheme="minorHAnsi" w:cstheme="minorHAnsi"/>
          <w:sz w:val="22"/>
          <w:szCs w:val="22"/>
        </w:rPr>
      </w:pPr>
      <w:r>
        <w:rPr>
          <w:rFonts w:asciiTheme="minorHAnsi" w:hAnsiTheme="minorHAnsi" w:cstheme="minorHAnsi"/>
          <w:sz w:val="22"/>
          <w:szCs w:val="22"/>
        </w:rPr>
        <w:t>a</w:t>
      </w:r>
      <w:r w:rsidR="00D3446B" w:rsidRPr="00D3446B">
        <w:rPr>
          <w:rFonts w:asciiTheme="minorHAnsi" w:hAnsiTheme="minorHAnsi" w:cstheme="minorHAnsi"/>
          <w:sz w:val="22"/>
          <w:szCs w:val="22"/>
        </w:rPr>
        <w:t xml:space="preserve">fter 20 years, </w:t>
      </w:r>
      <w:r w:rsidR="00D3446B" w:rsidRPr="00E1634A">
        <w:rPr>
          <w:rFonts w:asciiTheme="minorHAnsi" w:hAnsiTheme="minorHAnsi" w:cstheme="minorHAnsi"/>
          <w:sz w:val="22"/>
          <w:szCs w:val="22"/>
          <w:u w:val="single"/>
        </w:rPr>
        <w:t xml:space="preserve">NRL’s will </w:t>
      </w:r>
      <w:r w:rsidR="00D3446B" w:rsidRPr="007A698C">
        <w:rPr>
          <w:rFonts w:asciiTheme="minorHAnsi" w:hAnsiTheme="minorHAnsi" w:cstheme="minorHAnsi"/>
          <w:sz w:val="22"/>
          <w:szCs w:val="22"/>
          <w:u w:val="single"/>
        </w:rPr>
        <w:t>revert to their previous historic levels as defined for TSR2 (3,000 m3/year).</w:t>
      </w:r>
      <w:r w:rsidR="00D3446B" w:rsidRPr="007A698C">
        <w:rPr>
          <w:rFonts w:asciiTheme="minorHAnsi" w:hAnsiTheme="minorHAnsi" w:cstheme="minorHAnsi"/>
          <w:sz w:val="22"/>
          <w:szCs w:val="22"/>
        </w:rPr>
        <w:t xml:space="preserve"> </w:t>
      </w:r>
      <w:r w:rsidR="009247F9" w:rsidRPr="007A698C">
        <w:rPr>
          <w:rFonts w:asciiTheme="minorHAnsi" w:hAnsiTheme="minorHAnsi" w:cstheme="minorHAnsi"/>
          <w:sz w:val="22"/>
          <w:szCs w:val="22"/>
        </w:rPr>
        <w:t xml:space="preserve">After prorating, </w:t>
      </w:r>
      <w:r w:rsidR="00D3446B" w:rsidRPr="007A698C">
        <w:rPr>
          <w:rFonts w:asciiTheme="minorHAnsi" w:hAnsiTheme="minorHAnsi" w:cstheme="minorHAnsi"/>
          <w:sz w:val="22"/>
          <w:szCs w:val="22"/>
        </w:rPr>
        <w:t>2,850 m3</w:t>
      </w:r>
      <w:r w:rsidR="009247F9" w:rsidRPr="007A698C">
        <w:rPr>
          <w:rFonts w:asciiTheme="minorHAnsi" w:hAnsiTheme="minorHAnsi" w:cstheme="minorHAnsi"/>
          <w:sz w:val="22"/>
          <w:szCs w:val="22"/>
        </w:rPr>
        <w:t>/year</w:t>
      </w:r>
      <w:r w:rsidR="00D3446B" w:rsidRPr="007A698C">
        <w:rPr>
          <w:rFonts w:asciiTheme="minorHAnsi" w:hAnsiTheme="minorHAnsi" w:cstheme="minorHAnsi"/>
          <w:sz w:val="22"/>
          <w:szCs w:val="22"/>
        </w:rPr>
        <w:t xml:space="preserve"> </w:t>
      </w:r>
      <w:r w:rsidR="009247F9" w:rsidRPr="007A698C">
        <w:rPr>
          <w:rFonts w:asciiTheme="minorHAnsi" w:hAnsiTheme="minorHAnsi" w:cstheme="minorHAnsi"/>
          <w:sz w:val="22"/>
          <w:szCs w:val="22"/>
        </w:rPr>
        <w:t>is</w:t>
      </w:r>
      <w:r w:rsidR="00D3446B" w:rsidRPr="007A698C">
        <w:rPr>
          <w:rFonts w:asciiTheme="minorHAnsi" w:hAnsiTheme="minorHAnsi" w:cstheme="minorHAnsi"/>
          <w:sz w:val="22"/>
          <w:szCs w:val="22"/>
        </w:rPr>
        <w:t xml:space="preserve"> attributed to </w:t>
      </w:r>
      <w:r w:rsidR="007A698C" w:rsidRPr="007A698C">
        <w:rPr>
          <w:rFonts w:asciiTheme="minorHAnsi" w:hAnsiTheme="minorHAnsi" w:cstheme="minorHAnsi"/>
          <w:sz w:val="22"/>
          <w:szCs w:val="22"/>
        </w:rPr>
        <w:t>timber harvesting land base (</w:t>
      </w:r>
      <w:r w:rsidR="00D3446B" w:rsidRPr="007A698C">
        <w:rPr>
          <w:rFonts w:asciiTheme="minorHAnsi" w:hAnsiTheme="minorHAnsi" w:cstheme="minorHAnsi"/>
          <w:sz w:val="22"/>
          <w:szCs w:val="22"/>
        </w:rPr>
        <w:t>THLB</w:t>
      </w:r>
      <w:r w:rsidR="007A698C" w:rsidRPr="007A698C">
        <w:rPr>
          <w:rFonts w:asciiTheme="minorHAnsi" w:hAnsiTheme="minorHAnsi" w:cstheme="minorHAnsi"/>
          <w:sz w:val="22"/>
          <w:szCs w:val="22"/>
        </w:rPr>
        <w:t>)</w:t>
      </w:r>
      <w:r w:rsidR="00D3446B" w:rsidRPr="007A698C">
        <w:rPr>
          <w:rFonts w:asciiTheme="minorHAnsi" w:hAnsiTheme="minorHAnsi" w:cstheme="minorHAnsi"/>
          <w:sz w:val="22"/>
          <w:szCs w:val="22"/>
        </w:rPr>
        <w:t xml:space="preserve"> outside of the </w:t>
      </w:r>
      <w:proofErr w:type="spellStart"/>
      <w:r w:rsidR="00D3446B" w:rsidRPr="007A698C">
        <w:rPr>
          <w:rFonts w:asciiTheme="minorHAnsi" w:hAnsiTheme="minorHAnsi" w:cstheme="minorHAnsi"/>
          <w:sz w:val="22"/>
          <w:szCs w:val="22"/>
        </w:rPr>
        <w:t>Wetzink’wa</w:t>
      </w:r>
      <w:proofErr w:type="spellEnd"/>
      <w:r w:rsidR="00D3446B" w:rsidRPr="007A698C">
        <w:rPr>
          <w:rFonts w:asciiTheme="minorHAnsi" w:hAnsiTheme="minorHAnsi" w:cstheme="minorHAnsi"/>
          <w:sz w:val="22"/>
          <w:szCs w:val="22"/>
        </w:rPr>
        <w:t xml:space="preserve"> Community Forest. </w:t>
      </w:r>
    </w:p>
    <w:p w14:paraId="3FD2046F" w14:textId="77777777" w:rsidR="0027214C" w:rsidRDefault="0027214C" w:rsidP="008B29F4">
      <w:pPr>
        <w:pStyle w:val="BodyText3"/>
        <w:spacing w:after="120"/>
        <w:rPr>
          <w:rFonts w:asciiTheme="minorHAnsi" w:hAnsiTheme="minorHAnsi" w:cstheme="minorHAnsi"/>
          <w:szCs w:val="22"/>
        </w:rPr>
      </w:pPr>
    </w:p>
    <w:p w14:paraId="7700F6C1" w14:textId="77777777" w:rsidR="00A0518D" w:rsidRDefault="000E36EF" w:rsidP="006B488C">
      <w:pPr>
        <w:spacing w:after="120"/>
        <w:rPr>
          <w:i/>
        </w:rPr>
      </w:pPr>
      <w:r>
        <w:rPr>
          <w:i/>
        </w:rPr>
        <w:br/>
      </w:r>
      <w:r w:rsidR="009247F9" w:rsidRPr="009247F9">
        <w:rPr>
          <w:i/>
        </w:rPr>
        <w:t>Kispiox TSR3</w:t>
      </w:r>
      <w:r w:rsidR="009247F9">
        <w:rPr>
          <w:i/>
        </w:rPr>
        <w:t xml:space="preserve"> (</w:t>
      </w:r>
      <w:r w:rsidR="00ED555D">
        <w:rPr>
          <w:i/>
        </w:rPr>
        <w:t>2006 currency)</w:t>
      </w:r>
    </w:p>
    <w:p w14:paraId="7B07418C" w14:textId="77777777" w:rsidR="00ED555D" w:rsidRDefault="006B488C" w:rsidP="004733F3">
      <w:pPr>
        <w:pStyle w:val="ListParagraph"/>
        <w:numPr>
          <w:ilvl w:val="0"/>
          <w:numId w:val="3"/>
        </w:numPr>
      </w:pPr>
      <w:r>
        <w:t xml:space="preserve">IBM NRL’s were determined to be unnecessary. </w:t>
      </w:r>
      <w:r w:rsidR="004733F3">
        <w:t xml:space="preserve">VDYP yield curves already </w:t>
      </w:r>
      <w:r>
        <w:t xml:space="preserve">account for volume </w:t>
      </w:r>
      <w:r w:rsidR="004733F3">
        <w:t>losses due to</w:t>
      </w:r>
      <w:r>
        <w:t xml:space="preserve"> mortality caused by</w:t>
      </w:r>
      <w:r w:rsidR="004733F3">
        <w:t xml:space="preserve"> </w:t>
      </w:r>
      <w:r>
        <w:t>natural, endemic levels of insect infestation, and IBM incidence in Kispiox TSA was historically low to nil at that time.</w:t>
      </w:r>
    </w:p>
    <w:p w14:paraId="606A8661" w14:textId="77777777" w:rsidR="006B488C" w:rsidRDefault="006B488C" w:rsidP="006B488C"/>
    <w:p w14:paraId="71B20E14" w14:textId="77777777" w:rsidR="006B488C" w:rsidRDefault="000E36EF" w:rsidP="006B488C">
      <w:pPr>
        <w:spacing w:after="120"/>
        <w:rPr>
          <w:i/>
        </w:rPr>
      </w:pPr>
      <w:r>
        <w:rPr>
          <w:i/>
        </w:rPr>
        <w:br/>
      </w:r>
      <w:proofErr w:type="spellStart"/>
      <w:r w:rsidR="006B488C" w:rsidRPr="006B488C">
        <w:rPr>
          <w:i/>
        </w:rPr>
        <w:t>Cassiar</w:t>
      </w:r>
      <w:proofErr w:type="spellEnd"/>
      <w:r w:rsidR="006B488C" w:rsidRPr="006B488C">
        <w:rPr>
          <w:i/>
        </w:rPr>
        <w:t xml:space="preserve"> TSR3 (2013 currency)</w:t>
      </w:r>
    </w:p>
    <w:p w14:paraId="56D3031C" w14:textId="77777777" w:rsidR="006B488C" w:rsidRDefault="007A698C" w:rsidP="007A698C">
      <w:pPr>
        <w:pStyle w:val="ListParagraph"/>
        <w:numPr>
          <w:ilvl w:val="0"/>
          <w:numId w:val="3"/>
        </w:numPr>
        <w:spacing w:after="120"/>
      </w:pPr>
      <w:r>
        <w:t>No IBM NRL’s were calculated, as IBM attack constituted a few isolated patches, most of which were outside the THLB.</w:t>
      </w:r>
    </w:p>
    <w:p w14:paraId="782B2E19" w14:textId="77777777" w:rsidR="00AF7A8E" w:rsidRDefault="00AF7A8E" w:rsidP="00AF7A8E">
      <w:pPr>
        <w:spacing w:after="120"/>
      </w:pPr>
    </w:p>
    <w:p w14:paraId="2B94689F" w14:textId="77777777" w:rsidR="007618BE" w:rsidRDefault="007618BE">
      <w:pPr>
        <w:spacing w:after="200" w:line="276" w:lineRule="auto"/>
        <w:rPr>
          <w:color w:val="FF0000"/>
          <w:u w:val="single"/>
        </w:rPr>
      </w:pPr>
      <w:r>
        <w:rPr>
          <w:color w:val="FF0000"/>
          <w:u w:val="single"/>
        </w:rPr>
        <w:br w:type="page"/>
      </w:r>
    </w:p>
    <w:p w14:paraId="777E7932" w14:textId="77777777" w:rsidR="00C62093" w:rsidRDefault="00AF7A8E" w:rsidP="00AF7A8E">
      <w:pPr>
        <w:spacing w:after="120"/>
        <w:rPr>
          <w:color w:val="FF0000"/>
          <w:u w:val="single"/>
        </w:rPr>
      </w:pPr>
      <w:r w:rsidRPr="00AF7A8E">
        <w:rPr>
          <w:color w:val="FF0000"/>
          <w:u w:val="single"/>
        </w:rPr>
        <w:lastRenderedPageBreak/>
        <w:t>Objectives, Strategies,</w:t>
      </w:r>
      <w:r w:rsidR="004232A2">
        <w:rPr>
          <w:color w:val="FF0000"/>
          <w:u w:val="single"/>
        </w:rPr>
        <w:t xml:space="preserve"> Tactics</w:t>
      </w:r>
      <w:r w:rsidRPr="00AF7A8E">
        <w:rPr>
          <w:color w:val="FF0000"/>
          <w:u w:val="single"/>
        </w:rPr>
        <w:t xml:space="preserve"> &amp; Best Management Practices</w:t>
      </w:r>
      <w:r>
        <w:rPr>
          <w:color w:val="FF0000"/>
          <w:u w:val="single"/>
        </w:rPr>
        <w:t xml:space="preserve"> </w:t>
      </w:r>
    </w:p>
    <w:p w14:paraId="49FC6069" w14:textId="77777777" w:rsidR="00AF7A8E" w:rsidRDefault="00ED3864" w:rsidP="00AF7A8E">
      <w:pPr>
        <w:spacing w:after="120"/>
      </w:pPr>
      <w:r>
        <w:t xml:space="preserve">Overarching </w:t>
      </w:r>
      <w:r w:rsidRPr="00751A2C">
        <w:rPr>
          <w:u w:val="single"/>
        </w:rPr>
        <w:t>o</w:t>
      </w:r>
      <w:r w:rsidR="00652D28" w:rsidRPr="00751A2C">
        <w:rPr>
          <w:u w:val="single"/>
        </w:rPr>
        <w:t>bjective</w:t>
      </w:r>
      <w:r w:rsidR="00F62CAE" w:rsidRPr="00751A2C">
        <w:rPr>
          <w:u w:val="single"/>
        </w:rPr>
        <w:t>s</w:t>
      </w:r>
      <w:r w:rsidR="00751EBA">
        <w:t xml:space="preserve"> </w:t>
      </w:r>
      <w:r w:rsidR="00652D28">
        <w:t xml:space="preserve">from </w:t>
      </w:r>
      <w:r w:rsidR="00751EBA">
        <w:t xml:space="preserve">the </w:t>
      </w:r>
      <w:r w:rsidR="00652D28">
        <w:t>2013-2016 Pr</w:t>
      </w:r>
      <w:r w:rsidR="00751EBA">
        <w:t>ovincial Forest Health Strategy are as follows</w:t>
      </w:r>
      <w:r w:rsidR="00652D28">
        <w:t xml:space="preserve">: </w:t>
      </w:r>
    </w:p>
    <w:p w14:paraId="720B6FB0" w14:textId="77777777" w:rsidR="00F62CAE" w:rsidRPr="00DA3CF9" w:rsidRDefault="00F62CAE" w:rsidP="00F62CAE">
      <w:pPr>
        <w:autoSpaceDE w:val="0"/>
        <w:autoSpaceDN w:val="0"/>
        <w:adjustRightInd w:val="0"/>
        <w:rPr>
          <w:rFonts w:asciiTheme="minorHAnsi" w:hAnsiTheme="minorHAnsi" w:cstheme="minorHAnsi"/>
          <w:b/>
          <w:bCs/>
          <w:i/>
          <w:iCs/>
          <w:color w:val="000000"/>
        </w:rPr>
      </w:pPr>
      <w:r w:rsidRPr="00DA3CF9">
        <w:rPr>
          <w:rFonts w:asciiTheme="minorHAnsi" w:hAnsiTheme="minorHAnsi" w:cstheme="minorHAnsi"/>
          <w:b/>
          <w:bCs/>
          <w:i/>
          <w:iCs/>
          <w:color w:val="000000"/>
        </w:rPr>
        <w:t xml:space="preserve">Objective 1: Pest impacts are monitored and </w:t>
      </w:r>
      <w:proofErr w:type="gramStart"/>
      <w:r w:rsidRPr="00DA3CF9">
        <w:rPr>
          <w:rFonts w:asciiTheme="minorHAnsi" w:hAnsiTheme="minorHAnsi" w:cstheme="minorHAnsi"/>
          <w:b/>
          <w:bCs/>
          <w:i/>
          <w:iCs/>
          <w:color w:val="000000"/>
        </w:rPr>
        <w:t>assessed</w:t>
      </w:r>
      <w:proofErr w:type="gramEnd"/>
    </w:p>
    <w:p w14:paraId="3BC8A115" w14:textId="77777777" w:rsidR="00F62CAE" w:rsidRPr="00DA3CF9" w:rsidRDefault="00F62CAE" w:rsidP="00F62CAE">
      <w:pPr>
        <w:autoSpaceDE w:val="0"/>
        <w:autoSpaceDN w:val="0"/>
        <w:adjustRightInd w:val="0"/>
        <w:rPr>
          <w:rFonts w:asciiTheme="minorHAnsi" w:hAnsiTheme="minorHAnsi" w:cstheme="minorHAnsi"/>
          <w:b/>
          <w:bCs/>
          <w:i/>
          <w:iCs/>
          <w:color w:val="000000"/>
        </w:rPr>
      </w:pPr>
      <w:r w:rsidRPr="00DA3CF9">
        <w:rPr>
          <w:rFonts w:asciiTheme="minorHAnsi" w:hAnsiTheme="minorHAnsi" w:cstheme="minorHAnsi"/>
          <w:b/>
          <w:bCs/>
          <w:i/>
          <w:iCs/>
          <w:color w:val="000000"/>
        </w:rPr>
        <w:t xml:space="preserve">Objective 2: Practices are adapted to accommodate known forest health </w:t>
      </w:r>
      <w:proofErr w:type="gramStart"/>
      <w:r w:rsidRPr="00DA3CF9">
        <w:rPr>
          <w:rFonts w:asciiTheme="minorHAnsi" w:hAnsiTheme="minorHAnsi" w:cstheme="minorHAnsi"/>
          <w:b/>
          <w:bCs/>
          <w:i/>
          <w:iCs/>
          <w:color w:val="000000"/>
        </w:rPr>
        <w:t>risks</w:t>
      </w:r>
      <w:proofErr w:type="gramEnd"/>
    </w:p>
    <w:p w14:paraId="1AD87D12" w14:textId="77777777" w:rsidR="00AF7A8E" w:rsidRDefault="00F62CAE" w:rsidP="00F62CAE">
      <w:pPr>
        <w:autoSpaceDE w:val="0"/>
        <w:autoSpaceDN w:val="0"/>
        <w:adjustRightInd w:val="0"/>
        <w:rPr>
          <w:rFonts w:ascii="OfficinaSans-BoldItalic" w:hAnsi="OfficinaSans-BoldItalic" w:cs="OfficinaSans-BoldItalic"/>
          <w:bCs/>
          <w:i/>
          <w:iCs/>
          <w:color w:val="000000"/>
          <w:sz w:val="20"/>
          <w:szCs w:val="20"/>
        </w:rPr>
      </w:pPr>
      <w:r w:rsidRPr="00DA3CF9">
        <w:rPr>
          <w:rFonts w:asciiTheme="minorHAnsi" w:hAnsiTheme="minorHAnsi" w:cstheme="minorHAnsi"/>
          <w:b/>
          <w:bCs/>
          <w:i/>
          <w:iCs/>
          <w:color w:val="000000"/>
        </w:rPr>
        <w:t xml:space="preserve">Objective 3: Resources are protected </w:t>
      </w:r>
      <w:r w:rsidRPr="00DA3CF9">
        <w:rPr>
          <w:rFonts w:asciiTheme="minorHAnsi" w:hAnsiTheme="minorHAnsi" w:cstheme="minorHAnsi"/>
          <w:bCs/>
          <w:i/>
          <w:iCs/>
          <w:color w:val="000000"/>
        </w:rPr>
        <w:t xml:space="preserve">through appropriately applied direct management </w:t>
      </w:r>
      <w:proofErr w:type="gramStart"/>
      <w:r w:rsidRPr="00DA3CF9">
        <w:rPr>
          <w:rFonts w:asciiTheme="minorHAnsi" w:hAnsiTheme="minorHAnsi" w:cstheme="minorHAnsi"/>
          <w:bCs/>
          <w:i/>
          <w:iCs/>
          <w:color w:val="000000"/>
        </w:rPr>
        <w:t>actions</w:t>
      </w:r>
      <w:proofErr w:type="gramEnd"/>
    </w:p>
    <w:p w14:paraId="7E42D83A" w14:textId="77777777" w:rsidR="00751EBA" w:rsidRDefault="00751EBA" w:rsidP="00F62CAE">
      <w:pPr>
        <w:autoSpaceDE w:val="0"/>
        <w:autoSpaceDN w:val="0"/>
        <w:adjustRightInd w:val="0"/>
        <w:rPr>
          <w:rFonts w:ascii="OfficinaSans-BoldItalic" w:hAnsi="OfficinaSans-BoldItalic" w:cs="OfficinaSans-BoldItalic"/>
          <w:bCs/>
          <w:i/>
          <w:iCs/>
          <w:color w:val="000000"/>
          <w:sz w:val="20"/>
          <w:szCs w:val="20"/>
        </w:rPr>
      </w:pPr>
    </w:p>
    <w:p w14:paraId="656E2E37" w14:textId="77777777" w:rsidR="00751A2C" w:rsidRDefault="00751A2C" w:rsidP="00F62CAE">
      <w:pPr>
        <w:autoSpaceDE w:val="0"/>
        <w:autoSpaceDN w:val="0"/>
        <w:adjustRightInd w:val="0"/>
        <w:rPr>
          <w:rFonts w:asciiTheme="minorHAnsi" w:hAnsiTheme="minorHAnsi" w:cstheme="minorHAnsi"/>
          <w:bCs/>
          <w:iCs/>
          <w:color w:val="000000"/>
        </w:rPr>
      </w:pPr>
      <w:r w:rsidRPr="00751A2C">
        <w:rPr>
          <w:rFonts w:asciiTheme="minorHAnsi" w:hAnsiTheme="minorHAnsi" w:cstheme="minorHAnsi"/>
          <w:bCs/>
          <w:iCs/>
          <w:color w:val="000000"/>
          <w:u w:val="single"/>
        </w:rPr>
        <w:t>Strategy</w:t>
      </w:r>
      <w:r>
        <w:rPr>
          <w:rFonts w:asciiTheme="minorHAnsi" w:hAnsiTheme="minorHAnsi" w:cstheme="minorHAnsi"/>
          <w:bCs/>
          <w:iCs/>
          <w:color w:val="000000"/>
        </w:rPr>
        <w:t>:</w:t>
      </w:r>
    </w:p>
    <w:p w14:paraId="4EEFEBA4" w14:textId="77777777" w:rsidR="00751A2C" w:rsidRPr="00520718" w:rsidRDefault="00751A2C" w:rsidP="00F62CAE">
      <w:pPr>
        <w:autoSpaceDE w:val="0"/>
        <w:autoSpaceDN w:val="0"/>
        <w:adjustRightInd w:val="0"/>
        <w:rPr>
          <w:rFonts w:asciiTheme="minorHAnsi" w:hAnsiTheme="minorHAnsi" w:cstheme="minorHAnsi"/>
          <w:b/>
          <w:bCs/>
          <w:i/>
          <w:iCs/>
        </w:rPr>
      </w:pPr>
      <w:r w:rsidRPr="00520718">
        <w:rPr>
          <w:rFonts w:asciiTheme="minorHAnsi" w:hAnsiTheme="minorHAnsi" w:cstheme="minorHAnsi"/>
          <w:b/>
          <w:bCs/>
          <w:i/>
          <w:iCs/>
          <w:color w:val="000000"/>
        </w:rPr>
        <w:t xml:space="preserve">Maintain </w:t>
      </w:r>
      <w:r w:rsidR="006F7694" w:rsidRPr="00520718">
        <w:rPr>
          <w:rFonts w:asciiTheme="minorHAnsi" w:hAnsiTheme="minorHAnsi" w:cstheme="minorHAnsi"/>
          <w:b/>
          <w:bCs/>
          <w:i/>
          <w:iCs/>
          <w:color w:val="000000"/>
        </w:rPr>
        <w:t xml:space="preserve">current </w:t>
      </w:r>
      <w:r w:rsidRPr="00520718">
        <w:rPr>
          <w:rFonts w:asciiTheme="minorHAnsi" w:hAnsiTheme="minorHAnsi" w:cstheme="minorHAnsi"/>
          <w:b/>
          <w:bCs/>
          <w:i/>
          <w:iCs/>
          <w:color w:val="000000"/>
        </w:rPr>
        <w:t xml:space="preserve">infestation levels </w:t>
      </w:r>
      <w:r w:rsidR="006F7694" w:rsidRPr="00520718">
        <w:rPr>
          <w:rFonts w:asciiTheme="minorHAnsi" w:hAnsiTheme="minorHAnsi" w:cstheme="minorHAnsi"/>
          <w:b/>
          <w:bCs/>
          <w:i/>
          <w:iCs/>
          <w:color w:val="000000"/>
        </w:rPr>
        <w:t xml:space="preserve">at or </w:t>
      </w:r>
      <w:r w:rsidRPr="00520718">
        <w:rPr>
          <w:rFonts w:asciiTheme="minorHAnsi" w:hAnsiTheme="minorHAnsi" w:cstheme="minorHAnsi"/>
          <w:b/>
          <w:bCs/>
          <w:i/>
          <w:iCs/>
          <w:color w:val="000000"/>
        </w:rPr>
        <w:t xml:space="preserve">below thresholds </w:t>
      </w:r>
      <w:r w:rsidR="006F7694" w:rsidRPr="00520718">
        <w:rPr>
          <w:rFonts w:asciiTheme="minorHAnsi" w:hAnsiTheme="minorHAnsi" w:cstheme="minorHAnsi"/>
          <w:b/>
          <w:bCs/>
          <w:i/>
          <w:iCs/>
          <w:color w:val="000000"/>
        </w:rPr>
        <w:t>suggested</w:t>
      </w:r>
      <w:r w:rsidRPr="00520718">
        <w:rPr>
          <w:rFonts w:asciiTheme="minorHAnsi" w:hAnsiTheme="minorHAnsi" w:cstheme="minorHAnsi"/>
          <w:b/>
          <w:bCs/>
          <w:i/>
          <w:iCs/>
          <w:color w:val="000000"/>
        </w:rPr>
        <w:t xml:space="preserve"> by </w:t>
      </w:r>
      <w:r w:rsidR="00520718">
        <w:rPr>
          <w:rFonts w:asciiTheme="minorHAnsi" w:hAnsiTheme="minorHAnsi" w:cstheme="minorHAnsi"/>
          <w:b/>
          <w:bCs/>
          <w:i/>
          <w:iCs/>
          <w:color w:val="000000"/>
        </w:rPr>
        <w:t>provincial guidance</w:t>
      </w:r>
      <w:r w:rsidR="00520718">
        <w:rPr>
          <w:rStyle w:val="FootnoteReference"/>
          <w:rFonts w:asciiTheme="minorHAnsi" w:hAnsiTheme="minorHAnsi" w:cstheme="minorHAnsi"/>
          <w:b/>
          <w:bCs/>
          <w:i/>
          <w:iCs/>
          <w:color w:val="000000"/>
        </w:rPr>
        <w:footnoteReference w:id="4"/>
      </w:r>
      <w:r w:rsidR="00520718">
        <w:rPr>
          <w:rFonts w:asciiTheme="minorHAnsi" w:hAnsiTheme="minorHAnsi" w:cstheme="minorHAnsi"/>
          <w:b/>
          <w:bCs/>
          <w:i/>
          <w:iCs/>
          <w:color w:val="000000"/>
        </w:rPr>
        <w:t xml:space="preserve"> </w:t>
      </w:r>
      <w:r w:rsidRPr="00520718">
        <w:rPr>
          <w:b/>
          <w:i/>
        </w:rPr>
        <w:t>for designated Beetle Management Units (BMU’s)</w:t>
      </w:r>
      <w:r w:rsidRPr="00520718">
        <w:rPr>
          <w:rFonts w:asciiTheme="minorHAnsi" w:hAnsiTheme="minorHAnsi" w:cstheme="minorHAnsi"/>
          <w:b/>
          <w:bCs/>
          <w:i/>
          <w:iCs/>
        </w:rPr>
        <w:t>:</w:t>
      </w:r>
    </w:p>
    <w:p w14:paraId="652FCF7D" w14:textId="77777777" w:rsidR="00751A2C" w:rsidRPr="00520718" w:rsidRDefault="006F7694" w:rsidP="006F7694">
      <w:pPr>
        <w:pStyle w:val="ListParagraph"/>
        <w:numPr>
          <w:ilvl w:val="0"/>
          <w:numId w:val="3"/>
        </w:numPr>
        <w:autoSpaceDE w:val="0"/>
        <w:autoSpaceDN w:val="0"/>
        <w:adjustRightInd w:val="0"/>
        <w:rPr>
          <w:rFonts w:asciiTheme="minorHAnsi" w:hAnsiTheme="minorHAnsi" w:cstheme="minorHAnsi"/>
          <w:b/>
          <w:bCs/>
          <w:i/>
          <w:iCs/>
        </w:rPr>
      </w:pPr>
      <w:r w:rsidRPr="00520718">
        <w:rPr>
          <w:b/>
          <w:i/>
        </w:rPr>
        <w:t>Suppression/Prevention BMU’s:  &lt;= 20% current infestation</w:t>
      </w:r>
    </w:p>
    <w:p w14:paraId="7637D13D" w14:textId="77777777" w:rsidR="006F7694" w:rsidRPr="00520718" w:rsidRDefault="006F7694" w:rsidP="006F7694">
      <w:pPr>
        <w:pStyle w:val="ListParagraph"/>
        <w:numPr>
          <w:ilvl w:val="0"/>
          <w:numId w:val="3"/>
        </w:numPr>
        <w:autoSpaceDE w:val="0"/>
        <w:autoSpaceDN w:val="0"/>
        <w:adjustRightInd w:val="0"/>
        <w:rPr>
          <w:rFonts w:asciiTheme="minorHAnsi" w:hAnsiTheme="minorHAnsi" w:cstheme="minorHAnsi"/>
          <w:b/>
          <w:bCs/>
          <w:i/>
          <w:iCs/>
        </w:rPr>
      </w:pPr>
      <w:r w:rsidRPr="00520718">
        <w:rPr>
          <w:b/>
          <w:i/>
        </w:rPr>
        <w:t>Holding BMU’s:  &lt; 50% current infestation</w:t>
      </w:r>
    </w:p>
    <w:p w14:paraId="56630167" w14:textId="77777777" w:rsidR="00751A2C" w:rsidRDefault="00751A2C" w:rsidP="00F62CAE">
      <w:pPr>
        <w:autoSpaceDE w:val="0"/>
        <w:autoSpaceDN w:val="0"/>
        <w:adjustRightInd w:val="0"/>
        <w:rPr>
          <w:rFonts w:asciiTheme="minorHAnsi" w:hAnsiTheme="minorHAnsi" w:cstheme="minorHAnsi"/>
          <w:bCs/>
          <w:iCs/>
          <w:color w:val="000000"/>
        </w:rPr>
      </w:pPr>
    </w:p>
    <w:p w14:paraId="2F39AA28" w14:textId="77777777" w:rsidR="00751EBA" w:rsidRPr="00DA3CF9" w:rsidRDefault="00751EBA" w:rsidP="0029081E">
      <w:pPr>
        <w:autoSpaceDE w:val="0"/>
        <w:autoSpaceDN w:val="0"/>
        <w:adjustRightInd w:val="0"/>
        <w:spacing w:after="120"/>
        <w:rPr>
          <w:rFonts w:asciiTheme="minorHAnsi" w:hAnsiTheme="minorHAnsi" w:cstheme="minorHAnsi"/>
          <w:bCs/>
          <w:iCs/>
          <w:color w:val="000000"/>
        </w:rPr>
      </w:pPr>
      <w:bookmarkStart w:id="0" w:name="_Hlk138838145"/>
      <w:r w:rsidRPr="00DA3CF9">
        <w:rPr>
          <w:rFonts w:asciiTheme="minorHAnsi" w:hAnsiTheme="minorHAnsi" w:cstheme="minorHAnsi"/>
          <w:bCs/>
          <w:iCs/>
          <w:color w:val="000000"/>
        </w:rPr>
        <w:t xml:space="preserve">Table XX provides </w:t>
      </w:r>
      <w:r w:rsidR="00751A2C" w:rsidRPr="004232A2">
        <w:rPr>
          <w:rFonts w:asciiTheme="minorHAnsi" w:hAnsiTheme="minorHAnsi" w:cstheme="minorHAnsi"/>
          <w:bCs/>
          <w:iCs/>
          <w:color w:val="000000"/>
          <w:u w:val="single"/>
        </w:rPr>
        <w:t>tactics</w:t>
      </w:r>
      <w:r w:rsidR="002D1ECE" w:rsidRPr="002D1ECE">
        <w:rPr>
          <w:rFonts w:asciiTheme="minorHAnsi" w:hAnsiTheme="minorHAnsi" w:cstheme="minorHAnsi"/>
          <w:bCs/>
          <w:iCs/>
          <w:color w:val="000000"/>
        </w:rPr>
        <w:t xml:space="preserve"> </w:t>
      </w:r>
      <w:r w:rsidRPr="00DA3CF9">
        <w:rPr>
          <w:rFonts w:asciiTheme="minorHAnsi" w:hAnsiTheme="minorHAnsi" w:cstheme="minorHAnsi"/>
          <w:bCs/>
          <w:iCs/>
          <w:color w:val="000000"/>
        </w:rPr>
        <w:t>aimed at achievement of objectives</w:t>
      </w:r>
      <w:r w:rsidR="00751A2C">
        <w:rPr>
          <w:rFonts w:asciiTheme="minorHAnsi" w:hAnsiTheme="minorHAnsi" w:cstheme="minorHAnsi"/>
          <w:bCs/>
          <w:iCs/>
          <w:color w:val="000000"/>
        </w:rPr>
        <w:t xml:space="preserve"> and strategies</w:t>
      </w:r>
      <w:r w:rsidR="00DA3CF9">
        <w:rPr>
          <w:rFonts w:asciiTheme="minorHAnsi" w:hAnsiTheme="minorHAnsi" w:cstheme="minorHAnsi"/>
          <w:bCs/>
          <w:iCs/>
          <w:color w:val="000000"/>
        </w:rPr>
        <w:t>,</w:t>
      </w:r>
      <w:r w:rsidRPr="00DA3CF9">
        <w:rPr>
          <w:rFonts w:asciiTheme="minorHAnsi" w:hAnsiTheme="minorHAnsi" w:cstheme="minorHAnsi"/>
          <w:bCs/>
          <w:iCs/>
          <w:color w:val="000000"/>
        </w:rPr>
        <w:t xml:space="preserve"> and recommended </w:t>
      </w:r>
      <w:r w:rsidR="009E46B4">
        <w:rPr>
          <w:rFonts w:asciiTheme="minorHAnsi" w:hAnsiTheme="minorHAnsi" w:cstheme="minorHAnsi"/>
          <w:bCs/>
          <w:iCs/>
          <w:color w:val="000000"/>
        </w:rPr>
        <w:t xml:space="preserve">timing and </w:t>
      </w:r>
      <w:r w:rsidRPr="00DA3CF9">
        <w:rPr>
          <w:rFonts w:asciiTheme="minorHAnsi" w:hAnsiTheme="minorHAnsi" w:cstheme="minorHAnsi"/>
          <w:bCs/>
          <w:iCs/>
          <w:color w:val="000000"/>
        </w:rPr>
        <w:t xml:space="preserve">delivery agents. </w:t>
      </w:r>
      <w:r w:rsidR="002D1ECE">
        <w:rPr>
          <w:rFonts w:asciiTheme="minorHAnsi" w:hAnsiTheme="minorHAnsi" w:cstheme="minorHAnsi"/>
          <w:bCs/>
          <w:iCs/>
          <w:color w:val="000000"/>
        </w:rPr>
        <w:t>Tactics</w:t>
      </w:r>
      <w:r w:rsidR="002D1ECE" w:rsidRPr="00DA3CF9">
        <w:rPr>
          <w:rFonts w:asciiTheme="minorHAnsi" w:hAnsiTheme="minorHAnsi" w:cstheme="minorHAnsi"/>
          <w:bCs/>
          <w:iCs/>
          <w:color w:val="000000"/>
        </w:rPr>
        <w:t xml:space="preserve"> </w:t>
      </w:r>
      <w:r w:rsidR="002D1ECE">
        <w:rPr>
          <w:rFonts w:asciiTheme="minorHAnsi" w:hAnsiTheme="minorHAnsi" w:cstheme="minorHAnsi"/>
          <w:bCs/>
          <w:iCs/>
          <w:color w:val="000000"/>
        </w:rPr>
        <w:t xml:space="preserve">are not independent, </w:t>
      </w:r>
      <w:proofErr w:type="gramStart"/>
      <w:r w:rsidR="002D1ECE">
        <w:rPr>
          <w:rFonts w:asciiTheme="minorHAnsi" w:hAnsiTheme="minorHAnsi" w:cstheme="minorHAnsi"/>
          <w:bCs/>
          <w:iCs/>
          <w:color w:val="000000"/>
        </w:rPr>
        <w:t>i.e.</w:t>
      </w:r>
      <w:proofErr w:type="gramEnd"/>
      <w:r w:rsidR="002D1ECE">
        <w:rPr>
          <w:rFonts w:asciiTheme="minorHAnsi" w:hAnsiTheme="minorHAnsi" w:cstheme="minorHAnsi"/>
          <w:bCs/>
          <w:iCs/>
          <w:color w:val="000000"/>
        </w:rPr>
        <w:t xml:space="preserve"> they should be</w:t>
      </w:r>
      <w:r w:rsidR="002D1ECE" w:rsidRPr="00DA3CF9">
        <w:rPr>
          <w:rFonts w:asciiTheme="minorHAnsi" w:hAnsiTheme="minorHAnsi" w:cstheme="minorHAnsi"/>
          <w:bCs/>
          <w:iCs/>
          <w:color w:val="000000"/>
        </w:rPr>
        <w:t xml:space="preserve"> delivered as a suite</w:t>
      </w:r>
      <w:r w:rsidR="002D1ECE">
        <w:rPr>
          <w:rFonts w:asciiTheme="minorHAnsi" w:hAnsiTheme="minorHAnsi" w:cstheme="minorHAnsi"/>
          <w:bCs/>
          <w:iCs/>
          <w:color w:val="000000"/>
        </w:rPr>
        <w:t xml:space="preserve"> and in the order and timing provided in Table XX</w:t>
      </w:r>
      <w:r w:rsidR="002D1ECE" w:rsidRPr="00DA3CF9">
        <w:rPr>
          <w:rFonts w:asciiTheme="minorHAnsi" w:hAnsiTheme="minorHAnsi" w:cstheme="minorHAnsi"/>
          <w:bCs/>
          <w:iCs/>
          <w:color w:val="000000"/>
        </w:rPr>
        <w:t>.</w:t>
      </w:r>
      <w:r w:rsidR="0029081E">
        <w:rPr>
          <w:rFonts w:asciiTheme="minorHAnsi" w:hAnsiTheme="minorHAnsi" w:cstheme="minorHAnsi"/>
          <w:bCs/>
          <w:iCs/>
          <w:color w:val="000000"/>
        </w:rPr>
        <w:t xml:space="preserve"> </w:t>
      </w:r>
      <w:r w:rsidR="00072C17">
        <w:rPr>
          <w:rFonts w:asciiTheme="minorHAnsi" w:hAnsiTheme="minorHAnsi" w:cstheme="minorHAnsi"/>
          <w:bCs/>
          <w:iCs/>
          <w:color w:val="000000"/>
        </w:rPr>
        <w:t>Tactic</w:t>
      </w:r>
      <w:r w:rsidR="00072C17" w:rsidRPr="00DA3CF9">
        <w:rPr>
          <w:rFonts w:asciiTheme="minorHAnsi" w:hAnsiTheme="minorHAnsi" w:cstheme="minorHAnsi"/>
          <w:bCs/>
          <w:iCs/>
          <w:color w:val="000000"/>
        </w:rPr>
        <w:t xml:space="preserve"> context is provided below the table.</w:t>
      </w:r>
      <w:r w:rsidR="00072C17">
        <w:rPr>
          <w:rFonts w:asciiTheme="minorHAnsi" w:hAnsiTheme="minorHAnsi" w:cstheme="minorHAnsi"/>
          <w:bCs/>
          <w:iCs/>
          <w:color w:val="000000"/>
        </w:rPr>
        <w:t xml:space="preserve"> </w:t>
      </w:r>
    </w:p>
    <w:p w14:paraId="52417CEC" w14:textId="77777777" w:rsidR="005F7A3A" w:rsidRDefault="005F7A3A" w:rsidP="00F62CAE">
      <w:pPr>
        <w:autoSpaceDE w:val="0"/>
        <w:autoSpaceDN w:val="0"/>
        <w:adjustRightInd w:val="0"/>
        <w:rPr>
          <w:rFonts w:ascii="OfficinaSans-BoldItalic" w:hAnsi="OfficinaSans-BoldItalic" w:cs="OfficinaSans-BoldItalic"/>
          <w:bCs/>
          <w:iCs/>
          <w:color w:val="000000"/>
          <w:sz w:val="20"/>
          <w:szCs w:val="20"/>
        </w:rPr>
      </w:pPr>
    </w:p>
    <w:p w14:paraId="35625302" w14:textId="77777777" w:rsidR="00751EBA" w:rsidRPr="0029081E" w:rsidRDefault="005F7A3A" w:rsidP="005F7A3A">
      <w:pPr>
        <w:autoSpaceDE w:val="0"/>
        <w:autoSpaceDN w:val="0"/>
        <w:adjustRightInd w:val="0"/>
        <w:spacing w:after="120"/>
        <w:rPr>
          <w:rFonts w:asciiTheme="minorHAnsi" w:hAnsiTheme="minorHAnsi" w:cstheme="minorHAnsi"/>
          <w:bCs/>
          <w:i/>
          <w:iCs/>
          <w:color w:val="000000"/>
        </w:rPr>
      </w:pPr>
      <w:r w:rsidRPr="0029081E">
        <w:rPr>
          <w:rFonts w:asciiTheme="minorHAnsi" w:hAnsiTheme="minorHAnsi" w:cstheme="minorHAnsi"/>
          <w:bCs/>
          <w:i/>
          <w:iCs/>
          <w:color w:val="000000"/>
        </w:rPr>
        <w:t>Table XX</w:t>
      </w:r>
      <w:r w:rsidR="0029081E">
        <w:rPr>
          <w:rFonts w:asciiTheme="minorHAnsi" w:hAnsiTheme="minorHAnsi" w:cstheme="minorHAnsi"/>
          <w:bCs/>
          <w:i/>
          <w:iCs/>
          <w:color w:val="000000"/>
        </w:rPr>
        <w:t>: IBM Tactics</w:t>
      </w:r>
    </w:p>
    <w:tbl>
      <w:tblPr>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01"/>
        <w:gridCol w:w="3107"/>
        <w:gridCol w:w="1417"/>
        <w:gridCol w:w="3697"/>
      </w:tblGrid>
      <w:tr w:rsidR="003134E8" w14:paraId="76284ED1" w14:textId="77777777" w:rsidTr="003134E8">
        <w:tc>
          <w:tcPr>
            <w:tcW w:w="1101" w:type="dxa"/>
            <w:tcBorders>
              <w:top w:val="single" w:sz="12" w:space="0" w:color="auto"/>
              <w:bottom w:val="single" w:sz="12" w:space="0" w:color="auto"/>
              <w:right w:val="single" w:sz="12" w:space="0" w:color="auto"/>
            </w:tcBorders>
            <w:vAlign w:val="center"/>
          </w:tcPr>
          <w:p w14:paraId="18175570" w14:textId="77777777" w:rsidR="003134E8" w:rsidRDefault="003134E8" w:rsidP="00BE22FC">
            <w:pPr>
              <w:jc w:val="center"/>
              <w:rPr>
                <w:b/>
              </w:rPr>
            </w:pPr>
            <w:r>
              <w:rPr>
                <w:b/>
              </w:rPr>
              <w:t>Objective No.</w:t>
            </w:r>
          </w:p>
        </w:tc>
        <w:tc>
          <w:tcPr>
            <w:tcW w:w="3107" w:type="dxa"/>
            <w:tcBorders>
              <w:top w:val="single" w:sz="12" w:space="0" w:color="auto"/>
              <w:left w:val="single" w:sz="12" w:space="0" w:color="auto"/>
              <w:bottom w:val="single" w:sz="12" w:space="0" w:color="auto"/>
              <w:right w:val="single" w:sz="12" w:space="0" w:color="auto"/>
            </w:tcBorders>
            <w:vAlign w:val="center"/>
          </w:tcPr>
          <w:p w14:paraId="523557C5" w14:textId="77777777" w:rsidR="003134E8" w:rsidRDefault="003134E8" w:rsidP="00BE22FC">
            <w:pPr>
              <w:jc w:val="center"/>
              <w:rPr>
                <w:b/>
                <w:i/>
              </w:rPr>
            </w:pPr>
            <w:r>
              <w:rPr>
                <w:b/>
              </w:rPr>
              <w:t>Tactic (BMP)</w:t>
            </w:r>
          </w:p>
        </w:tc>
        <w:tc>
          <w:tcPr>
            <w:tcW w:w="1417" w:type="dxa"/>
            <w:tcBorders>
              <w:top w:val="single" w:sz="12" w:space="0" w:color="auto"/>
              <w:left w:val="single" w:sz="12" w:space="0" w:color="auto"/>
              <w:bottom w:val="single" w:sz="12" w:space="0" w:color="auto"/>
              <w:right w:val="single" w:sz="12" w:space="0" w:color="auto"/>
            </w:tcBorders>
          </w:tcPr>
          <w:p w14:paraId="6374EF3D" w14:textId="77777777" w:rsidR="003134E8" w:rsidRDefault="003134E8" w:rsidP="00FE0646">
            <w:pPr>
              <w:jc w:val="center"/>
              <w:rPr>
                <w:b/>
              </w:rPr>
            </w:pPr>
            <w:r>
              <w:rPr>
                <w:b/>
              </w:rPr>
              <w:t>Timing</w:t>
            </w:r>
          </w:p>
        </w:tc>
        <w:tc>
          <w:tcPr>
            <w:tcW w:w="3697" w:type="dxa"/>
            <w:tcBorders>
              <w:top w:val="single" w:sz="12" w:space="0" w:color="auto"/>
              <w:left w:val="single" w:sz="12" w:space="0" w:color="auto"/>
              <w:bottom w:val="single" w:sz="12" w:space="0" w:color="auto"/>
            </w:tcBorders>
            <w:vAlign w:val="center"/>
          </w:tcPr>
          <w:p w14:paraId="180AECBA" w14:textId="77777777" w:rsidR="003134E8" w:rsidRDefault="003134E8" w:rsidP="00FE0646">
            <w:pPr>
              <w:jc w:val="center"/>
              <w:rPr>
                <w:b/>
              </w:rPr>
            </w:pPr>
            <w:r>
              <w:rPr>
                <w:b/>
              </w:rPr>
              <w:t>Responsibility</w:t>
            </w:r>
          </w:p>
        </w:tc>
      </w:tr>
      <w:tr w:rsidR="00756D34" w14:paraId="4AFB7A99" w14:textId="77777777" w:rsidTr="00BE22FC">
        <w:tc>
          <w:tcPr>
            <w:tcW w:w="1101" w:type="dxa"/>
            <w:tcBorders>
              <w:top w:val="single" w:sz="6" w:space="0" w:color="auto"/>
              <w:left w:val="single" w:sz="4" w:space="0" w:color="auto"/>
              <w:bottom w:val="single" w:sz="6" w:space="0" w:color="auto"/>
              <w:right w:val="single" w:sz="6" w:space="0" w:color="auto"/>
            </w:tcBorders>
            <w:vAlign w:val="center"/>
          </w:tcPr>
          <w:p w14:paraId="0364B16C" w14:textId="77777777" w:rsidR="00756D34" w:rsidRPr="00296367" w:rsidRDefault="00756D34" w:rsidP="00756D34">
            <w:pPr>
              <w:jc w:val="center"/>
              <w:rPr>
                <w:b/>
              </w:rPr>
            </w:pPr>
            <w:r w:rsidRPr="00296367">
              <w:rPr>
                <w:b/>
              </w:rPr>
              <w:t>1</w:t>
            </w:r>
          </w:p>
        </w:tc>
        <w:tc>
          <w:tcPr>
            <w:tcW w:w="3107" w:type="dxa"/>
            <w:tcBorders>
              <w:top w:val="single" w:sz="6" w:space="0" w:color="auto"/>
              <w:left w:val="single" w:sz="6" w:space="0" w:color="auto"/>
              <w:bottom w:val="single" w:sz="6" w:space="0" w:color="auto"/>
              <w:right w:val="single" w:sz="6" w:space="0" w:color="auto"/>
            </w:tcBorders>
            <w:vAlign w:val="center"/>
          </w:tcPr>
          <w:p w14:paraId="48F73BB3" w14:textId="11029499" w:rsidR="00756D34" w:rsidRPr="00756D34" w:rsidRDefault="00756D34" w:rsidP="00756D34">
            <w:pPr>
              <w:rPr>
                <w:sz w:val="21"/>
                <w:szCs w:val="21"/>
              </w:rPr>
            </w:pPr>
            <w:r w:rsidRPr="00756D34">
              <w:rPr>
                <w:sz w:val="21"/>
                <w:szCs w:val="21"/>
              </w:rPr>
              <w:t>Complete and maintain Hazard/ Susceptibility mapping</w:t>
            </w:r>
          </w:p>
        </w:tc>
        <w:tc>
          <w:tcPr>
            <w:tcW w:w="1417" w:type="dxa"/>
            <w:tcBorders>
              <w:top w:val="single" w:sz="6" w:space="0" w:color="auto"/>
              <w:left w:val="single" w:sz="6" w:space="0" w:color="auto"/>
              <w:bottom w:val="single" w:sz="6" w:space="0" w:color="auto"/>
              <w:right w:val="single" w:sz="6" w:space="0" w:color="auto"/>
            </w:tcBorders>
          </w:tcPr>
          <w:p w14:paraId="4FBA1619" w14:textId="703EF5F6" w:rsidR="00756D34" w:rsidRPr="00756D34" w:rsidRDefault="00756D34" w:rsidP="00756D34">
            <w:pPr>
              <w:rPr>
                <w:sz w:val="21"/>
                <w:szCs w:val="21"/>
              </w:rPr>
            </w:pPr>
            <w:r w:rsidRPr="00756D34">
              <w:rPr>
                <w:sz w:val="21"/>
                <w:szCs w:val="21"/>
              </w:rPr>
              <w:t>Ongoing</w:t>
            </w:r>
          </w:p>
        </w:tc>
        <w:tc>
          <w:tcPr>
            <w:tcW w:w="3697" w:type="dxa"/>
            <w:tcBorders>
              <w:top w:val="single" w:sz="6" w:space="0" w:color="auto"/>
              <w:left w:val="single" w:sz="6" w:space="0" w:color="auto"/>
              <w:bottom w:val="single" w:sz="6" w:space="0" w:color="auto"/>
              <w:right w:val="single" w:sz="4" w:space="0" w:color="auto"/>
            </w:tcBorders>
          </w:tcPr>
          <w:p w14:paraId="30EE8F48" w14:textId="49BC6007" w:rsidR="00756D34" w:rsidRDefault="00756D34" w:rsidP="00756D34">
            <w:r>
              <w:t>MOF Branch</w:t>
            </w:r>
          </w:p>
        </w:tc>
      </w:tr>
      <w:tr w:rsidR="00756D34" w14:paraId="3C16F58A" w14:textId="77777777" w:rsidTr="00BE22FC">
        <w:tc>
          <w:tcPr>
            <w:tcW w:w="1101" w:type="dxa"/>
            <w:tcBorders>
              <w:top w:val="single" w:sz="6" w:space="0" w:color="auto"/>
              <w:left w:val="single" w:sz="4" w:space="0" w:color="auto"/>
              <w:bottom w:val="single" w:sz="6" w:space="0" w:color="auto"/>
              <w:right w:val="single" w:sz="6" w:space="0" w:color="auto"/>
            </w:tcBorders>
            <w:vAlign w:val="center"/>
          </w:tcPr>
          <w:p w14:paraId="2C9B1753" w14:textId="77777777" w:rsidR="00756D34" w:rsidRPr="00296367" w:rsidRDefault="00756D34" w:rsidP="00756D34">
            <w:pPr>
              <w:jc w:val="center"/>
              <w:rPr>
                <w:b/>
              </w:rPr>
            </w:pPr>
            <w:r>
              <w:rPr>
                <w:b/>
              </w:rPr>
              <w:t>2</w:t>
            </w:r>
          </w:p>
        </w:tc>
        <w:tc>
          <w:tcPr>
            <w:tcW w:w="3107" w:type="dxa"/>
            <w:tcBorders>
              <w:top w:val="single" w:sz="6" w:space="0" w:color="auto"/>
              <w:left w:val="single" w:sz="6" w:space="0" w:color="auto"/>
              <w:bottom w:val="single" w:sz="6" w:space="0" w:color="auto"/>
              <w:right w:val="single" w:sz="6" w:space="0" w:color="auto"/>
            </w:tcBorders>
            <w:vAlign w:val="center"/>
          </w:tcPr>
          <w:p w14:paraId="54DA9987" w14:textId="182482FD" w:rsidR="00756D34" w:rsidRPr="00756D34" w:rsidRDefault="00756D34" w:rsidP="00756D34">
            <w:pPr>
              <w:rPr>
                <w:sz w:val="21"/>
                <w:szCs w:val="21"/>
              </w:rPr>
            </w:pPr>
            <w:r w:rsidRPr="00756D34">
              <w:rPr>
                <w:sz w:val="21"/>
                <w:szCs w:val="21"/>
              </w:rPr>
              <w:t>Update Beetle Management Unit (BMU) designations and identify “aggressive” management areas</w:t>
            </w:r>
          </w:p>
        </w:tc>
        <w:tc>
          <w:tcPr>
            <w:tcW w:w="1417" w:type="dxa"/>
            <w:tcBorders>
              <w:top w:val="single" w:sz="6" w:space="0" w:color="auto"/>
              <w:left w:val="single" w:sz="6" w:space="0" w:color="auto"/>
              <w:bottom w:val="single" w:sz="6" w:space="0" w:color="auto"/>
              <w:right w:val="single" w:sz="6" w:space="0" w:color="auto"/>
            </w:tcBorders>
          </w:tcPr>
          <w:p w14:paraId="6140A9BB" w14:textId="6AF16EC6" w:rsidR="00756D34" w:rsidRPr="00756D34" w:rsidRDefault="00756D34" w:rsidP="00756D34">
            <w:pPr>
              <w:rPr>
                <w:sz w:val="21"/>
                <w:szCs w:val="21"/>
              </w:rPr>
            </w:pPr>
            <w:r w:rsidRPr="00756D34">
              <w:rPr>
                <w:sz w:val="21"/>
                <w:szCs w:val="21"/>
              </w:rPr>
              <w:t>By March, year 0</w:t>
            </w:r>
          </w:p>
        </w:tc>
        <w:tc>
          <w:tcPr>
            <w:tcW w:w="3697" w:type="dxa"/>
            <w:tcBorders>
              <w:top w:val="single" w:sz="6" w:space="0" w:color="auto"/>
              <w:left w:val="single" w:sz="6" w:space="0" w:color="auto"/>
              <w:bottom w:val="single" w:sz="6" w:space="0" w:color="auto"/>
              <w:right w:val="single" w:sz="4" w:space="0" w:color="auto"/>
            </w:tcBorders>
          </w:tcPr>
          <w:p w14:paraId="08BC5509" w14:textId="165E69FF" w:rsidR="00756D34" w:rsidRDefault="00756D34" w:rsidP="00756D34">
            <w:r>
              <w:t>MOF District (Licensee input)</w:t>
            </w:r>
          </w:p>
        </w:tc>
      </w:tr>
      <w:tr w:rsidR="00756D34" w14:paraId="3F33CC85" w14:textId="77777777" w:rsidTr="003134E8">
        <w:tc>
          <w:tcPr>
            <w:tcW w:w="1101" w:type="dxa"/>
            <w:tcBorders>
              <w:top w:val="single" w:sz="6" w:space="0" w:color="auto"/>
              <w:left w:val="single" w:sz="4" w:space="0" w:color="auto"/>
              <w:bottom w:val="single" w:sz="6" w:space="0" w:color="auto"/>
            </w:tcBorders>
            <w:vAlign w:val="center"/>
          </w:tcPr>
          <w:p w14:paraId="57D67C9C" w14:textId="77777777" w:rsidR="00756D34" w:rsidRPr="00296367" w:rsidRDefault="00756D34" w:rsidP="00756D34">
            <w:pPr>
              <w:jc w:val="center"/>
              <w:rPr>
                <w:b/>
              </w:rPr>
            </w:pPr>
            <w:r w:rsidRPr="00296367">
              <w:rPr>
                <w:b/>
              </w:rPr>
              <w:t>1</w:t>
            </w:r>
          </w:p>
        </w:tc>
        <w:tc>
          <w:tcPr>
            <w:tcW w:w="3107" w:type="dxa"/>
            <w:tcBorders>
              <w:top w:val="single" w:sz="6" w:space="0" w:color="auto"/>
              <w:bottom w:val="single" w:sz="6" w:space="0" w:color="auto"/>
            </w:tcBorders>
            <w:vAlign w:val="center"/>
          </w:tcPr>
          <w:p w14:paraId="5A773F77" w14:textId="2702B0EC" w:rsidR="00756D34" w:rsidRPr="00756D34" w:rsidRDefault="00756D34" w:rsidP="00756D34">
            <w:pPr>
              <w:rPr>
                <w:sz w:val="21"/>
                <w:szCs w:val="21"/>
              </w:rPr>
            </w:pPr>
            <w:r w:rsidRPr="00756D34">
              <w:rPr>
                <w:sz w:val="21"/>
                <w:szCs w:val="21"/>
              </w:rPr>
              <w:t>Conduct aerial and ground surveys to capture spots and patches of current incidence; compile information</w:t>
            </w:r>
          </w:p>
        </w:tc>
        <w:tc>
          <w:tcPr>
            <w:tcW w:w="1417" w:type="dxa"/>
            <w:tcBorders>
              <w:top w:val="single" w:sz="6" w:space="0" w:color="auto"/>
              <w:bottom w:val="single" w:sz="6" w:space="0" w:color="auto"/>
            </w:tcBorders>
          </w:tcPr>
          <w:p w14:paraId="2BCAAD6B" w14:textId="0F9DF26F" w:rsidR="00756D34" w:rsidRPr="00756D34" w:rsidRDefault="00756D34" w:rsidP="00756D34">
            <w:pPr>
              <w:rPr>
                <w:sz w:val="21"/>
                <w:szCs w:val="21"/>
              </w:rPr>
            </w:pPr>
            <w:r w:rsidRPr="00756D34">
              <w:rPr>
                <w:sz w:val="21"/>
                <w:szCs w:val="21"/>
              </w:rPr>
              <w:t>Mid-Aug to mid-Sept, year 0</w:t>
            </w:r>
          </w:p>
        </w:tc>
        <w:tc>
          <w:tcPr>
            <w:tcW w:w="3697" w:type="dxa"/>
            <w:tcBorders>
              <w:top w:val="single" w:sz="6" w:space="0" w:color="auto"/>
              <w:bottom w:val="single" w:sz="6" w:space="0" w:color="auto"/>
              <w:right w:val="single" w:sz="4" w:space="0" w:color="auto"/>
            </w:tcBorders>
          </w:tcPr>
          <w:p w14:paraId="3B9D12F7" w14:textId="77777777" w:rsidR="00756D34" w:rsidRDefault="00756D34" w:rsidP="00756D34">
            <w:pPr>
              <w:spacing w:line="276" w:lineRule="auto"/>
            </w:pPr>
            <w:r>
              <w:t xml:space="preserve">: Provincial AOS - MOF Branch &amp; </w:t>
            </w:r>
            <w:proofErr w:type="gramStart"/>
            <w:r>
              <w:t>Region;</w:t>
            </w:r>
            <w:proofErr w:type="gramEnd"/>
          </w:p>
          <w:p w14:paraId="13ED60C1" w14:textId="77777777" w:rsidR="00756D34" w:rsidRDefault="00756D34" w:rsidP="00756D34">
            <w:pPr>
              <w:spacing w:line="276" w:lineRule="auto"/>
            </w:pPr>
            <w:r>
              <w:t xml:space="preserve">: Detailed Waypoint-Based AOS - MOF District to </w:t>
            </w:r>
            <w:proofErr w:type="gramStart"/>
            <w:r>
              <w:t>coordinate;</w:t>
            </w:r>
            <w:proofErr w:type="gramEnd"/>
          </w:p>
          <w:p w14:paraId="14A5897C" w14:textId="77777777" w:rsidR="00756D34" w:rsidRDefault="00756D34" w:rsidP="00756D34">
            <w:pPr>
              <w:spacing w:line="276" w:lineRule="auto"/>
            </w:pPr>
            <w:r>
              <w:t xml:space="preserve">: Ground surveys/probing – MOF District, Licensees </w:t>
            </w:r>
          </w:p>
          <w:p w14:paraId="500DDF13" w14:textId="2D980475" w:rsidR="00756D34" w:rsidRDefault="00756D34" w:rsidP="00756D34">
            <w:r>
              <w:t>: Compilation – MOF District</w:t>
            </w:r>
          </w:p>
        </w:tc>
      </w:tr>
      <w:tr w:rsidR="00756D34" w14:paraId="18463177" w14:textId="77777777" w:rsidTr="00BE22FC">
        <w:tc>
          <w:tcPr>
            <w:tcW w:w="1101" w:type="dxa"/>
            <w:tcBorders>
              <w:top w:val="single" w:sz="6" w:space="0" w:color="auto"/>
              <w:left w:val="single" w:sz="4" w:space="0" w:color="auto"/>
              <w:bottom w:val="single" w:sz="6" w:space="0" w:color="auto"/>
            </w:tcBorders>
            <w:vAlign w:val="center"/>
          </w:tcPr>
          <w:p w14:paraId="4139E461" w14:textId="77777777" w:rsidR="00756D34" w:rsidRPr="00296367" w:rsidRDefault="00756D34" w:rsidP="00756D34">
            <w:pPr>
              <w:jc w:val="center"/>
              <w:rPr>
                <w:b/>
              </w:rPr>
            </w:pPr>
            <w:r w:rsidRPr="00296367">
              <w:rPr>
                <w:b/>
              </w:rPr>
              <w:t>1</w:t>
            </w:r>
            <w:r>
              <w:rPr>
                <w:b/>
              </w:rPr>
              <w:t>, 2</w:t>
            </w:r>
          </w:p>
        </w:tc>
        <w:tc>
          <w:tcPr>
            <w:tcW w:w="3107" w:type="dxa"/>
            <w:tcBorders>
              <w:top w:val="single" w:sz="6" w:space="0" w:color="auto"/>
              <w:bottom w:val="single" w:sz="6" w:space="0" w:color="auto"/>
            </w:tcBorders>
            <w:vAlign w:val="center"/>
          </w:tcPr>
          <w:p w14:paraId="64FB43D0" w14:textId="79E50C50" w:rsidR="00756D34" w:rsidRPr="00756D34" w:rsidRDefault="00756D34" w:rsidP="00756D34">
            <w:pPr>
              <w:rPr>
                <w:sz w:val="21"/>
                <w:szCs w:val="21"/>
              </w:rPr>
            </w:pPr>
            <w:r w:rsidRPr="00756D34">
              <w:rPr>
                <w:sz w:val="21"/>
                <w:szCs w:val="21"/>
              </w:rPr>
              <w:t>Assign risk-based Actioning Strategy to incidence points or areas; update Beetle Tactical Plans; consult with First Nations</w:t>
            </w:r>
          </w:p>
        </w:tc>
        <w:tc>
          <w:tcPr>
            <w:tcW w:w="1417" w:type="dxa"/>
            <w:tcBorders>
              <w:top w:val="single" w:sz="6" w:space="0" w:color="auto"/>
              <w:bottom w:val="single" w:sz="6" w:space="0" w:color="auto"/>
            </w:tcBorders>
          </w:tcPr>
          <w:p w14:paraId="166575F4" w14:textId="68A27785" w:rsidR="00756D34" w:rsidRPr="00756D34" w:rsidRDefault="00756D34" w:rsidP="00756D34">
            <w:pPr>
              <w:rPr>
                <w:sz w:val="21"/>
                <w:szCs w:val="21"/>
              </w:rPr>
            </w:pPr>
            <w:r w:rsidRPr="00756D34">
              <w:rPr>
                <w:sz w:val="21"/>
                <w:szCs w:val="21"/>
              </w:rPr>
              <w:t>Sept-Nov, year 0</w:t>
            </w:r>
          </w:p>
        </w:tc>
        <w:tc>
          <w:tcPr>
            <w:tcW w:w="3697" w:type="dxa"/>
            <w:tcBorders>
              <w:top w:val="single" w:sz="6" w:space="0" w:color="auto"/>
              <w:bottom w:val="single" w:sz="6" w:space="0" w:color="auto"/>
              <w:right w:val="single" w:sz="4" w:space="0" w:color="auto"/>
            </w:tcBorders>
          </w:tcPr>
          <w:p w14:paraId="3ABED189" w14:textId="77777777" w:rsidR="00756D34" w:rsidRDefault="00756D34" w:rsidP="00756D34">
            <w:pPr>
              <w:spacing w:line="276" w:lineRule="auto"/>
            </w:pPr>
            <w:r>
              <w:t>Tactics assignment: MOF District and Licensees; via the Skeena Region Bark Beetle Portal</w:t>
            </w:r>
          </w:p>
          <w:p w14:paraId="457937E8" w14:textId="77777777" w:rsidR="00756D34" w:rsidRDefault="00756D34" w:rsidP="00756D34">
            <w:pPr>
              <w:rPr>
                <w:sz w:val="16"/>
                <w:szCs w:val="16"/>
              </w:rPr>
            </w:pPr>
            <w:hyperlink r:id="rId11" w:history="1">
              <w:r>
                <w:rPr>
                  <w:rStyle w:val="Hyperlink"/>
                  <w:sz w:val="16"/>
                  <w:szCs w:val="16"/>
                </w:rPr>
                <w:t>https://experience.arcgis.com/experience/b6f7b90d68c04d1b84abbf252d07871d</w:t>
              </w:r>
            </w:hyperlink>
          </w:p>
          <w:p w14:paraId="56628F87" w14:textId="77777777" w:rsidR="00756D34" w:rsidRDefault="00756D34" w:rsidP="00756D34">
            <w:pPr>
              <w:rPr>
                <w:rFonts w:ascii="Arial" w:hAnsi="Arial" w:cs="Arial"/>
                <w:b/>
                <w:bCs/>
                <w:sz w:val="16"/>
                <w:szCs w:val="16"/>
                <w:lang w:eastAsia="en-CA"/>
              </w:rPr>
            </w:pPr>
            <w:r>
              <w:rPr>
                <w:rFonts w:ascii="Arial" w:hAnsi="Arial" w:cs="Arial"/>
                <w:b/>
                <w:bCs/>
                <w:sz w:val="16"/>
                <w:szCs w:val="16"/>
                <w:lang w:eastAsia="en-CA"/>
              </w:rPr>
              <w:t>username: PX_OSBP</w:t>
            </w:r>
          </w:p>
          <w:p w14:paraId="1E291C7D" w14:textId="77777777" w:rsidR="00756D34" w:rsidRDefault="00756D34" w:rsidP="00756D34">
            <w:pPr>
              <w:rPr>
                <w:rFonts w:ascii="Arial" w:hAnsi="Arial" w:cs="Arial"/>
                <w:b/>
                <w:bCs/>
                <w:sz w:val="16"/>
                <w:szCs w:val="16"/>
                <w:lang w:eastAsia="en-CA"/>
              </w:rPr>
            </w:pPr>
            <w:r>
              <w:rPr>
                <w:rFonts w:ascii="Arial" w:hAnsi="Arial" w:cs="Arial"/>
                <w:b/>
                <w:bCs/>
                <w:sz w:val="16"/>
                <w:szCs w:val="16"/>
                <w:lang w:eastAsia="en-CA"/>
              </w:rPr>
              <w:t>password: guest123</w:t>
            </w:r>
          </w:p>
          <w:p w14:paraId="2A36B736" w14:textId="77777777" w:rsidR="00756D34" w:rsidRDefault="00756D34" w:rsidP="00756D34">
            <w:pPr>
              <w:rPr>
                <w:rFonts w:ascii="Arial" w:hAnsi="Arial" w:cs="Arial"/>
                <w:b/>
                <w:bCs/>
                <w:sz w:val="16"/>
                <w:szCs w:val="16"/>
                <w:lang w:eastAsia="en-CA"/>
              </w:rPr>
            </w:pPr>
          </w:p>
          <w:p w14:paraId="4D6AE0FD" w14:textId="101F5741" w:rsidR="00756D34" w:rsidRDefault="00756D34" w:rsidP="00756D34">
            <w:r>
              <w:rPr>
                <w:rFonts w:cstheme="minorHAnsi"/>
                <w:lang w:eastAsia="en-CA"/>
              </w:rPr>
              <w:t>Consultation: MOF District</w:t>
            </w:r>
          </w:p>
        </w:tc>
      </w:tr>
      <w:tr w:rsidR="00756D34" w14:paraId="2628C195" w14:textId="77777777" w:rsidTr="003134E8">
        <w:tc>
          <w:tcPr>
            <w:tcW w:w="1101" w:type="dxa"/>
            <w:tcBorders>
              <w:top w:val="single" w:sz="6" w:space="0" w:color="auto"/>
              <w:left w:val="single" w:sz="4" w:space="0" w:color="auto"/>
              <w:bottom w:val="single" w:sz="6" w:space="0" w:color="auto"/>
            </w:tcBorders>
            <w:vAlign w:val="center"/>
          </w:tcPr>
          <w:p w14:paraId="57E456C1" w14:textId="77777777" w:rsidR="00756D34" w:rsidRPr="00296367" w:rsidRDefault="00756D34" w:rsidP="00756D34">
            <w:pPr>
              <w:jc w:val="center"/>
              <w:rPr>
                <w:b/>
              </w:rPr>
            </w:pPr>
            <w:r w:rsidRPr="00296367">
              <w:rPr>
                <w:b/>
              </w:rPr>
              <w:t>2, 3</w:t>
            </w:r>
          </w:p>
        </w:tc>
        <w:tc>
          <w:tcPr>
            <w:tcW w:w="3107" w:type="dxa"/>
            <w:tcBorders>
              <w:top w:val="single" w:sz="6" w:space="0" w:color="auto"/>
              <w:bottom w:val="single" w:sz="6" w:space="0" w:color="auto"/>
            </w:tcBorders>
            <w:vAlign w:val="center"/>
          </w:tcPr>
          <w:p w14:paraId="6DE1109D" w14:textId="7E0706AD" w:rsidR="00756D34" w:rsidRPr="00756D34" w:rsidRDefault="00756D34" w:rsidP="00756D34">
            <w:pPr>
              <w:rPr>
                <w:sz w:val="21"/>
                <w:szCs w:val="21"/>
              </w:rPr>
            </w:pPr>
            <w:r w:rsidRPr="00756D34">
              <w:rPr>
                <w:sz w:val="21"/>
                <w:szCs w:val="21"/>
              </w:rPr>
              <w:t>Implement the Beetle Tactical Plan</w:t>
            </w:r>
          </w:p>
        </w:tc>
        <w:tc>
          <w:tcPr>
            <w:tcW w:w="1417" w:type="dxa"/>
            <w:tcBorders>
              <w:top w:val="single" w:sz="6" w:space="0" w:color="auto"/>
              <w:bottom w:val="single" w:sz="6" w:space="0" w:color="auto"/>
            </w:tcBorders>
          </w:tcPr>
          <w:p w14:paraId="6E474374" w14:textId="5BF0D7DD" w:rsidR="00756D34" w:rsidRPr="00756D34" w:rsidRDefault="00756D34" w:rsidP="00756D34">
            <w:pPr>
              <w:rPr>
                <w:sz w:val="21"/>
                <w:szCs w:val="21"/>
              </w:rPr>
            </w:pPr>
            <w:r w:rsidRPr="00756D34">
              <w:rPr>
                <w:sz w:val="21"/>
                <w:szCs w:val="21"/>
              </w:rPr>
              <w:t>Fall/ Winter year 0/1</w:t>
            </w:r>
          </w:p>
        </w:tc>
        <w:tc>
          <w:tcPr>
            <w:tcW w:w="3697" w:type="dxa"/>
            <w:tcBorders>
              <w:top w:val="single" w:sz="6" w:space="0" w:color="auto"/>
              <w:bottom w:val="single" w:sz="6" w:space="0" w:color="auto"/>
              <w:right w:val="single" w:sz="4" w:space="0" w:color="auto"/>
            </w:tcBorders>
            <w:vAlign w:val="center"/>
          </w:tcPr>
          <w:p w14:paraId="3EF3B30D" w14:textId="3A258DB9" w:rsidR="00756D34" w:rsidRDefault="00756D34" w:rsidP="00756D34">
            <w:r>
              <w:t>MOF District, Licensees</w:t>
            </w:r>
          </w:p>
        </w:tc>
      </w:tr>
      <w:tr w:rsidR="00756D34" w14:paraId="2886D7C7" w14:textId="77777777" w:rsidTr="003134E8">
        <w:tc>
          <w:tcPr>
            <w:tcW w:w="1101" w:type="dxa"/>
            <w:tcBorders>
              <w:top w:val="single" w:sz="6" w:space="0" w:color="auto"/>
              <w:left w:val="single" w:sz="4" w:space="0" w:color="auto"/>
              <w:bottom w:val="single" w:sz="4" w:space="0" w:color="auto"/>
            </w:tcBorders>
            <w:vAlign w:val="center"/>
          </w:tcPr>
          <w:p w14:paraId="04972C07" w14:textId="77777777" w:rsidR="00756D34" w:rsidRPr="00296367" w:rsidRDefault="00756D34" w:rsidP="00756D34">
            <w:pPr>
              <w:jc w:val="center"/>
              <w:rPr>
                <w:b/>
              </w:rPr>
            </w:pPr>
            <w:r>
              <w:rPr>
                <w:b/>
              </w:rPr>
              <w:t>2</w:t>
            </w:r>
          </w:p>
        </w:tc>
        <w:tc>
          <w:tcPr>
            <w:tcW w:w="3107" w:type="dxa"/>
            <w:tcBorders>
              <w:top w:val="single" w:sz="6" w:space="0" w:color="auto"/>
              <w:bottom w:val="single" w:sz="4" w:space="0" w:color="auto"/>
            </w:tcBorders>
            <w:vAlign w:val="center"/>
          </w:tcPr>
          <w:p w14:paraId="3680B32E" w14:textId="1038D0CC" w:rsidR="00756D34" w:rsidRPr="00756D34" w:rsidRDefault="00756D34" w:rsidP="00756D34">
            <w:pPr>
              <w:rPr>
                <w:sz w:val="21"/>
                <w:szCs w:val="21"/>
              </w:rPr>
            </w:pPr>
            <w:r w:rsidRPr="00756D34">
              <w:rPr>
                <w:sz w:val="21"/>
                <w:szCs w:val="21"/>
              </w:rPr>
              <w:t>Evaluate effectiveness of practices and tactics at achieving BMU strategy; modify as necessary</w:t>
            </w:r>
          </w:p>
        </w:tc>
        <w:tc>
          <w:tcPr>
            <w:tcW w:w="1417" w:type="dxa"/>
            <w:tcBorders>
              <w:top w:val="single" w:sz="6" w:space="0" w:color="auto"/>
              <w:bottom w:val="single" w:sz="4" w:space="0" w:color="auto"/>
            </w:tcBorders>
          </w:tcPr>
          <w:p w14:paraId="0266ACC1" w14:textId="43A97426" w:rsidR="00756D34" w:rsidRPr="00756D34" w:rsidRDefault="00756D34" w:rsidP="00756D34">
            <w:pPr>
              <w:rPr>
                <w:sz w:val="21"/>
                <w:szCs w:val="21"/>
              </w:rPr>
            </w:pPr>
            <w:r w:rsidRPr="00756D34">
              <w:rPr>
                <w:sz w:val="21"/>
                <w:szCs w:val="21"/>
              </w:rPr>
              <w:t>Mar-</w:t>
            </w:r>
            <w:proofErr w:type="gramStart"/>
            <w:r w:rsidRPr="00756D34">
              <w:rPr>
                <w:sz w:val="21"/>
                <w:szCs w:val="21"/>
              </w:rPr>
              <w:t>Apr  year</w:t>
            </w:r>
            <w:proofErr w:type="gramEnd"/>
            <w:r w:rsidRPr="00756D34">
              <w:rPr>
                <w:sz w:val="21"/>
                <w:szCs w:val="21"/>
              </w:rPr>
              <w:t xml:space="preserve"> 1, then cycle begins again</w:t>
            </w:r>
          </w:p>
        </w:tc>
        <w:tc>
          <w:tcPr>
            <w:tcW w:w="3697" w:type="dxa"/>
            <w:tcBorders>
              <w:top w:val="single" w:sz="6" w:space="0" w:color="auto"/>
              <w:bottom w:val="single" w:sz="4" w:space="0" w:color="auto"/>
              <w:right w:val="single" w:sz="4" w:space="0" w:color="auto"/>
            </w:tcBorders>
            <w:vAlign w:val="center"/>
          </w:tcPr>
          <w:p w14:paraId="37FE0EB4" w14:textId="76FDAC94" w:rsidR="00756D34" w:rsidRDefault="00756D34" w:rsidP="00756D34">
            <w:r>
              <w:t>MOF District &amp; Region, Licensees</w:t>
            </w:r>
          </w:p>
        </w:tc>
      </w:tr>
      <w:bookmarkEnd w:id="0"/>
    </w:tbl>
    <w:p w14:paraId="5810A33D" w14:textId="77777777" w:rsidR="00F62CAE" w:rsidRDefault="00F62CAE" w:rsidP="00F62CAE">
      <w:pPr>
        <w:autoSpaceDE w:val="0"/>
        <w:autoSpaceDN w:val="0"/>
        <w:adjustRightInd w:val="0"/>
        <w:rPr>
          <w:rFonts w:ascii="OfficinaSans-BoldItalic" w:hAnsi="OfficinaSans-BoldItalic" w:cs="OfficinaSans-BoldItalic"/>
          <w:b/>
          <w:bCs/>
          <w:iCs/>
          <w:color w:val="000000"/>
          <w:sz w:val="20"/>
          <w:szCs w:val="20"/>
        </w:rPr>
      </w:pPr>
    </w:p>
    <w:p w14:paraId="115352F9" w14:textId="77777777" w:rsidR="003B4ACE" w:rsidRPr="00550C3B" w:rsidRDefault="00BB46C0" w:rsidP="00DA3CF9">
      <w:pPr>
        <w:autoSpaceDE w:val="0"/>
        <w:autoSpaceDN w:val="0"/>
        <w:adjustRightInd w:val="0"/>
        <w:spacing w:after="120"/>
        <w:rPr>
          <w:b/>
          <w:i/>
        </w:rPr>
      </w:pPr>
      <w:r>
        <w:rPr>
          <w:b/>
          <w:i/>
        </w:rPr>
        <w:lastRenderedPageBreak/>
        <w:t>Tactic</w:t>
      </w:r>
      <w:r w:rsidR="00550C3B" w:rsidRPr="00550C3B">
        <w:rPr>
          <w:b/>
          <w:i/>
        </w:rPr>
        <w:t xml:space="preserve">: </w:t>
      </w:r>
      <w:r w:rsidR="003B4ACE" w:rsidRPr="00550C3B">
        <w:rPr>
          <w:b/>
          <w:i/>
        </w:rPr>
        <w:t xml:space="preserve">Complete </w:t>
      </w:r>
      <w:r w:rsidR="005F7A3A" w:rsidRPr="00550C3B">
        <w:rPr>
          <w:b/>
          <w:i/>
        </w:rPr>
        <w:t xml:space="preserve">and </w:t>
      </w:r>
      <w:r w:rsidR="0021682C" w:rsidRPr="00550C3B">
        <w:rPr>
          <w:b/>
          <w:i/>
        </w:rPr>
        <w:t>maintain</w:t>
      </w:r>
      <w:r w:rsidR="005F7A3A" w:rsidRPr="00550C3B">
        <w:rPr>
          <w:b/>
          <w:i/>
        </w:rPr>
        <w:t xml:space="preserve"> </w:t>
      </w:r>
      <w:r w:rsidR="003B4ACE" w:rsidRPr="00550C3B">
        <w:rPr>
          <w:b/>
          <w:i/>
        </w:rPr>
        <w:t>Hazard/ Susceptibility mapping</w:t>
      </w:r>
    </w:p>
    <w:p w14:paraId="44A2DEF1" w14:textId="77777777" w:rsidR="005F7A3A" w:rsidRDefault="005F7A3A" w:rsidP="00F62CAE">
      <w:pPr>
        <w:autoSpaceDE w:val="0"/>
        <w:autoSpaceDN w:val="0"/>
        <w:adjustRightInd w:val="0"/>
      </w:pPr>
      <w:r>
        <w:t xml:space="preserve">Susceptibility (hazard) mapping is an essential tool </w:t>
      </w:r>
      <w:r w:rsidR="00DA3CF9">
        <w:t>for</w:t>
      </w:r>
      <w:r>
        <w:t xml:space="preserve"> assessing the relative risk a forest health agent poses to forest</w:t>
      </w:r>
      <w:r w:rsidR="00B50824">
        <w:t xml:space="preserve"> resource</w:t>
      </w:r>
      <w:r>
        <w:t xml:space="preserve">. </w:t>
      </w:r>
      <w:r w:rsidR="00B50824" w:rsidRPr="00B50824">
        <w:rPr>
          <w:i/>
        </w:rPr>
        <w:t xml:space="preserve">Risk = </w:t>
      </w:r>
      <w:r w:rsidR="00DA3CF9">
        <w:rPr>
          <w:i/>
        </w:rPr>
        <w:t xml:space="preserve">Susceptibility (or </w:t>
      </w:r>
      <w:r w:rsidR="00B50824" w:rsidRPr="00B50824">
        <w:rPr>
          <w:i/>
        </w:rPr>
        <w:t>Hazard</w:t>
      </w:r>
      <w:r w:rsidR="00DA3CF9">
        <w:rPr>
          <w:i/>
        </w:rPr>
        <w:t>)</w:t>
      </w:r>
      <w:r w:rsidR="00B50824" w:rsidRPr="00B50824">
        <w:rPr>
          <w:i/>
        </w:rPr>
        <w:t xml:space="preserve"> x Likelihood (or Consequence) of Damage</w:t>
      </w:r>
      <w:r w:rsidR="00B50824">
        <w:t xml:space="preserve">, where a statement on Likelihood is advised by the intensity of current incidence in </w:t>
      </w:r>
      <w:r w:rsidR="0021682C">
        <w:t xml:space="preserve">contiguous </w:t>
      </w:r>
      <w:r w:rsidR="00B50824">
        <w:t>area</w:t>
      </w:r>
      <w:r w:rsidR="0021682C">
        <w:t>s</w:t>
      </w:r>
      <w:r w:rsidR="00B50824">
        <w:t xml:space="preserve"> of susceptible forest.</w:t>
      </w:r>
      <w:r w:rsidR="003134E8">
        <w:t xml:space="preserve"> Relative risk helps advise Beetle Management Unit designation discussed later.</w:t>
      </w:r>
    </w:p>
    <w:p w14:paraId="374F9E24" w14:textId="77777777" w:rsidR="00B50824" w:rsidRDefault="00B50824" w:rsidP="00F62CAE">
      <w:pPr>
        <w:autoSpaceDE w:val="0"/>
        <w:autoSpaceDN w:val="0"/>
        <w:adjustRightInd w:val="0"/>
      </w:pPr>
    </w:p>
    <w:p w14:paraId="047295B6" w14:textId="77777777" w:rsidR="00965410" w:rsidRDefault="00965410" w:rsidP="00965410">
      <w:r>
        <w:t>In</w:t>
      </w:r>
      <w:r w:rsidR="003970F1">
        <w:t xml:space="preserve"> 2014, </w:t>
      </w:r>
      <w:r w:rsidR="0021682C">
        <w:t xml:space="preserve">FLNRO Branch Forest Health </w:t>
      </w:r>
      <w:r w:rsidR="003970F1">
        <w:t xml:space="preserve">staff </w:t>
      </w:r>
      <w:r>
        <w:t>released</w:t>
      </w:r>
      <w:r w:rsidR="003970F1">
        <w:t xml:space="preserve"> mountain pine beetle, spruce beetle, and Douglas-fir beetle susceptibility mapping for </w:t>
      </w:r>
      <w:r>
        <w:t>each</w:t>
      </w:r>
      <w:r w:rsidR="003970F1">
        <w:t xml:space="preserve"> TSA</w:t>
      </w:r>
      <w:r>
        <w:t xml:space="preserve"> in the Province. Vegetation Resources Inventory (VRI) and other overlay data current to fall 2013 was used. </w:t>
      </w:r>
      <w:r w:rsidR="009B5186">
        <w:t>Their i</w:t>
      </w:r>
      <w:r>
        <w:t xml:space="preserve">ntent is to keep this mapping current. </w:t>
      </w:r>
    </w:p>
    <w:p w14:paraId="3AE6174C" w14:textId="77777777" w:rsidR="00965410" w:rsidRDefault="00965410" w:rsidP="00965410"/>
    <w:p w14:paraId="28189095" w14:textId="77777777" w:rsidR="003970F1" w:rsidRDefault="000D550B" w:rsidP="003970F1">
      <w:pPr>
        <w:rPr>
          <w:lang w:eastAsia="en-CA"/>
        </w:rPr>
      </w:pPr>
      <w:r>
        <w:t>Appendix 1.3 provides documentation for FLNRO Branch Forest Health staff’s IBM Hazard/</w:t>
      </w:r>
      <w:r w:rsidR="00A7095D">
        <w:t xml:space="preserve">Susceptibility </w:t>
      </w:r>
      <w:r>
        <w:t xml:space="preserve">mapping </w:t>
      </w:r>
      <w:r w:rsidR="00A7095D">
        <w:t>methodology</w:t>
      </w:r>
      <w:r>
        <w:t xml:space="preserve">.  </w:t>
      </w:r>
      <w:r w:rsidR="00DA3CF9">
        <w:t>The</w:t>
      </w:r>
      <w:r w:rsidR="00965410">
        <w:t xml:space="preserve"> following link</w:t>
      </w:r>
      <w:r w:rsidR="003970F1">
        <w:t xml:space="preserve"> </w:t>
      </w:r>
      <w:r w:rsidR="00DA3CF9">
        <w:t>provides</w:t>
      </w:r>
      <w:r w:rsidR="003970F1">
        <w:t xml:space="preserve"> </w:t>
      </w:r>
      <w:r w:rsidR="00965410">
        <w:t xml:space="preserve">access </w:t>
      </w:r>
      <w:r w:rsidR="00DA3CF9">
        <w:t xml:space="preserve">to </w:t>
      </w:r>
      <w:r w:rsidR="00965410">
        <w:t xml:space="preserve">spatial </w:t>
      </w:r>
      <w:r w:rsidR="003970F1">
        <w:t>susceptibility data</w:t>
      </w:r>
      <w:r w:rsidR="00965410">
        <w:t xml:space="preserve"> and</w:t>
      </w:r>
      <w:r w:rsidR="003970F1">
        <w:t xml:space="preserve"> </w:t>
      </w:r>
      <w:r w:rsidR="00DA3CF9">
        <w:t>supporting documentation</w:t>
      </w:r>
      <w:r w:rsidR="00965410">
        <w:t xml:space="preserve"> for dow</w:t>
      </w:r>
      <w:r w:rsidR="00DA3CF9">
        <w:t>n</w:t>
      </w:r>
      <w:r w:rsidR="00965410">
        <w:t>load</w:t>
      </w:r>
      <w:r w:rsidR="003970F1">
        <w:t>:</w:t>
      </w:r>
      <w:r w:rsidR="00965410">
        <w:t xml:space="preserve"> </w:t>
      </w:r>
      <w:hyperlink r:id="rId12" w:history="1">
        <w:r w:rsidR="003970F1">
          <w:rPr>
            <w:rStyle w:val="Hyperlink"/>
            <w:lang w:eastAsia="en-CA"/>
          </w:rPr>
          <w:t>ftp://ftp.for.gov.bc.ca/HFP/external/!publish/barkbeetles/New%20Susceptibility%20Ratings/</w:t>
        </w:r>
      </w:hyperlink>
    </w:p>
    <w:p w14:paraId="516F7307" w14:textId="77777777" w:rsidR="00DA3CF9" w:rsidRDefault="00DA3CF9" w:rsidP="00F62CAE">
      <w:pPr>
        <w:autoSpaceDE w:val="0"/>
        <w:autoSpaceDN w:val="0"/>
        <w:adjustRightInd w:val="0"/>
        <w:rPr>
          <w:i/>
        </w:rPr>
      </w:pPr>
    </w:p>
    <w:p w14:paraId="3B9CB7A6" w14:textId="77777777" w:rsidR="009E46B4" w:rsidRPr="00E0714B" w:rsidRDefault="00BB46C0" w:rsidP="009E46B4">
      <w:pPr>
        <w:autoSpaceDE w:val="0"/>
        <w:autoSpaceDN w:val="0"/>
        <w:adjustRightInd w:val="0"/>
        <w:spacing w:after="120"/>
        <w:rPr>
          <w:i/>
        </w:rPr>
      </w:pPr>
      <w:r>
        <w:rPr>
          <w:b/>
          <w:i/>
        </w:rPr>
        <w:t>Tactic</w:t>
      </w:r>
      <w:r w:rsidR="00550C3B" w:rsidRPr="00550C3B">
        <w:rPr>
          <w:b/>
          <w:i/>
        </w:rPr>
        <w:t xml:space="preserve">: </w:t>
      </w:r>
      <w:r w:rsidR="009E46B4" w:rsidRPr="00550C3B">
        <w:rPr>
          <w:b/>
          <w:i/>
        </w:rPr>
        <w:t>Update Beetle Management Unit (BMU) designations</w:t>
      </w:r>
      <w:r w:rsidR="009B5186">
        <w:rPr>
          <w:b/>
          <w:i/>
        </w:rPr>
        <w:t xml:space="preserve"> and identify “aggressive” management areas</w:t>
      </w:r>
    </w:p>
    <w:p w14:paraId="063E288F" w14:textId="77777777" w:rsidR="00582EFA" w:rsidRPr="00582EFA" w:rsidRDefault="00582EFA" w:rsidP="003D7466">
      <w:pPr>
        <w:pStyle w:val="Heading4"/>
        <w:spacing w:before="0" w:after="120" w:line="240" w:lineRule="auto"/>
        <w:rPr>
          <w:rFonts w:asciiTheme="minorHAnsi" w:hAnsiTheme="minorHAnsi" w:cstheme="minorHAnsi"/>
          <w:i w:val="0"/>
          <w:sz w:val="22"/>
          <w:szCs w:val="22"/>
        </w:rPr>
      </w:pPr>
      <w:r w:rsidRPr="00582EFA">
        <w:rPr>
          <w:rFonts w:asciiTheme="minorHAnsi" w:hAnsiTheme="minorHAnsi" w:cstheme="minorHAnsi"/>
          <w:i w:val="0"/>
          <w:sz w:val="22"/>
          <w:szCs w:val="22"/>
        </w:rPr>
        <w:t>2002/2003 saw the establishment of</w:t>
      </w:r>
      <w:r w:rsidR="00550C3B" w:rsidRPr="00582EFA">
        <w:rPr>
          <w:rFonts w:asciiTheme="minorHAnsi" w:hAnsiTheme="minorHAnsi" w:cstheme="minorHAnsi"/>
          <w:i w:val="0"/>
          <w:sz w:val="22"/>
          <w:szCs w:val="22"/>
        </w:rPr>
        <w:t xml:space="preserve"> provincial Orders for Emergency Bark Beetle Management Area and Units (EBBMA and EMU’s)</w:t>
      </w:r>
      <w:r>
        <w:rPr>
          <w:rFonts w:asciiTheme="minorHAnsi" w:hAnsiTheme="minorHAnsi" w:cstheme="minorHAnsi"/>
          <w:i w:val="0"/>
          <w:sz w:val="22"/>
          <w:szCs w:val="22"/>
        </w:rPr>
        <w:t>.</w:t>
      </w:r>
    </w:p>
    <w:p w14:paraId="19A6B3D8" w14:textId="77777777" w:rsidR="00582EFA" w:rsidRDefault="00582EFA" w:rsidP="003D7466">
      <w:pPr>
        <w:pStyle w:val="Heading4"/>
        <w:numPr>
          <w:ilvl w:val="3"/>
          <w:numId w:val="7"/>
        </w:numPr>
        <w:spacing w:before="0" w:after="120" w:line="240" w:lineRule="auto"/>
        <w:ind w:left="425" w:hanging="357"/>
        <w:rPr>
          <w:rFonts w:asciiTheme="minorHAnsi" w:hAnsiTheme="minorHAnsi" w:cstheme="minorHAnsi"/>
          <w:i w:val="0"/>
          <w:sz w:val="22"/>
          <w:szCs w:val="22"/>
        </w:rPr>
      </w:pPr>
      <w:r>
        <w:rPr>
          <w:rFonts w:asciiTheme="minorHAnsi" w:hAnsiTheme="minorHAnsi" w:cstheme="minorHAnsi"/>
          <w:i w:val="0"/>
          <w:sz w:val="22"/>
          <w:szCs w:val="22"/>
        </w:rPr>
        <w:t>Under s. 2</w:t>
      </w:r>
      <w:r w:rsidRPr="00582EFA">
        <w:rPr>
          <w:rFonts w:asciiTheme="minorHAnsi" w:hAnsiTheme="minorHAnsi" w:cstheme="minorHAnsi"/>
          <w:i w:val="0"/>
          <w:sz w:val="22"/>
          <w:szCs w:val="22"/>
        </w:rPr>
        <w:t xml:space="preserve"> </w:t>
      </w:r>
      <w:r>
        <w:rPr>
          <w:rFonts w:asciiTheme="minorHAnsi" w:hAnsiTheme="minorHAnsi" w:cstheme="minorHAnsi"/>
          <w:i w:val="0"/>
          <w:sz w:val="22"/>
          <w:szCs w:val="22"/>
        </w:rPr>
        <w:t xml:space="preserve">of the </w:t>
      </w:r>
      <w:r w:rsidRPr="00582EFA">
        <w:rPr>
          <w:rFonts w:asciiTheme="minorHAnsi" w:hAnsiTheme="minorHAnsi" w:cstheme="minorHAnsi"/>
          <w:sz w:val="22"/>
          <w:szCs w:val="22"/>
        </w:rPr>
        <w:t>Forest P</w:t>
      </w:r>
      <w:r>
        <w:rPr>
          <w:rFonts w:asciiTheme="minorHAnsi" w:hAnsiTheme="minorHAnsi" w:cstheme="minorHAnsi"/>
          <w:sz w:val="22"/>
          <w:szCs w:val="22"/>
        </w:rPr>
        <w:t>r</w:t>
      </w:r>
      <w:r w:rsidRPr="00582EFA">
        <w:rPr>
          <w:rFonts w:asciiTheme="minorHAnsi" w:hAnsiTheme="minorHAnsi" w:cstheme="minorHAnsi"/>
          <w:sz w:val="22"/>
          <w:szCs w:val="22"/>
        </w:rPr>
        <w:t>actice</w:t>
      </w:r>
      <w:r>
        <w:rPr>
          <w:rFonts w:asciiTheme="minorHAnsi" w:hAnsiTheme="minorHAnsi" w:cstheme="minorHAnsi"/>
          <w:sz w:val="22"/>
          <w:szCs w:val="22"/>
        </w:rPr>
        <w:t>s</w:t>
      </w:r>
      <w:r w:rsidRPr="00582EFA">
        <w:rPr>
          <w:rFonts w:asciiTheme="minorHAnsi" w:hAnsiTheme="minorHAnsi" w:cstheme="minorHAnsi"/>
          <w:sz w:val="22"/>
          <w:szCs w:val="22"/>
        </w:rPr>
        <w:t xml:space="preserve"> Code</w:t>
      </w:r>
      <w:r w:rsidRPr="00582EFA">
        <w:rPr>
          <w:rFonts w:asciiTheme="minorHAnsi" w:hAnsiTheme="minorHAnsi" w:cstheme="minorHAnsi"/>
          <w:i w:val="0"/>
          <w:sz w:val="22"/>
          <w:szCs w:val="22"/>
        </w:rPr>
        <w:t xml:space="preserve"> Bark Beetle Regulation</w:t>
      </w:r>
      <w:r>
        <w:rPr>
          <w:rFonts w:asciiTheme="minorHAnsi" w:hAnsiTheme="minorHAnsi" w:cstheme="minorHAnsi"/>
          <w:i w:val="0"/>
          <w:sz w:val="22"/>
          <w:szCs w:val="22"/>
        </w:rPr>
        <w:t xml:space="preserve"> (BBR), </w:t>
      </w:r>
      <w:r w:rsidRPr="00582EFA">
        <w:rPr>
          <w:rFonts w:asciiTheme="minorHAnsi" w:hAnsiTheme="minorHAnsi" w:cstheme="minorHAnsi"/>
          <w:i w:val="0"/>
          <w:sz w:val="22"/>
          <w:szCs w:val="22"/>
        </w:rPr>
        <w:t>EBBMA’</w:t>
      </w:r>
      <w:r>
        <w:rPr>
          <w:rFonts w:asciiTheme="minorHAnsi" w:hAnsiTheme="minorHAnsi" w:cstheme="minorHAnsi"/>
          <w:i w:val="0"/>
          <w:sz w:val="22"/>
          <w:szCs w:val="22"/>
        </w:rPr>
        <w:t xml:space="preserve">s </w:t>
      </w:r>
      <w:r w:rsidR="00C03045">
        <w:rPr>
          <w:rFonts w:asciiTheme="minorHAnsi" w:hAnsiTheme="minorHAnsi" w:cstheme="minorHAnsi"/>
          <w:i w:val="0"/>
          <w:sz w:val="22"/>
          <w:szCs w:val="22"/>
        </w:rPr>
        <w:t>can</w:t>
      </w:r>
      <w:r>
        <w:rPr>
          <w:rFonts w:asciiTheme="minorHAnsi" w:hAnsiTheme="minorHAnsi" w:cstheme="minorHAnsi"/>
          <w:i w:val="0"/>
          <w:sz w:val="22"/>
          <w:szCs w:val="22"/>
        </w:rPr>
        <w:t xml:space="preserve"> be established in provincial areas where</w:t>
      </w:r>
      <w:r w:rsidRPr="00582EFA">
        <w:rPr>
          <w:rFonts w:asciiTheme="minorHAnsi" w:hAnsiTheme="minorHAnsi" w:cstheme="minorHAnsi"/>
          <w:i w:val="0"/>
          <w:sz w:val="22"/>
          <w:szCs w:val="22"/>
        </w:rPr>
        <w:t xml:space="preserve"> </w:t>
      </w:r>
      <w:proofErr w:type="gramStart"/>
      <w:r w:rsidRPr="00582EFA">
        <w:rPr>
          <w:rFonts w:asciiTheme="minorHAnsi" w:hAnsiTheme="minorHAnsi" w:cstheme="minorHAnsi"/>
          <w:i w:val="0"/>
          <w:sz w:val="22"/>
          <w:szCs w:val="22"/>
        </w:rPr>
        <w:t xml:space="preserve">an emergency </w:t>
      </w:r>
      <w:r>
        <w:rPr>
          <w:rFonts w:asciiTheme="minorHAnsi" w:hAnsiTheme="minorHAnsi" w:cstheme="minorHAnsi"/>
          <w:i w:val="0"/>
          <w:sz w:val="22"/>
          <w:szCs w:val="22"/>
        </w:rPr>
        <w:t>situation</w:t>
      </w:r>
      <w:proofErr w:type="gramEnd"/>
      <w:r>
        <w:rPr>
          <w:rFonts w:asciiTheme="minorHAnsi" w:hAnsiTheme="minorHAnsi" w:cstheme="minorHAnsi"/>
          <w:i w:val="0"/>
          <w:sz w:val="22"/>
          <w:szCs w:val="22"/>
        </w:rPr>
        <w:t xml:space="preserve"> </w:t>
      </w:r>
      <w:r w:rsidRPr="00582EFA">
        <w:rPr>
          <w:rFonts w:asciiTheme="minorHAnsi" w:hAnsiTheme="minorHAnsi" w:cstheme="minorHAnsi"/>
          <w:i w:val="0"/>
          <w:sz w:val="22"/>
          <w:szCs w:val="22"/>
        </w:rPr>
        <w:t xml:space="preserve">exists </w:t>
      </w:r>
      <w:r>
        <w:rPr>
          <w:rFonts w:asciiTheme="minorHAnsi" w:hAnsiTheme="minorHAnsi" w:cstheme="minorHAnsi"/>
          <w:i w:val="0"/>
          <w:sz w:val="22"/>
          <w:szCs w:val="22"/>
        </w:rPr>
        <w:t>due to severity of bark beetle infestation.</w:t>
      </w:r>
    </w:p>
    <w:p w14:paraId="2B4E1A4B" w14:textId="77777777" w:rsidR="002B5B2C" w:rsidRDefault="00582EFA" w:rsidP="002B5B2C">
      <w:pPr>
        <w:pStyle w:val="BodyText"/>
        <w:numPr>
          <w:ilvl w:val="0"/>
          <w:numId w:val="7"/>
        </w:numPr>
        <w:ind w:left="425" w:hanging="357"/>
        <w:rPr>
          <w:lang w:val="en-GB" w:eastAsia="en-CA"/>
        </w:rPr>
      </w:pPr>
      <w:r>
        <w:rPr>
          <w:lang w:val="en-GB" w:eastAsia="en-CA"/>
        </w:rPr>
        <w:t>Under BBR s. 3, the pro</w:t>
      </w:r>
      <w:r w:rsidR="003D7466">
        <w:rPr>
          <w:lang w:val="en-GB" w:eastAsia="en-CA"/>
        </w:rPr>
        <w:t xml:space="preserve">vincial bark beetle coordinator </w:t>
      </w:r>
      <w:r w:rsidR="00C03045">
        <w:rPr>
          <w:lang w:val="en-GB" w:eastAsia="en-CA"/>
        </w:rPr>
        <w:t>can</w:t>
      </w:r>
      <w:r w:rsidR="003D7466">
        <w:rPr>
          <w:lang w:val="en-GB" w:eastAsia="en-CA"/>
        </w:rPr>
        <w:t xml:space="preserve"> designate EMU’s that comprise the EBBMA. </w:t>
      </w:r>
      <w:r w:rsidR="009115CE">
        <w:rPr>
          <w:lang w:val="en-GB" w:eastAsia="en-CA"/>
        </w:rPr>
        <w:t xml:space="preserve">To be considered for inclusion </w:t>
      </w:r>
      <w:r w:rsidR="003D7466">
        <w:rPr>
          <w:lang w:val="en-GB" w:eastAsia="en-CA"/>
        </w:rPr>
        <w:t xml:space="preserve">EMU’s must meet criteria for one of two categories: </w:t>
      </w:r>
    </w:p>
    <w:p w14:paraId="6E538B41" w14:textId="77777777" w:rsidR="002B5B2C" w:rsidRPr="002B5B2C" w:rsidRDefault="002B5B2C" w:rsidP="002B5B2C">
      <w:pPr>
        <w:pStyle w:val="BodyText"/>
        <w:numPr>
          <w:ilvl w:val="0"/>
          <w:numId w:val="8"/>
        </w:numPr>
        <w:spacing w:after="60"/>
        <w:ind w:hanging="357"/>
        <w:rPr>
          <w:lang w:val="en-GB" w:eastAsia="en-CA"/>
        </w:rPr>
      </w:pPr>
      <w:r w:rsidRPr="003D7466">
        <w:rPr>
          <w:u w:val="single"/>
          <w:lang w:val="en-GB" w:eastAsia="en-CA"/>
        </w:rPr>
        <w:t>A</w:t>
      </w:r>
      <w:r w:rsidR="003D7466" w:rsidRPr="003D7466">
        <w:rPr>
          <w:u w:val="single"/>
          <w:lang w:val="en-GB" w:eastAsia="en-CA"/>
        </w:rPr>
        <w:t>ggressive</w:t>
      </w:r>
      <w:r>
        <w:rPr>
          <w:u w:val="single"/>
          <w:lang w:val="en-GB" w:eastAsia="en-CA"/>
        </w:rPr>
        <w:t>,</w:t>
      </w:r>
      <w:r w:rsidR="003D7466">
        <w:rPr>
          <w:lang w:val="en-GB" w:eastAsia="en-CA"/>
        </w:rPr>
        <w:t xml:space="preserve"> </w:t>
      </w:r>
      <w:r w:rsidR="003D7466">
        <w:t xml:space="preserve">in which all forest health treatments including harvesting may be used </w:t>
      </w:r>
      <w:r w:rsidR="0041571E">
        <w:t xml:space="preserve">– </w:t>
      </w:r>
      <w:r w:rsidR="0041571E" w:rsidRPr="00420F85">
        <w:rPr>
          <w:i/>
        </w:rPr>
        <w:t>with access to provincial funding</w:t>
      </w:r>
      <w:r w:rsidR="0041571E">
        <w:t xml:space="preserve"> - for </w:t>
      </w:r>
      <w:r w:rsidR="003D7466">
        <w:t>control</w:t>
      </w:r>
      <w:r w:rsidR="0041571E">
        <w:t>ling</w:t>
      </w:r>
      <w:r w:rsidR="003D7466">
        <w:t xml:space="preserve"> the infestation</w:t>
      </w:r>
      <w:r>
        <w:t xml:space="preserve">, including </w:t>
      </w:r>
      <w:r w:rsidRPr="002B5B2C">
        <w:t>detailed aerial overview survey</w:t>
      </w:r>
      <w:r>
        <w:t>s</w:t>
      </w:r>
      <w:r w:rsidRPr="002B5B2C">
        <w:t xml:space="preserve">, ground survey, grid/stand baiting, STT (single-tree treatment, F&amp;B/MSMA, </w:t>
      </w:r>
      <w:proofErr w:type="spellStart"/>
      <w:r w:rsidRPr="002B5B2C">
        <w:t>heli</w:t>
      </w:r>
      <w:proofErr w:type="spellEnd"/>
      <w:r w:rsidRPr="002B5B2C">
        <w:t xml:space="preserve">-logging, tree extraction), </w:t>
      </w:r>
      <w:r>
        <w:t xml:space="preserve">and </w:t>
      </w:r>
      <w:r w:rsidRPr="002B5B2C">
        <w:t>planning/</w:t>
      </w:r>
      <w:proofErr w:type="gramStart"/>
      <w:r w:rsidRPr="002B5B2C">
        <w:t>research;</w:t>
      </w:r>
      <w:proofErr w:type="gramEnd"/>
    </w:p>
    <w:p w14:paraId="16123EEB" w14:textId="77777777" w:rsidR="002B5B2C" w:rsidRDefault="002B5B2C" w:rsidP="003D7466">
      <w:pPr>
        <w:pStyle w:val="BodyText"/>
        <w:numPr>
          <w:ilvl w:val="0"/>
          <w:numId w:val="8"/>
        </w:numPr>
        <w:ind w:left="714" w:hanging="357"/>
      </w:pPr>
      <w:r w:rsidRPr="002B5B2C">
        <w:rPr>
          <w:u w:val="single"/>
        </w:rPr>
        <w:t>S</w:t>
      </w:r>
      <w:r w:rsidR="003D7466" w:rsidRPr="002B5B2C">
        <w:rPr>
          <w:u w:val="single"/>
        </w:rPr>
        <w:t>anitation</w:t>
      </w:r>
      <w:r w:rsidR="003D7466">
        <w:t>, in which harvesting is the primary forest health treatment used.</w:t>
      </w:r>
    </w:p>
    <w:p w14:paraId="55046C0D" w14:textId="77777777" w:rsidR="008B53B7" w:rsidRDefault="005C52FA" w:rsidP="002B5B2C">
      <w:pPr>
        <w:spacing w:before="120" w:after="120"/>
      </w:pPr>
      <w:r>
        <w:t>The</w:t>
      </w:r>
      <w:r w:rsidR="009115CE">
        <w:t xml:space="preserve"> </w:t>
      </w:r>
      <w:r w:rsidR="004223F5" w:rsidRPr="004223F5">
        <w:t xml:space="preserve">historical </w:t>
      </w:r>
      <w:r w:rsidR="008B53B7" w:rsidRPr="004223F5">
        <w:t>EMU</w:t>
      </w:r>
      <w:r w:rsidR="008B53B7">
        <w:t xml:space="preserve"> designation business flow</w:t>
      </w:r>
      <w:r w:rsidR="00D61E4A">
        <w:t xml:space="preserve"> </w:t>
      </w:r>
      <w:r>
        <w:t>for DSS included the following steps</w:t>
      </w:r>
      <w:r w:rsidR="008B53B7">
        <w:t>:</w:t>
      </w:r>
    </w:p>
    <w:p w14:paraId="25B20EC8" w14:textId="77777777" w:rsidR="008B53B7" w:rsidRDefault="009115CE" w:rsidP="002B5B2C">
      <w:pPr>
        <w:pStyle w:val="ListParagraph"/>
        <w:numPr>
          <w:ilvl w:val="0"/>
          <w:numId w:val="10"/>
        </w:numPr>
        <w:spacing w:after="120"/>
        <w:ind w:left="357" w:hanging="357"/>
        <w:contextualSpacing w:val="0"/>
      </w:pPr>
      <w:r>
        <w:t xml:space="preserve">Beetle Management Units (BMU’s) corresponding to Landscape Units were </w:t>
      </w:r>
      <w:r w:rsidR="008B53B7">
        <w:t xml:space="preserve">initially </w:t>
      </w:r>
      <w:r>
        <w:t xml:space="preserve">created for both </w:t>
      </w:r>
      <w:proofErr w:type="spellStart"/>
      <w:r>
        <w:t>Bulkley</w:t>
      </w:r>
      <w:proofErr w:type="spellEnd"/>
      <w:r>
        <w:t xml:space="preserve"> and Kispiox TSA’s. </w:t>
      </w:r>
      <w:r w:rsidR="00AE3514">
        <w:t xml:space="preserve">The same BMU’s </w:t>
      </w:r>
      <w:r w:rsidR="005C52FA">
        <w:t>are</w:t>
      </w:r>
      <w:r w:rsidR="00AE3514">
        <w:t xml:space="preserve"> used for both Mountain Pine Beetle and Spruce Beetle</w:t>
      </w:r>
      <w:r w:rsidR="009B5186">
        <w:t>.</w:t>
      </w:r>
    </w:p>
    <w:p w14:paraId="3AEDE340" w14:textId="77777777" w:rsidR="00550C3B" w:rsidRDefault="00C33471" w:rsidP="00DC0773">
      <w:pPr>
        <w:pStyle w:val="ListParagraph"/>
        <w:numPr>
          <w:ilvl w:val="0"/>
          <w:numId w:val="10"/>
        </w:numPr>
        <w:spacing w:after="120"/>
        <w:contextualSpacing w:val="0"/>
      </w:pPr>
      <w:r>
        <w:t>The</w:t>
      </w:r>
      <w:r w:rsidR="009115CE">
        <w:t xml:space="preserve"> </w:t>
      </w:r>
      <w:proofErr w:type="spellStart"/>
      <w:r w:rsidR="009115CE">
        <w:t>Bulkley</w:t>
      </w:r>
      <w:proofErr w:type="spellEnd"/>
      <w:r w:rsidR="009115CE">
        <w:t xml:space="preserve"> Bark Beetle Committee</w:t>
      </w:r>
      <w:r w:rsidR="00420F85">
        <w:t xml:space="preserve"> (BBBC)</w:t>
      </w:r>
      <w:r w:rsidR="00AE3514">
        <w:t>,</w:t>
      </w:r>
      <w:r>
        <w:t xml:space="preserve"> comprised of District, licensee</w:t>
      </w:r>
      <w:r w:rsidR="00AE3514">
        <w:t>,</w:t>
      </w:r>
      <w:r>
        <w:t xml:space="preserve"> Regional Forest Health</w:t>
      </w:r>
      <w:r w:rsidR="00AE3514">
        <w:t>,</w:t>
      </w:r>
      <w:r>
        <w:t xml:space="preserve"> and consultant staff</w:t>
      </w:r>
      <w:r w:rsidR="00AE3514">
        <w:t xml:space="preserve"> under contract,</w:t>
      </w:r>
      <w:r>
        <w:t xml:space="preserve"> conducted annual review of </w:t>
      </w:r>
      <w:r w:rsidR="00D61E4A">
        <w:t xml:space="preserve">BMU’s </w:t>
      </w:r>
      <w:r w:rsidR="0041571E">
        <w:t>against</w:t>
      </w:r>
      <w:r w:rsidR="00D61E4A">
        <w:t xml:space="preserve"> </w:t>
      </w:r>
      <w:r>
        <w:t>criter</w:t>
      </w:r>
      <w:r w:rsidR="008B53B7">
        <w:t>i</w:t>
      </w:r>
      <w:r>
        <w:t xml:space="preserve">a specified by </w:t>
      </w:r>
      <w:r w:rsidR="00AE3514">
        <w:t xml:space="preserve">the spring 2003 </w:t>
      </w:r>
      <w:r w:rsidRPr="002B5B2C">
        <w:rPr>
          <w:color w:val="FF0000"/>
        </w:rPr>
        <w:t>“Guidance for Provincial Bark Beetle Management Tech</w:t>
      </w:r>
      <w:r w:rsidR="00AE3514" w:rsidRPr="002B5B2C">
        <w:rPr>
          <w:color w:val="FF0000"/>
        </w:rPr>
        <w:t xml:space="preserve">nical Implementation Guidelines” </w:t>
      </w:r>
      <w:hyperlink r:id="rId13" w:history="1">
        <w:r w:rsidR="00DC0773" w:rsidRPr="003D5765">
          <w:rPr>
            <w:rStyle w:val="Hyperlink"/>
          </w:rPr>
          <w:t>https://www.for.gov.bc.ca/hfp/health/fhdata/ProvBBStrategy.pdf</w:t>
        </w:r>
      </w:hyperlink>
      <w:r w:rsidR="00DC0773">
        <w:t xml:space="preserve"> </w:t>
      </w:r>
      <w:r w:rsidR="00AE3514" w:rsidRPr="002B5B2C">
        <w:rPr>
          <w:color w:val="FF0000"/>
        </w:rPr>
        <w:t xml:space="preserve">(PBBMTIG), </w:t>
      </w:r>
      <w:r w:rsidR="00AE3514">
        <w:t>and assigned an appropriate Management Strategy</w:t>
      </w:r>
      <w:r w:rsidR="00C731AE">
        <w:t xml:space="preserve"> to each BMU</w:t>
      </w:r>
      <w:r w:rsidR="00AE3514">
        <w:t xml:space="preserve">: </w:t>
      </w:r>
      <w:r w:rsidR="00AE3514" w:rsidRPr="002B5B2C">
        <w:rPr>
          <w:u w:val="single"/>
        </w:rPr>
        <w:t>Suppression</w:t>
      </w:r>
      <w:r w:rsidR="00C731AE" w:rsidRPr="002B5B2C">
        <w:rPr>
          <w:u w:val="single"/>
        </w:rPr>
        <w:t>/Prevention</w:t>
      </w:r>
      <w:r w:rsidR="00AE3514">
        <w:t xml:space="preserve">, </w:t>
      </w:r>
      <w:r w:rsidR="00AE3514" w:rsidRPr="002B5B2C">
        <w:rPr>
          <w:u w:val="single"/>
        </w:rPr>
        <w:t>Holding</w:t>
      </w:r>
      <w:r w:rsidR="00AE3514">
        <w:t xml:space="preserve">, </w:t>
      </w:r>
      <w:r w:rsidR="00AE3514" w:rsidRPr="002B5B2C">
        <w:rPr>
          <w:u w:val="single"/>
        </w:rPr>
        <w:t>Salvage</w:t>
      </w:r>
      <w:r w:rsidR="00AE3514">
        <w:t xml:space="preserve">, or </w:t>
      </w:r>
      <w:r w:rsidR="00AE3514" w:rsidRPr="002B5B2C">
        <w:rPr>
          <w:u w:val="single"/>
        </w:rPr>
        <w:t>No Action/ Monitor</w:t>
      </w:r>
      <w:r w:rsidR="00AE3514">
        <w:t xml:space="preserve">. </w:t>
      </w:r>
    </w:p>
    <w:p w14:paraId="5333EADC" w14:textId="77777777" w:rsidR="002B5B2C" w:rsidRDefault="00AE3514" w:rsidP="002B5B2C">
      <w:pPr>
        <w:pStyle w:val="ListParagraph"/>
        <w:numPr>
          <w:ilvl w:val="0"/>
          <w:numId w:val="10"/>
        </w:numPr>
        <w:spacing w:after="120"/>
        <w:ind w:left="357" w:hanging="357"/>
        <w:contextualSpacing w:val="0"/>
      </w:pPr>
      <w:r w:rsidRPr="00C731AE">
        <w:t xml:space="preserve">The </w:t>
      </w:r>
      <w:r w:rsidR="00420F85">
        <w:t>BBBC</w:t>
      </w:r>
      <w:r w:rsidRPr="00C731AE">
        <w:t xml:space="preserve"> </w:t>
      </w:r>
      <w:r w:rsidR="00C731AE" w:rsidRPr="00C731AE">
        <w:t xml:space="preserve">then submitted </w:t>
      </w:r>
      <w:r w:rsidR="00420F85">
        <w:t>an</w:t>
      </w:r>
      <w:r w:rsidR="00C731AE" w:rsidRPr="00C731AE">
        <w:t xml:space="preserve"> annual recommendation</w:t>
      </w:r>
      <w:r w:rsidR="00C731AE">
        <w:t xml:space="preserve"> </w:t>
      </w:r>
      <w:r w:rsidR="00C731AE" w:rsidRPr="00C731AE">
        <w:t xml:space="preserve">on which BMU’s </w:t>
      </w:r>
      <w:r w:rsidR="002B5B2C">
        <w:t>to</w:t>
      </w:r>
      <w:r w:rsidR="00C731AE" w:rsidRPr="00C731AE">
        <w:t xml:space="preserve"> </w:t>
      </w:r>
      <w:r w:rsidR="002B5B2C">
        <w:t>designate</w:t>
      </w:r>
      <w:r w:rsidR="00C731AE" w:rsidRPr="00C731AE">
        <w:t xml:space="preserve"> as </w:t>
      </w:r>
      <w:r w:rsidR="00C731AE">
        <w:t xml:space="preserve">“aggressive” or “sanitation” </w:t>
      </w:r>
      <w:proofErr w:type="gramStart"/>
      <w:r w:rsidR="00C731AE" w:rsidRPr="00C731AE">
        <w:t>EMU’s</w:t>
      </w:r>
      <w:proofErr w:type="gramEnd"/>
      <w:r w:rsidR="002B5B2C">
        <w:t xml:space="preserve"> for consideration by the provincial bark beetle coordinator</w:t>
      </w:r>
      <w:r w:rsidR="00C731AE" w:rsidRPr="00C731AE">
        <w:t xml:space="preserve">. </w:t>
      </w:r>
    </w:p>
    <w:p w14:paraId="09C5E73F" w14:textId="77777777" w:rsidR="00AE3514" w:rsidRDefault="00AE3514" w:rsidP="002B5B2C">
      <w:pPr>
        <w:pStyle w:val="ListParagraph"/>
        <w:numPr>
          <w:ilvl w:val="1"/>
          <w:numId w:val="10"/>
        </w:numPr>
        <w:spacing w:after="120"/>
        <w:contextualSpacing w:val="0"/>
      </w:pPr>
      <w:r w:rsidRPr="00C731AE">
        <w:t>Consistent with PBBMTIG</w:t>
      </w:r>
      <w:r w:rsidR="00C731AE" w:rsidRPr="00C731AE">
        <w:t xml:space="preserve"> guidance, </w:t>
      </w:r>
      <w:r w:rsidR="002B5B2C">
        <w:t xml:space="preserve">the submission for </w:t>
      </w:r>
      <w:r w:rsidR="00C731AE">
        <w:t xml:space="preserve">EBBMA “aggressive” </w:t>
      </w:r>
      <w:proofErr w:type="gramStart"/>
      <w:r w:rsidR="00C731AE">
        <w:t>EMU’</w:t>
      </w:r>
      <w:r w:rsidR="002B5B2C">
        <w:t>s</w:t>
      </w:r>
      <w:proofErr w:type="gramEnd"/>
      <w:r w:rsidR="002B5B2C">
        <w:t xml:space="preserve"> was typically 80%</w:t>
      </w:r>
      <w:r w:rsidR="00C731AE">
        <w:t xml:space="preserve"> </w:t>
      </w:r>
      <w:r w:rsidR="00C731AE" w:rsidRPr="002B5B2C">
        <w:rPr>
          <w:u w:val="single"/>
        </w:rPr>
        <w:t>Suppression/Prevention</w:t>
      </w:r>
      <w:r w:rsidR="00C731AE" w:rsidRPr="00C731AE">
        <w:t xml:space="preserve"> </w:t>
      </w:r>
      <w:r w:rsidR="002B5B2C">
        <w:t xml:space="preserve">strategy </w:t>
      </w:r>
      <w:r w:rsidR="00C731AE" w:rsidRPr="00C731AE">
        <w:t>BMU’s</w:t>
      </w:r>
      <w:r w:rsidR="002B5B2C">
        <w:t xml:space="preserve"> and 20% </w:t>
      </w:r>
      <w:r w:rsidR="002B5B2C" w:rsidRPr="002B5B2C">
        <w:rPr>
          <w:u w:val="single"/>
        </w:rPr>
        <w:t>Holding</w:t>
      </w:r>
      <w:r w:rsidR="002B5B2C">
        <w:t xml:space="preserve"> strategy BMU’s. “Sanitation” </w:t>
      </w:r>
      <w:proofErr w:type="gramStart"/>
      <w:r w:rsidR="002B5B2C">
        <w:t>EMU’s</w:t>
      </w:r>
      <w:proofErr w:type="gramEnd"/>
      <w:r w:rsidR="002B5B2C">
        <w:t xml:space="preserve"> were comprised of BMU’s </w:t>
      </w:r>
      <w:r w:rsidR="0041571E">
        <w:t xml:space="preserve">assigned a strategy of </w:t>
      </w:r>
      <w:r w:rsidR="002B5B2C" w:rsidRPr="0041571E">
        <w:rPr>
          <w:u w:val="single"/>
        </w:rPr>
        <w:t>Holding</w:t>
      </w:r>
      <w:r w:rsidR="002B5B2C">
        <w:t xml:space="preserve"> or </w:t>
      </w:r>
      <w:r w:rsidR="002B5B2C" w:rsidRPr="0041571E">
        <w:rPr>
          <w:u w:val="single"/>
        </w:rPr>
        <w:t>Salvage</w:t>
      </w:r>
      <w:r w:rsidR="0041571E">
        <w:t>.</w:t>
      </w:r>
    </w:p>
    <w:p w14:paraId="08450FE4" w14:textId="77777777" w:rsidR="002B5B2C" w:rsidRDefault="00BB0065" w:rsidP="00BB0065">
      <w:pPr>
        <w:pStyle w:val="ListParagraph"/>
        <w:numPr>
          <w:ilvl w:val="0"/>
          <w:numId w:val="10"/>
        </w:numPr>
        <w:spacing w:after="120"/>
        <w:ind w:left="357" w:hanging="357"/>
        <w:contextualSpacing w:val="0"/>
      </w:pPr>
      <w:r>
        <w:t xml:space="preserve">the </w:t>
      </w:r>
      <w:r w:rsidR="00420F85">
        <w:t xml:space="preserve">BBBC additionally </w:t>
      </w:r>
      <w:r>
        <w:t>submitted annual updates to Bark Beetle Tactical Plans</w:t>
      </w:r>
      <w:r w:rsidR="00420F85">
        <w:t xml:space="preserve"> for recommended “aggressive” EMU’s</w:t>
      </w:r>
      <w:r>
        <w:t xml:space="preserve">, identifying treatment types, </w:t>
      </w:r>
      <w:r w:rsidR="00420F85">
        <w:t xml:space="preserve">areas, </w:t>
      </w:r>
      <w:r>
        <w:t>amounts, and required budgets.</w:t>
      </w:r>
    </w:p>
    <w:p w14:paraId="5C7F538D" w14:textId="77777777" w:rsidR="00BB0065" w:rsidRDefault="00420F85" w:rsidP="00BB0065">
      <w:pPr>
        <w:spacing w:after="120"/>
      </w:pPr>
      <w:r>
        <w:t xml:space="preserve">The provincial bark beetle coordinator accepted </w:t>
      </w:r>
      <w:proofErr w:type="spellStart"/>
      <w:r>
        <w:t>Bulkley</w:t>
      </w:r>
      <w:proofErr w:type="spellEnd"/>
      <w:r>
        <w:t xml:space="preserve"> and Kispiox </w:t>
      </w:r>
      <w:proofErr w:type="gramStart"/>
      <w:r>
        <w:t>EMU’s</w:t>
      </w:r>
      <w:proofErr w:type="gramEnd"/>
      <w:r>
        <w:t xml:space="preserve"> into the EBBMA from 2003-2011, although provincial forest health funding for control actions was cut off by 2010.</w:t>
      </w:r>
    </w:p>
    <w:p w14:paraId="1BB52B21" w14:textId="77777777" w:rsidR="00420F85" w:rsidRDefault="00013A10" w:rsidP="00BB0065">
      <w:pPr>
        <w:spacing w:after="120"/>
      </w:pPr>
      <w:r>
        <w:t>In addition to enabling access to funding, EBBMA inclusion enabled access to administrative and policy tools for expedited harvest:</w:t>
      </w:r>
    </w:p>
    <w:p w14:paraId="104461D7" w14:textId="77777777" w:rsidR="00013A10" w:rsidRPr="00FA061A" w:rsidRDefault="00013A10" w:rsidP="00B74926">
      <w:pPr>
        <w:pStyle w:val="ListParagraph"/>
        <w:numPr>
          <w:ilvl w:val="0"/>
          <w:numId w:val="11"/>
        </w:numPr>
        <w:spacing w:after="120"/>
        <w:contextualSpacing w:val="0"/>
      </w:pPr>
      <w:proofErr w:type="gramStart"/>
      <w:r w:rsidRPr="00FA061A">
        <w:lastRenderedPageBreak/>
        <w:t>Section 1.5.1.1 of the Interior Appraisal Manual (IAM),</w:t>
      </w:r>
      <w:proofErr w:type="gramEnd"/>
      <w:r w:rsidRPr="00FA061A">
        <w:t xml:space="preserve"> identifie</w:t>
      </w:r>
      <w:r>
        <w:t>d</w:t>
      </w:r>
      <w:r w:rsidRPr="00FA061A">
        <w:t xml:space="preserve"> EBBMA as areas where a comparative cruise may be utilized.</w:t>
      </w:r>
      <w:r w:rsidR="00B74926">
        <w:t xml:space="preserve"> </w:t>
      </w:r>
      <w:hyperlink r:id="rId14" w:history="1">
        <w:r w:rsidR="00B74926" w:rsidRPr="003D5765">
          <w:rPr>
            <w:rStyle w:val="Hyperlink"/>
          </w:rPr>
          <w:t>https://www.for.gov.bc.ca/ftp/hva/external/!publish/web/manuals/interior/2014/Interior2014NovMaster_1.pdf</w:t>
        </w:r>
      </w:hyperlink>
      <w:r w:rsidR="00B74926">
        <w:t xml:space="preserve"> </w:t>
      </w:r>
    </w:p>
    <w:p w14:paraId="2A6A2835" w14:textId="77777777" w:rsidR="00013A10" w:rsidRDefault="00013A10" w:rsidP="00B74926">
      <w:pPr>
        <w:pStyle w:val="ListParagraph"/>
        <w:numPr>
          <w:ilvl w:val="0"/>
          <w:numId w:val="11"/>
        </w:numPr>
        <w:spacing w:after="200"/>
      </w:pPr>
      <w:r w:rsidRPr="00FA061A">
        <w:t>Section 2.11.2 of the Cutting Permit and Road Tenure Adminis</w:t>
      </w:r>
      <w:r>
        <w:t>tration Manual (CPRT) identified</w:t>
      </w:r>
      <w:r w:rsidRPr="00FA061A">
        <w:t xml:space="preserve"> EBBMA as operational guidance </w:t>
      </w:r>
      <w:r>
        <w:t>for a Delegated Decision Maker to consider in reaching decision on</w:t>
      </w:r>
      <w:r w:rsidRPr="00FA061A">
        <w:t xml:space="preserve"> application</w:t>
      </w:r>
      <w:r>
        <w:t>s for blanket salvage permits.</w:t>
      </w:r>
      <w:r w:rsidR="00B74926">
        <w:t xml:space="preserve"> </w:t>
      </w:r>
      <w:hyperlink r:id="rId15" w:history="1">
        <w:r w:rsidR="00B74926" w:rsidRPr="003D5765">
          <w:rPr>
            <w:rStyle w:val="Hyperlink"/>
          </w:rPr>
          <w:t>https://www.for.gov.bc.ca/dkm/ESF_Info/CPRT_Admin_Manual_ver3.pdf</w:t>
        </w:r>
      </w:hyperlink>
      <w:r w:rsidR="00B74926">
        <w:t xml:space="preserve"> </w:t>
      </w:r>
    </w:p>
    <w:p w14:paraId="45954E73" w14:textId="77777777" w:rsidR="00E52FCC" w:rsidRPr="00BD2F6F" w:rsidRDefault="00C621B4" w:rsidP="00E52FCC">
      <w:pPr>
        <w:rPr>
          <w:color w:val="FF0000"/>
        </w:rPr>
      </w:pPr>
      <w:r w:rsidRPr="00BD2F6F">
        <w:rPr>
          <w:color w:val="FF0000"/>
        </w:rPr>
        <w:t>The</w:t>
      </w:r>
      <w:r w:rsidR="00E52FCC" w:rsidRPr="00BD2F6F">
        <w:rPr>
          <w:color w:val="FF0000"/>
        </w:rPr>
        <w:t xml:space="preserve"> July 2014 “Order for Disestablishment of Emergency Bark Beetle Management Area and Units” </w:t>
      </w:r>
      <w:r w:rsidRPr="00BD2F6F">
        <w:rPr>
          <w:color w:val="FF0000"/>
        </w:rPr>
        <w:t>repealed</w:t>
      </w:r>
      <w:r w:rsidR="00550C3B" w:rsidRPr="00BD2F6F">
        <w:rPr>
          <w:color w:val="FF0000"/>
        </w:rPr>
        <w:t xml:space="preserve"> </w:t>
      </w:r>
      <w:r w:rsidR="00003C72" w:rsidRPr="00BD2F6F">
        <w:rPr>
          <w:color w:val="FF0000"/>
        </w:rPr>
        <w:t>provincial O</w:t>
      </w:r>
      <w:r w:rsidR="00E52FCC" w:rsidRPr="00BD2F6F">
        <w:rPr>
          <w:color w:val="FF0000"/>
        </w:rPr>
        <w:t xml:space="preserve">rders establishing Emergency Bark Beetle Management Areas (EBBMA) and Emergency Management Units (EMU) for Mountain Pine, </w:t>
      </w:r>
      <w:proofErr w:type="gramStart"/>
      <w:r w:rsidR="00E52FCC" w:rsidRPr="00BD2F6F">
        <w:rPr>
          <w:color w:val="FF0000"/>
        </w:rPr>
        <w:t>Spruce</w:t>
      </w:r>
      <w:proofErr w:type="gramEnd"/>
      <w:r w:rsidR="00E52FCC" w:rsidRPr="00BD2F6F">
        <w:rPr>
          <w:color w:val="FF0000"/>
        </w:rPr>
        <w:t xml:space="preserve"> and Douglas-fir beetle.</w:t>
      </w:r>
    </w:p>
    <w:p w14:paraId="0BEF596A" w14:textId="77777777" w:rsidR="00C621B4" w:rsidRPr="00BD2F6F" w:rsidRDefault="00756D34" w:rsidP="00C621B4">
      <w:pPr>
        <w:spacing w:after="120"/>
        <w:rPr>
          <w:color w:val="FF0000"/>
        </w:rPr>
      </w:pPr>
      <w:hyperlink r:id="rId16" w:history="1">
        <w:r w:rsidR="00C621B4" w:rsidRPr="00BD2F6F">
          <w:rPr>
            <w:rStyle w:val="Hyperlink"/>
            <w:color w:val="FF0000"/>
          </w:rPr>
          <w:t>http://www.for.gov.bc.ca/ftp/hth/external/!publish/web/timber-tenures/BSP/EBBMA-Background.pdf</w:t>
        </w:r>
      </w:hyperlink>
    </w:p>
    <w:p w14:paraId="7845DD7E" w14:textId="77777777" w:rsidR="009C2024" w:rsidRPr="00BD2F6F" w:rsidRDefault="00A576FC" w:rsidP="009C2024">
      <w:pPr>
        <w:pStyle w:val="ListParagraph"/>
        <w:numPr>
          <w:ilvl w:val="0"/>
          <w:numId w:val="12"/>
        </w:numPr>
        <w:spacing w:after="200"/>
        <w:rPr>
          <w:color w:val="FF0000"/>
        </w:rPr>
      </w:pPr>
      <w:r w:rsidRPr="00BD2F6F">
        <w:rPr>
          <w:color w:val="FF0000"/>
        </w:rPr>
        <w:t xml:space="preserve">EBBMA references in IAM section 1.5.1.1 </w:t>
      </w:r>
      <w:r w:rsidR="009C2024" w:rsidRPr="00BD2F6F">
        <w:rPr>
          <w:color w:val="FF0000"/>
        </w:rPr>
        <w:t xml:space="preserve">have been dropped, although they remain in CPRT section 2.11.2. </w:t>
      </w:r>
    </w:p>
    <w:p w14:paraId="2B4F2E80" w14:textId="77777777" w:rsidR="00F4264C" w:rsidRDefault="002002B6" w:rsidP="00AF20A8">
      <w:pPr>
        <w:spacing w:after="120"/>
        <w:rPr>
          <w:color w:val="FF0000"/>
        </w:rPr>
      </w:pPr>
      <w:r w:rsidRPr="00A7095D">
        <w:rPr>
          <w:b/>
          <w:color w:val="FF0000"/>
          <w:u w:val="single"/>
        </w:rPr>
        <w:t>In the absence of EBBMA</w:t>
      </w:r>
      <w:r w:rsidRPr="004A63C7">
        <w:rPr>
          <w:color w:val="FF0000"/>
        </w:rPr>
        <w:t>, t</w:t>
      </w:r>
      <w:r w:rsidR="009C2024" w:rsidRPr="004A63C7">
        <w:rPr>
          <w:color w:val="FF0000"/>
        </w:rPr>
        <w:t xml:space="preserve">he DDM </w:t>
      </w:r>
      <w:r w:rsidR="008D6C74" w:rsidRPr="004A63C7">
        <w:rPr>
          <w:color w:val="FF0000"/>
        </w:rPr>
        <w:t>has</w:t>
      </w:r>
      <w:r w:rsidRPr="004A63C7">
        <w:rPr>
          <w:color w:val="FF0000"/>
        </w:rPr>
        <w:t xml:space="preserve"> </w:t>
      </w:r>
      <w:r w:rsidR="009C2024" w:rsidRPr="004A63C7">
        <w:rPr>
          <w:color w:val="FF0000"/>
        </w:rPr>
        <w:t xml:space="preserve">authority to </w:t>
      </w:r>
      <w:r w:rsidRPr="004A63C7">
        <w:rPr>
          <w:color w:val="FF0000"/>
        </w:rPr>
        <w:t xml:space="preserve">identify which BMU’s will comprise localized “aggressive” management areas, </w:t>
      </w:r>
      <w:r w:rsidR="00B74926" w:rsidRPr="004A63C7">
        <w:rPr>
          <w:color w:val="FF0000"/>
        </w:rPr>
        <w:t>with</w:t>
      </w:r>
      <w:r w:rsidRPr="004A63C7">
        <w:rPr>
          <w:color w:val="FF0000"/>
        </w:rPr>
        <w:t xml:space="preserve">in which the DDM </w:t>
      </w:r>
      <w:r w:rsidR="001D52EF">
        <w:rPr>
          <w:color w:val="FF0000"/>
        </w:rPr>
        <w:t>will be</w:t>
      </w:r>
      <w:r w:rsidR="00F4264C">
        <w:rPr>
          <w:color w:val="FF0000"/>
        </w:rPr>
        <w:t xml:space="preserve"> </w:t>
      </w:r>
      <w:r w:rsidR="00AA3FDA">
        <w:rPr>
          <w:color w:val="FF0000"/>
        </w:rPr>
        <w:t>generally</w:t>
      </w:r>
      <w:r w:rsidR="00F4264C">
        <w:rPr>
          <w:color w:val="FF0000"/>
        </w:rPr>
        <w:t xml:space="preserve"> supportive of</w:t>
      </w:r>
      <w:r w:rsidRPr="004A63C7">
        <w:rPr>
          <w:color w:val="FF0000"/>
        </w:rPr>
        <w:t xml:space="preserve"> </w:t>
      </w:r>
      <w:r w:rsidR="00475F9B" w:rsidRPr="004A63C7">
        <w:rPr>
          <w:color w:val="FF0000"/>
        </w:rPr>
        <w:t xml:space="preserve">client </w:t>
      </w:r>
      <w:r w:rsidRPr="004A63C7">
        <w:rPr>
          <w:color w:val="FF0000"/>
        </w:rPr>
        <w:t xml:space="preserve">applications for blanket salvage permits and/or for the use of the </w:t>
      </w:r>
      <w:r w:rsidR="00A576FC" w:rsidRPr="004A63C7">
        <w:rPr>
          <w:color w:val="FF0000"/>
        </w:rPr>
        <w:t>comparative c</w:t>
      </w:r>
      <w:r w:rsidRPr="004A63C7">
        <w:rPr>
          <w:color w:val="FF0000"/>
        </w:rPr>
        <w:t>ruise option</w:t>
      </w:r>
      <w:r w:rsidR="00DE094C" w:rsidRPr="004A63C7">
        <w:rPr>
          <w:color w:val="FF0000"/>
        </w:rPr>
        <w:t xml:space="preserve"> for beetle control</w:t>
      </w:r>
      <w:r w:rsidRPr="004A63C7">
        <w:rPr>
          <w:color w:val="FF0000"/>
        </w:rPr>
        <w:t xml:space="preserve">. </w:t>
      </w:r>
    </w:p>
    <w:p w14:paraId="17B7A491" w14:textId="77777777" w:rsidR="00F4264C" w:rsidRDefault="00F4264C" w:rsidP="00AF20A8">
      <w:pPr>
        <w:spacing w:after="120"/>
        <w:rPr>
          <w:color w:val="FF0000"/>
        </w:rPr>
      </w:pPr>
      <w:r>
        <w:rPr>
          <w:color w:val="FF0000"/>
        </w:rPr>
        <w:t>Consistent with the July 2014 FLNRO Deputy Minister memorandum regarding Blanket Salvage Cutting Permits</w:t>
      </w:r>
      <w:r w:rsidR="001D52EF">
        <w:rPr>
          <w:color w:val="FF0000"/>
        </w:rPr>
        <w:t xml:space="preserve"> </w:t>
      </w:r>
      <w:hyperlink r:id="rId17" w:history="1">
        <w:r w:rsidR="001D52EF" w:rsidRPr="006E1A3C">
          <w:rPr>
            <w:rStyle w:val="Hyperlink"/>
          </w:rPr>
          <w:t>https://www.for.gov.bc.ca/ftp/HTH/external/!publish/web/timber-tenures/BSP/Memo-july-3-2014.pdf</w:t>
        </w:r>
      </w:hyperlink>
      <w:r w:rsidR="001D52EF">
        <w:rPr>
          <w:color w:val="FF0000"/>
        </w:rPr>
        <w:t xml:space="preserve">, the DDM will consider </w:t>
      </w:r>
      <w:r w:rsidR="002563CE">
        <w:rPr>
          <w:color w:val="FF0000"/>
        </w:rPr>
        <w:t>c</w:t>
      </w:r>
      <w:r w:rsidR="00524EF4">
        <w:rPr>
          <w:color w:val="FF0000"/>
        </w:rPr>
        <w:t>ase by case</w:t>
      </w:r>
      <w:r w:rsidR="00AA3FDA">
        <w:rPr>
          <w:color w:val="FF0000"/>
        </w:rPr>
        <w:t xml:space="preserve"> approval of</w:t>
      </w:r>
      <w:r w:rsidR="001D52EF">
        <w:rPr>
          <w:color w:val="FF0000"/>
        </w:rPr>
        <w:t xml:space="preserve"> major licensee application for blanket salvage permits to harvest dead or damaged timber in BMU’s outside the “aggressive” management area, where </w:t>
      </w:r>
      <w:r w:rsidR="00524EF4">
        <w:rPr>
          <w:color w:val="FF0000"/>
        </w:rPr>
        <w:t>it can be established</w:t>
      </w:r>
      <w:r w:rsidR="001D52EF">
        <w:rPr>
          <w:color w:val="FF0000"/>
        </w:rPr>
        <w:t xml:space="preserve"> that the timber cannot logically be added to an approved or potentially planned harvesting opportunity.</w:t>
      </w:r>
    </w:p>
    <w:p w14:paraId="7B310DC3" w14:textId="77777777" w:rsidR="00A576FC" w:rsidRPr="004A63C7" w:rsidRDefault="002002B6" w:rsidP="00AF20A8">
      <w:pPr>
        <w:spacing w:after="120"/>
        <w:rPr>
          <w:color w:val="FF0000"/>
        </w:rPr>
      </w:pPr>
      <w:r w:rsidRPr="004A63C7">
        <w:rPr>
          <w:color w:val="FF0000"/>
        </w:rPr>
        <w:t xml:space="preserve">The District Forest Health Strategy </w:t>
      </w:r>
      <w:r w:rsidR="00DE094C" w:rsidRPr="004A63C7">
        <w:rPr>
          <w:color w:val="FF0000"/>
        </w:rPr>
        <w:t xml:space="preserve">as annually updated </w:t>
      </w:r>
      <w:r w:rsidRPr="004A63C7">
        <w:rPr>
          <w:color w:val="FF0000"/>
        </w:rPr>
        <w:t xml:space="preserve">will be </w:t>
      </w:r>
      <w:r w:rsidR="00DE094C" w:rsidRPr="004A63C7">
        <w:rPr>
          <w:color w:val="FF0000"/>
        </w:rPr>
        <w:t>the vehicle used by the DDM to communicate</w:t>
      </w:r>
      <w:r w:rsidRPr="004A63C7">
        <w:rPr>
          <w:color w:val="FF0000"/>
        </w:rPr>
        <w:t xml:space="preserve"> </w:t>
      </w:r>
      <w:r w:rsidR="00DE094C" w:rsidRPr="004A63C7">
        <w:rPr>
          <w:color w:val="FF0000"/>
        </w:rPr>
        <w:t>the extent of “aggressive” management areas.</w:t>
      </w:r>
    </w:p>
    <w:p w14:paraId="23E9EFCC" w14:textId="77777777" w:rsidR="00B74926" w:rsidRPr="004A63C7" w:rsidRDefault="00B74926" w:rsidP="00AF20A8">
      <w:pPr>
        <w:spacing w:after="120"/>
        <w:rPr>
          <w:color w:val="FF0000"/>
        </w:rPr>
      </w:pPr>
      <w:r w:rsidRPr="004A63C7">
        <w:rPr>
          <w:color w:val="FF0000"/>
        </w:rPr>
        <w:t xml:space="preserve">District Stewardship will coordinate </w:t>
      </w:r>
      <w:r w:rsidR="00AF20A8">
        <w:rPr>
          <w:color w:val="FF0000"/>
        </w:rPr>
        <w:t>an</w:t>
      </w:r>
      <w:r w:rsidRPr="004A63C7">
        <w:rPr>
          <w:color w:val="FF0000"/>
        </w:rPr>
        <w:t xml:space="preserve"> annual revisit to BMU strategies with Regional Forest Health Specialist and licensee input, to support the</w:t>
      </w:r>
      <w:r w:rsidR="00BB46C0" w:rsidRPr="004A63C7">
        <w:rPr>
          <w:color w:val="FF0000"/>
        </w:rPr>
        <w:t xml:space="preserve"> DSS</w:t>
      </w:r>
      <w:r w:rsidRPr="004A63C7">
        <w:rPr>
          <w:color w:val="FF0000"/>
        </w:rPr>
        <w:t xml:space="preserve"> District Manager’s identification of DSS’ “aggressive” management area. The PBBMTIG </w:t>
      </w:r>
      <w:r w:rsidR="00BB46C0" w:rsidRPr="004A63C7">
        <w:rPr>
          <w:color w:val="FF0000"/>
        </w:rPr>
        <w:t>shall continue to be</w:t>
      </w:r>
      <w:r w:rsidRPr="004A63C7">
        <w:rPr>
          <w:color w:val="FF0000"/>
        </w:rPr>
        <w:t xml:space="preserve"> employed as key guidance advising </w:t>
      </w:r>
      <w:r w:rsidR="00DC0773" w:rsidRPr="004A63C7">
        <w:rPr>
          <w:color w:val="FF0000"/>
        </w:rPr>
        <w:t xml:space="preserve">assignment of </w:t>
      </w:r>
      <w:r w:rsidR="00BB46C0" w:rsidRPr="004A63C7">
        <w:rPr>
          <w:color w:val="FF0000"/>
        </w:rPr>
        <w:t>BMU strategy. In summary,</w:t>
      </w:r>
    </w:p>
    <w:p w14:paraId="60A1259F" w14:textId="77777777" w:rsidR="00BB46C0" w:rsidRPr="00DF22E0" w:rsidRDefault="00BB46C0" w:rsidP="00BB46C0">
      <w:pPr>
        <w:rPr>
          <w:color w:val="FF0000"/>
        </w:rPr>
      </w:pPr>
      <w:r w:rsidRPr="00BB46C0">
        <w:rPr>
          <w:color w:val="FF0000"/>
        </w:rPr>
        <w:t>A strategy of</w:t>
      </w:r>
      <w:r>
        <w:rPr>
          <w:color w:val="FF0000"/>
          <w:u w:val="single"/>
        </w:rPr>
        <w:t xml:space="preserve"> Suppression/P</w:t>
      </w:r>
      <w:r w:rsidRPr="001D599C">
        <w:rPr>
          <w:color w:val="FF0000"/>
          <w:u w:val="single"/>
        </w:rPr>
        <w:t>revention</w:t>
      </w:r>
      <w:r w:rsidRPr="00DF22E0">
        <w:rPr>
          <w:color w:val="FF0000"/>
        </w:rPr>
        <w:t xml:space="preserve"> </w:t>
      </w:r>
      <w:r>
        <w:rPr>
          <w:color w:val="FF0000"/>
        </w:rPr>
        <w:t>will be assigned for BMU’s with:</w:t>
      </w:r>
    </w:p>
    <w:p w14:paraId="212D2DAA" w14:textId="77777777" w:rsidR="00BB46C0" w:rsidRPr="001D7B9F" w:rsidRDefault="00BB46C0" w:rsidP="00BB46C0">
      <w:pPr>
        <w:pStyle w:val="ListParagraph"/>
        <w:numPr>
          <w:ilvl w:val="0"/>
          <w:numId w:val="8"/>
        </w:numPr>
        <w:contextualSpacing w:val="0"/>
        <w:rPr>
          <w:color w:val="FF0000"/>
        </w:rPr>
      </w:pPr>
      <w:r>
        <w:rPr>
          <w:color w:val="FF0000"/>
        </w:rPr>
        <w:t>a</w:t>
      </w:r>
      <w:r w:rsidRPr="001D7B9F">
        <w:rPr>
          <w:color w:val="FF0000"/>
        </w:rPr>
        <w:t>bundant host trees with potential to perpetuate beetle population expansion are present</w:t>
      </w:r>
      <w:r w:rsidR="00C63CC9">
        <w:rPr>
          <w:color w:val="FF0000"/>
        </w:rPr>
        <w:t>, AND</w:t>
      </w:r>
    </w:p>
    <w:p w14:paraId="5D3D919F" w14:textId="77777777" w:rsidR="00BB46C0" w:rsidRDefault="00BB46C0" w:rsidP="00BB46C0">
      <w:pPr>
        <w:pStyle w:val="ListParagraph"/>
        <w:numPr>
          <w:ilvl w:val="0"/>
          <w:numId w:val="8"/>
        </w:numPr>
        <w:rPr>
          <w:color w:val="FF0000"/>
        </w:rPr>
      </w:pPr>
      <w:r w:rsidRPr="00BB46C0">
        <w:rPr>
          <w:color w:val="FF0000"/>
        </w:rPr>
        <w:t>light to low outbreak status. Hig</w:t>
      </w:r>
      <w:r w:rsidR="00C63CC9">
        <w:rPr>
          <w:color w:val="FF0000"/>
        </w:rPr>
        <w:t>h chance of controlling beetles, AND</w:t>
      </w:r>
    </w:p>
    <w:p w14:paraId="1E0869D0" w14:textId="77777777" w:rsidR="00BB46C0" w:rsidRPr="00BB46C0" w:rsidRDefault="00BB46C0" w:rsidP="00BB46C0">
      <w:pPr>
        <w:pStyle w:val="ListParagraph"/>
        <w:numPr>
          <w:ilvl w:val="0"/>
          <w:numId w:val="8"/>
        </w:numPr>
        <w:rPr>
          <w:color w:val="FF0000"/>
        </w:rPr>
      </w:pPr>
      <w:r w:rsidRPr="00BB46C0">
        <w:rPr>
          <w:color w:val="FF0000"/>
        </w:rPr>
        <w:t>anticipate that can treat &gt;= 80% of current infestation within one year, and 100% in 2 years</w:t>
      </w:r>
      <w:r w:rsidR="00C63CC9">
        <w:rPr>
          <w:color w:val="FF0000"/>
        </w:rPr>
        <w:t>, AND</w:t>
      </w:r>
    </w:p>
    <w:p w14:paraId="43D01D5D" w14:textId="77777777" w:rsidR="00BB46C0" w:rsidRPr="00BB46C0" w:rsidRDefault="00BB46C0" w:rsidP="00BB46C0">
      <w:pPr>
        <w:pStyle w:val="ListParagraph"/>
        <w:numPr>
          <w:ilvl w:val="0"/>
          <w:numId w:val="8"/>
        </w:numPr>
        <w:rPr>
          <w:color w:val="FF0000"/>
        </w:rPr>
      </w:pPr>
      <w:r w:rsidRPr="00BB46C0">
        <w:rPr>
          <w:color w:val="FF0000"/>
        </w:rPr>
        <w:t xml:space="preserve">resources for direct control, </w:t>
      </w:r>
      <w:proofErr w:type="gramStart"/>
      <w:r w:rsidRPr="00BB46C0">
        <w:rPr>
          <w:color w:val="FF0000"/>
        </w:rPr>
        <w:t>harvest</w:t>
      </w:r>
      <w:proofErr w:type="gramEnd"/>
      <w:r w:rsidRPr="00BB46C0">
        <w:rPr>
          <w:color w:val="FF0000"/>
        </w:rPr>
        <w:t xml:space="preserve"> or milling capacity &gt;= amount of infestation</w:t>
      </w:r>
      <w:r w:rsidR="00C63CC9">
        <w:rPr>
          <w:color w:val="FF0000"/>
        </w:rPr>
        <w:t>, AND</w:t>
      </w:r>
    </w:p>
    <w:p w14:paraId="22035998" w14:textId="77777777" w:rsidR="00BB46C0" w:rsidRPr="00BB46C0" w:rsidRDefault="00BB46C0" w:rsidP="00BB46C0">
      <w:pPr>
        <w:pStyle w:val="ListParagraph"/>
        <w:numPr>
          <w:ilvl w:val="0"/>
          <w:numId w:val="8"/>
        </w:numPr>
        <w:rPr>
          <w:color w:val="FF0000"/>
        </w:rPr>
      </w:pPr>
      <w:r w:rsidRPr="00BB46C0">
        <w:rPr>
          <w:color w:val="FF0000"/>
        </w:rPr>
        <w:t>road access exists</w:t>
      </w:r>
      <w:r w:rsidR="00C63CC9">
        <w:rPr>
          <w:color w:val="FF0000"/>
        </w:rPr>
        <w:t>, AND</w:t>
      </w:r>
    </w:p>
    <w:p w14:paraId="7590E9C4" w14:textId="77777777" w:rsidR="00BB46C0" w:rsidRPr="00BB46C0" w:rsidRDefault="00BB46C0" w:rsidP="00BB46C0">
      <w:pPr>
        <w:pStyle w:val="ListParagraph"/>
        <w:numPr>
          <w:ilvl w:val="0"/>
          <w:numId w:val="8"/>
        </w:numPr>
        <w:rPr>
          <w:color w:val="FF0000"/>
        </w:rPr>
      </w:pPr>
      <w:r w:rsidRPr="00BB46C0">
        <w:rPr>
          <w:color w:val="FF0000"/>
        </w:rPr>
        <w:t>low patch/spot ratio</w:t>
      </w:r>
    </w:p>
    <w:p w14:paraId="53650454" w14:textId="77777777" w:rsidR="00BB46C0" w:rsidRPr="00DF22E0" w:rsidRDefault="00BB46C0" w:rsidP="00BB46C0">
      <w:pPr>
        <w:rPr>
          <w:color w:val="FF0000"/>
        </w:rPr>
      </w:pPr>
    </w:p>
    <w:p w14:paraId="6563FBBB" w14:textId="77777777" w:rsidR="00BB46C0" w:rsidRDefault="00BB46C0" w:rsidP="00475F9B">
      <w:pPr>
        <w:rPr>
          <w:color w:val="FF0000"/>
        </w:rPr>
      </w:pPr>
      <w:r>
        <w:rPr>
          <w:color w:val="FF0000"/>
          <w:u w:val="single"/>
        </w:rPr>
        <w:t>H</w:t>
      </w:r>
      <w:r w:rsidRPr="001D599C">
        <w:rPr>
          <w:color w:val="FF0000"/>
          <w:u w:val="single"/>
        </w:rPr>
        <w:t>olding</w:t>
      </w:r>
      <w:r>
        <w:rPr>
          <w:color w:val="FF0000"/>
        </w:rPr>
        <w:t xml:space="preserve"> </w:t>
      </w:r>
      <w:r w:rsidR="00475F9B">
        <w:rPr>
          <w:color w:val="FF0000"/>
        </w:rPr>
        <w:t>for</w:t>
      </w:r>
      <w:r>
        <w:rPr>
          <w:color w:val="FF0000"/>
        </w:rPr>
        <w:t xml:space="preserve"> BMU’s with:</w:t>
      </w:r>
    </w:p>
    <w:p w14:paraId="47BD2061" w14:textId="77777777" w:rsidR="00AD39CF" w:rsidRDefault="00AD39CF" w:rsidP="00BB46C0">
      <w:pPr>
        <w:pStyle w:val="ListParagraph"/>
        <w:numPr>
          <w:ilvl w:val="0"/>
          <w:numId w:val="8"/>
        </w:numPr>
        <w:rPr>
          <w:color w:val="FF0000"/>
        </w:rPr>
      </w:pPr>
      <w:r>
        <w:rPr>
          <w:color w:val="FF0000"/>
        </w:rPr>
        <w:t>abundant host trees</w:t>
      </w:r>
      <w:r w:rsidR="00C63CC9">
        <w:rPr>
          <w:color w:val="FF0000"/>
        </w:rPr>
        <w:t>, AND</w:t>
      </w:r>
    </w:p>
    <w:p w14:paraId="3D901536" w14:textId="77777777" w:rsidR="00BB46C0" w:rsidRPr="00BB46C0" w:rsidRDefault="00BB46C0" w:rsidP="00BB46C0">
      <w:pPr>
        <w:pStyle w:val="ListParagraph"/>
        <w:numPr>
          <w:ilvl w:val="0"/>
          <w:numId w:val="8"/>
        </w:numPr>
        <w:rPr>
          <w:color w:val="FF0000"/>
        </w:rPr>
      </w:pPr>
      <w:r w:rsidRPr="00BB46C0">
        <w:rPr>
          <w:color w:val="FF0000"/>
        </w:rPr>
        <w:t>low to moderate outbreak status. Moderate chance of controlling beetle</w:t>
      </w:r>
      <w:r w:rsidR="00C63CC9">
        <w:rPr>
          <w:color w:val="FF0000"/>
        </w:rPr>
        <w:t>, AND</w:t>
      </w:r>
    </w:p>
    <w:p w14:paraId="5B8A88A4" w14:textId="77777777" w:rsidR="00BB46C0" w:rsidRPr="00BB46C0" w:rsidRDefault="00BB46C0" w:rsidP="00BB46C0">
      <w:pPr>
        <w:pStyle w:val="ListParagraph"/>
        <w:numPr>
          <w:ilvl w:val="0"/>
          <w:numId w:val="8"/>
        </w:numPr>
        <w:rPr>
          <w:color w:val="FF0000"/>
        </w:rPr>
      </w:pPr>
      <w:r w:rsidRPr="00BB46C0">
        <w:rPr>
          <w:color w:val="FF0000"/>
        </w:rPr>
        <w:t>anticipate that can treat 50-70% of current infestation</w:t>
      </w:r>
      <w:r w:rsidR="00C63CC9">
        <w:rPr>
          <w:color w:val="FF0000"/>
        </w:rPr>
        <w:t>, AND</w:t>
      </w:r>
    </w:p>
    <w:p w14:paraId="6CA8D51D" w14:textId="77777777" w:rsidR="00BB46C0" w:rsidRPr="00BB46C0" w:rsidRDefault="00BB46C0" w:rsidP="00BB46C0">
      <w:pPr>
        <w:pStyle w:val="ListParagraph"/>
        <w:numPr>
          <w:ilvl w:val="0"/>
          <w:numId w:val="8"/>
        </w:numPr>
        <w:rPr>
          <w:color w:val="FF0000"/>
        </w:rPr>
      </w:pPr>
      <w:r>
        <w:rPr>
          <w:color w:val="FF0000"/>
        </w:rPr>
        <w:t>if access is presently poor</w:t>
      </w:r>
      <w:r w:rsidRPr="00BB46C0">
        <w:rPr>
          <w:color w:val="FF0000"/>
        </w:rPr>
        <w:t>, can be developed over short term</w:t>
      </w:r>
      <w:r w:rsidR="00C63CC9">
        <w:rPr>
          <w:color w:val="FF0000"/>
        </w:rPr>
        <w:t>, AND</w:t>
      </w:r>
    </w:p>
    <w:p w14:paraId="2404BC10" w14:textId="77777777" w:rsidR="00BB46C0" w:rsidRDefault="00BB46C0" w:rsidP="009B5186">
      <w:pPr>
        <w:pStyle w:val="ListParagraph"/>
        <w:numPr>
          <w:ilvl w:val="0"/>
          <w:numId w:val="8"/>
        </w:numPr>
        <w:spacing w:after="120"/>
      </w:pPr>
      <w:r w:rsidRPr="009B5186">
        <w:rPr>
          <w:color w:val="FF0000"/>
        </w:rPr>
        <w:t>moderate to high patch/spot ratio</w:t>
      </w:r>
    </w:p>
    <w:p w14:paraId="64AF7579" w14:textId="77777777" w:rsidR="00475F9B" w:rsidRPr="00475F9B" w:rsidRDefault="00475F9B" w:rsidP="00475F9B">
      <w:pPr>
        <w:rPr>
          <w:color w:val="FF0000"/>
        </w:rPr>
      </w:pPr>
      <w:r w:rsidRPr="00475F9B">
        <w:rPr>
          <w:color w:val="FF0000"/>
          <w:u w:val="single"/>
        </w:rPr>
        <w:t>Salvage</w:t>
      </w:r>
      <w:r w:rsidRPr="00475F9B">
        <w:rPr>
          <w:color w:val="FF0000"/>
        </w:rPr>
        <w:t xml:space="preserve"> for BMU’s that have:</w:t>
      </w:r>
    </w:p>
    <w:p w14:paraId="3A3A7D9F" w14:textId="77777777" w:rsidR="00475F9B" w:rsidRPr="00C63CC9" w:rsidRDefault="00AD39CF" w:rsidP="00475F9B">
      <w:pPr>
        <w:pStyle w:val="ListParagraph"/>
        <w:numPr>
          <w:ilvl w:val="0"/>
          <w:numId w:val="14"/>
        </w:numPr>
        <w:autoSpaceDE w:val="0"/>
        <w:autoSpaceDN w:val="0"/>
        <w:adjustRightInd w:val="0"/>
        <w:ind w:left="709"/>
        <w:rPr>
          <w:rFonts w:asciiTheme="minorHAnsi" w:hAnsiTheme="minorHAnsi" w:cstheme="minorHAnsi"/>
          <w:color w:val="FF0000"/>
        </w:rPr>
      </w:pPr>
      <w:r w:rsidRPr="00C63CC9">
        <w:rPr>
          <w:rFonts w:asciiTheme="minorHAnsi" w:hAnsiTheme="minorHAnsi" w:cstheme="minorHAnsi"/>
          <w:color w:val="FF0000"/>
        </w:rPr>
        <w:t xml:space="preserve">abundant host trees but </w:t>
      </w:r>
      <w:r w:rsidR="00475F9B" w:rsidRPr="00C63CC9">
        <w:rPr>
          <w:rFonts w:asciiTheme="minorHAnsi" w:hAnsiTheme="minorHAnsi" w:cstheme="minorHAnsi"/>
          <w:color w:val="FF0000"/>
        </w:rPr>
        <w:t>extensive</w:t>
      </w:r>
      <w:r w:rsidRPr="00C63CC9">
        <w:rPr>
          <w:rFonts w:asciiTheme="minorHAnsi" w:hAnsiTheme="minorHAnsi" w:cstheme="minorHAnsi"/>
          <w:color w:val="FF0000"/>
        </w:rPr>
        <w:t xml:space="preserve"> current </w:t>
      </w:r>
      <w:r w:rsidR="00475F9B" w:rsidRPr="00C63CC9">
        <w:rPr>
          <w:rFonts w:asciiTheme="minorHAnsi" w:hAnsiTheme="minorHAnsi" w:cstheme="minorHAnsi"/>
          <w:color w:val="FF0000"/>
        </w:rPr>
        <w:t>outbreaks c</w:t>
      </w:r>
      <w:r w:rsidRPr="00C63CC9">
        <w:rPr>
          <w:rFonts w:asciiTheme="minorHAnsi" w:hAnsiTheme="minorHAnsi" w:cstheme="minorHAnsi"/>
          <w:color w:val="FF0000"/>
        </w:rPr>
        <w:t>over</w:t>
      </w:r>
      <w:r w:rsidR="00475F9B" w:rsidRPr="00C63CC9">
        <w:rPr>
          <w:rFonts w:asciiTheme="minorHAnsi" w:hAnsiTheme="minorHAnsi" w:cstheme="minorHAnsi"/>
          <w:color w:val="FF0000"/>
        </w:rPr>
        <w:t xml:space="preserve"> a large proportion of susceptible stands, OR</w:t>
      </w:r>
      <w:r w:rsidR="00C63CC9" w:rsidRPr="00C63CC9">
        <w:rPr>
          <w:rFonts w:asciiTheme="minorHAnsi" w:hAnsiTheme="minorHAnsi" w:cstheme="minorHAnsi"/>
          <w:color w:val="FF0000"/>
        </w:rPr>
        <w:t xml:space="preserve"> </w:t>
      </w:r>
      <w:r w:rsidR="00475F9B" w:rsidRPr="00C63CC9">
        <w:rPr>
          <w:rFonts w:asciiTheme="minorHAnsi" w:hAnsiTheme="minorHAnsi" w:cstheme="minorHAnsi"/>
          <w:color w:val="FF0000"/>
        </w:rPr>
        <w:t>small volumes of pine, OR pine is marginally economic, AND</w:t>
      </w:r>
    </w:p>
    <w:p w14:paraId="70F20E5B" w14:textId="77777777" w:rsidR="00475F9B" w:rsidRPr="00475F9B" w:rsidRDefault="00475F9B" w:rsidP="00475F9B">
      <w:pPr>
        <w:pStyle w:val="ListParagraph"/>
        <w:numPr>
          <w:ilvl w:val="0"/>
          <w:numId w:val="14"/>
        </w:numPr>
        <w:autoSpaceDE w:val="0"/>
        <w:autoSpaceDN w:val="0"/>
        <w:adjustRightInd w:val="0"/>
        <w:ind w:left="709"/>
        <w:rPr>
          <w:rFonts w:asciiTheme="minorHAnsi" w:hAnsiTheme="minorHAnsi" w:cstheme="minorHAnsi"/>
          <w:color w:val="FF0000"/>
        </w:rPr>
      </w:pPr>
      <w:r w:rsidRPr="00475F9B">
        <w:rPr>
          <w:rFonts w:asciiTheme="minorHAnsi" w:hAnsiTheme="minorHAnsi" w:cstheme="minorHAnsi"/>
          <w:color w:val="FF0000"/>
        </w:rPr>
        <w:t xml:space="preserve">anticipate that can treat &lt;50% of current </w:t>
      </w:r>
      <w:proofErr w:type="gramStart"/>
      <w:r w:rsidRPr="00475F9B">
        <w:rPr>
          <w:rFonts w:asciiTheme="minorHAnsi" w:hAnsiTheme="minorHAnsi" w:cstheme="minorHAnsi"/>
          <w:color w:val="FF0000"/>
        </w:rPr>
        <w:t>infestation</w:t>
      </w:r>
      <w:proofErr w:type="gramEnd"/>
    </w:p>
    <w:p w14:paraId="111DB1D9" w14:textId="77777777" w:rsidR="00475F9B" w:rsidRDefault="00475F9B" w:rsidP="00475F9B">
      <w:pPr>
        <w:autoSpaceDE w:val="0"/>
        <w:autoSpaceDN w:val="0"/>
        <w:adjustRightInd w:val="0"/>
        <w:rPr>
          <w:rFonts w:ascii="Arial" w:hAnsi="Arial" w:cs="Arial"/>
          <w:sz w:val="24"/>
          <w:szCs w:val="24"/>
        </w:rPr>
      </w:pPr>
    </w:p>
    <w:p w14:paraId="3B3C7DD1" w14:textId="77777777" w:rsidR="00475F9B" w:rsidRPr="00AD39CF" w:rsidRDefault="00475F9B" w:rsidP="00AD39CF">
      <w:pPr>
        <w:autoSpaceDE w:val="0"/>
        <w:autoSpaceDN w:val="0"/>
        <w:adjustRightInd w:val="0"/>
        <w:rPr>
          <w:rFonts w:asciiTheme="minorHAnsi" w:hAnsiTheme="minorHAnsi" w:cstheme="minorHAnsi"/>
          <w:color w:val="FF0000"/>
        </w:rPr>
      </w:pPr>
      <w:r w:rsidRPr="00AD39CF">
        <w:rPr>
          <w:rFonts w:asciiTheme="minorHAnsi" w:hAnsiTheme="minorHAnsi" w:cstheme="minorHAnsi"/>
          <w:bCs/>
          <w:color w:val="FF0000"/>
          <w:u w:val="single"/>
        </w:rPr>
        <w:t>Monitor</w:t>
      </w:r>
      <w:r w:rsidR="00AD39CF" w:rsidRPr="00AD39CF">
        <w:rPr>
          <w:rFonts w:asciiTheme="minorHAnsi" w:hAnsiTheme="minorHAnsi" w:cstheme="minorHAnsi"/>
          <w:color w:val="FF0000"/>
        </w:rPr>
        <w:t xml:space="preserve"> for BMU’s where there is no </w:t>
      </w:r>
      <w:r w:rsidRPr="00AD39CF">
        <w:rPr>
          <w:rFonts w:asciiTheme="minorHAnsi" w:hAnsiTheme="minorHAnsi" w:cstheme="minorHAnsi"/>
          <w:color w:val="FF0000"/>
        </w:rPr>
        <w:t>short term (</w:t>
      </w:r>
      <w:r w:rsidR="00AD39CF" w:rsidRPr="00AD39CF">
        <w:rPr>
          <w:rFonts w:asciiTheme="minorHAnsi" w:hAnsiTheme="minorHAnsi" w:cstheme="minorHAnsi"/>
          <w:color w:val="FF0000"/>
        </w:rPr>
        <w:t>&lt;5 years)</w:t>
      </w:r>
      <w:r w:rsidRPr="00AD39CF">
        <w:rPr>
          <w:rFonts w:asciiTheme="minorHAnsi" w:hAnsiTheme="minorHAnsi" w:cstheme="minorHAnsi"/>
          <w:color w:val="FF0000"/>
        </w:rPr>
        <w:t xml:space="preserve"> possib</w:t>
      </w:r>
      <w:r w:rsidR="00AD39CF" w:rsidRPr="00AD39CF">
        <w:rPr>
          <w:rFonts w:asciiTheme="minorHAnsi" w:hAnsiTheme="minorHAnsi" w:cstheme="minorHAnsi"/>
          <w:color w:val="FF0000"/>
        </w:rPr>
        <w:t>ility of salvaging dead timber. Includes Parks, Ecological Reserves, no-harvest zones (</w:t>
      </w:r>
      <w:proofErr w:type="gramStart"/>
      <w:r w:rsidR="00AD39CF" w:rsidRPr="00AD39CF">
        <w:rPr>
          <w:rFonts w:asciiTheme="minorHAnsi" w:hAnsiTheme="minorHAnsi" w:cstheme="minorHAnsi"/>
          <w:color w:val="FF0000"/>
        </w:rPr>
        <w:t>e.g.</w:t>
      </w:r>
      <w:proofErr w:type="gramEnd"/>
      <w:r w:rsidR="00AD39CF" w:rsidRPr="00AD39CF">
        <w:rPr>
          <w:rFonts w:asciiTheme="minorHAnsi" w:hAnsiTheme="minorHAnsi" w:cstheme="minorHAnsi"/>
          <w:color w:val="FF0000"/>
        </w:rPr>
        <w:t xml:space="preserve"> SMZ1’s), and certain Sensitive Areas</w:t>
      </w:r>
      <w:r w:rsidR="00AF20A8">
        <w:rPr>
          <w:rFonts w:asciiTheme="minorHAnsi" w:hAnsiTheme="minorHAnsi" w:cstheme="minorHAnsi"/>
          <w:color w:val="FF0000"/>
        </w:rPr>
        <w:t>.</w:t>
      </w:r>
    </w:p>
    <w:p w14:paraId="1AB3864E" w14:textId="77777777" w:rsidR="00AD39CF" w:rsidRDefault="00AD39CF" w:rsidP="00AD39CF"/>
    <w:p w14:paraId="74342DD5" w14:textId="77777777" w:rsidR="009E46B4" w:rsidRPr="004A63C7" w:rsidRDefault="00B74926" w:rsidP="009B5186">
      <w:pPr>
        <w:spacing w:after="200"/>
        <w:rPr>
          <w:color w:val="FF0000"/>
        </w:rPr>
      </w:pPr>
      <w:r w:rsidRPr="004A63C7">
        <w:rPr>
          <w:color w:val="FF0000"/>
        </w:rPr>
        <w:lastRenderedPageBreak/>
        <w:t>Table XX</w:t>
      </w:r>
      <w:r w:rsidR="007B0127">
        <w:rPr>
          <w:color w:val="FF0000"/>
        </w:rPr>
        <w:t xml:space="preserve"> and Map 3</w:t>
      </w:r>
      <w:r w:rsidRPr="004A63C7">
        <w:rPr>
          <w:color w:val="FF0000"/>
        </w:rPr>
        <w:t xml:space="preserve"> </w:t>
      </w:r>
      <w:r w:rsidR="009B5186" w:rsidRPr="004A63C7">
        <w:rPr>
          <w:color w:val="FF0000"/>
        </w:rPr>
        <w:t>show</w:t>
      </w:r>
      <w:r w:rsidR="007B0127">
        <w:rPr>
          <w:color w:val="FF0000"/>
        </w:rPr>
        <w:t xml:space="preserve">s which BMU’s </w:t>
      </w:r>
      <w:r w:rsidR="004767BB">
        <w:rPr>
          <w:color w:val="FF0000"/>
        </w:rPr>
        <w:t>are assigned a strategy of “suppression/prevention” or “holding” (</w:t>
      </w:r>
      <w:r w:rsidR="004767BB" w:rsidRPr="004A63C7">
        <w:rPr>
          <w:color w:val="FF0000"/>
        </w:rPr>
        <w:t xml:space="preserve">as summarized from </w:t>
      </w:r>
      <w:r w:rsidR="004767BB">
        <w:rPr>
          <w:color w:val="FF0000"/>
        </w:rPr>
        <w:t>the</w:t>
      </w:r>
      <w:r w:rsidR="004767BB" w:rsidRPr="004A63C7">
        <w:rPr>
          <w:color w:val="FF0000"/>
        </w:rPr>
        <w:t xml:space="preserve"> detailed </w:t>
      </w:r>
      <w:r w:rsidR="004767BB">
        <w:rPr>
          <w:color w:val="FF0000"/>
        </w:rPr>
        <w:t xml:space="preserve">BMU </w:t>
      </w:r>
      <w:r w:rsidR="00317C10">
        <w:rPr>
          <w:color w:val="FF0000"/>
        </w:rPr>
        <w:t>analysis included in Appendix 1.4</w:t>
      </w:r>
      <w:proofErr w:type="gramStart"/>
      <w:r w:rsidR="004767BB">
        <w:rPr>
          <w:color w:val="FF0000"/>
        </w:rPr>
        <w:t>), and</w:t>
      </w:r>
      <w:proofErr w:type="gramEnd"/>
      <w:r w:rsidR="004767BB">
        <w:rPr>
          <w:color w:val="FF0000"/>
        </w:rPr>
        <w:t xml:space="preserve"> </w:t>
      </w:r>
      <w:r w:rsidR="007B0127">
        <w:rPr>
          <w:color w:val="FF0000"/>
        </w:rPr>
        <w:t xml:space="preserve">included in the </w:t>
      </w:r>
      <w:r w:rsidR="004767BB">
        <w:rPr>
          <w:color w:val="FF0000"/>
        </w:rPr>
        <w:t xml:space="preserve">District Manager’s </w:t>
      </w:r>
      <w:r w:rsidR="007B0127">
        <w:rPr>
          <w:color w:val="FF0000"/>
        </w:rPr>
        <w:t xml:space="preserve">2015 “aggressive” management </w:t>
      </w:r>
      <w:r w:rsidR="004767BB">
        <w:rPr>
          <w:color w:val="FF0000"/>
        </w:rPr>
        <w:t>area.</w:t>
      </w:r>
    </w:p>
    <w:p w14:paraId="10CF39DF" w14:textId="77777777" w:rsidR="00495E7D" w:rsidRPr="004767BB" w:rsidRDefault="00056424" w:rsidP="004767BB">
      <w:pPr>
        <w:spacing w:after="60"/>
        <w:rPr>
          <w:i/>
        </w:rPr>
      </w:pPr>
      <w:r w:rsidRPr="004767BB">
        <w:rPr>
          <w:i/>
        </w:rPr>
        <w:t xml:space="preserve">Table XX: </w:t>
      </w:r>
      <w:r w:rsidR="00BE22FC" w:rsidRPr="004767BB">
        <w:rPr>
          <w:i/>
        </w:rPr>
        <w:t>Beetle Management Unit</w:t>
      </w:r>
      <w:r w:rsidR="004767BB" w:rsidRPr="004767BB">
        <w:rPr>
          <w:i/>
        </w:rPr>
        <w:t>s</w:t>
      </w:r>
      <w:r w:rsidR="00BE22FC" w:rsidRPr="004767BB">
        <w:rPr>
          <w:i/>
        </w:rPr>
        <w:t xml:space="preserve"> (</w:t>
      </w:r>
      <w:r w:rsidRPr="004767BB">
        <w:rPr>
          <w:i/>
        </w:rPr>
        <w:t>BMU</w:t>
      </w:r>
      <w:r w:rsidR="00BE22FC" w:rsidRPr="004767BB">
        <w:rPr>
          <w:i/>
        </w:rPr>
        <w:t xml:space="preserve">) </w:t>
      </w:r>
      <w:r w:rsidR="004767BB" w:rsidRPr="004767BB">
        <w:rPr>
          <w:i/>
        </w:rPr>
        <w:t>in “Aggressive” Management Area</w:t>
      </w:r>
    </w:p>
    <w:tbl>
      <w:tblPr>
        <w:tblW w:w="540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130"/>
        <w:gridCol w:w="2410"/>
      </w:tblGrid>
      <w:tr w:rsidR="004767BB" w:rsidRPr="004767BB" w14:paraId="5F70B151" w14:textId="77777777" w:rsidTr="004767BB">
        <w:trPr>
          <w:trHeight w:val="288"/>
        </w:trPr>
        <w:tc>
          <w:tcPr>
            <w:tcW w:w="862" w:type="dxa"/>
            <w:shd w:val="clear" w:color="auto" w:fill="auto"/>
            <w:noWrap/>
            <w:vAlign w:val="bottom"/>
            <w:hideMark/>
          </w:tcPr>
          <w:p w14:paraId="78EBCC4B" w14:textId="77777777" w:rsidR="004767BB" w:rsidRPr="004767BB" w:rsidRDefault="004767BB" w:rsidP="004767BB">
            <w:pPr>
              <w:rPr>
                <w:rFonts w:eastAsia="Times New Roman"/>
                <w:b/>
                <w:color w:val="000000"/>
                <w:lang w:eastAsia="en-CA"/>
              </w:rPr>
            </w:pPr>
            <w:r w:rsidRPr="004767BB">
              <w:rPr>
                <w:rFonts w:eastAsia="Times New Roman"/>
                <w:b/>
                <w:color w:val="000000"/>
                <w:lang w:eastAsia="en-CA"/>
              </w:rPr>
              <w:t>TSA</w:t>
            </w:r>
          </w:p>
        </w:tc>
        <w:tc>
          <w:tcPr>
            <w:tcW w:w="2130" w:type="dxa"/>
            <w:shd w:val="clear" w:color="auto" w:fill="auto"/>
            <w:noWrap/>
            <w:vAlign w:val="bottom"/>
            <w:hideMark/>
          </w:tcPr>
          <w:p w14:paraId="09094080" w14:textId="77777777" w:rsidR="004767BB" w:rsidRPr="004767BB" w:rsidRDefault="004767BB" w:rsidP="004767BB">
            <w:pPr>
              <w:rPr>
                <w:rFonts w:eastAsia="Times New Roman"/>
                <w:b/>
                <w:color w:val="000000"/>
                <w:lang w:eastAsia="en-CA"/>
              </w:rPr>
            </w:pPr>
            <w:r w:rsidRPr="004767BB">
              <w:rPr>
                <w:rFonts w:eastAsia="Times New Roman"/>
                <w:b/>
                <w:color w:val="000000"/>
                <w:lang w:eastAsia="en-CA"/>
              </w:rPr>
              <w:t>BMU</w:t>
            </w:r>
          </w:p>
        </w:tc>
        <w:tc>
          <w:tcPr>
            <w:tcW w:w="2410" w:type="dxa"/>
            <w:shd w:val="clear" w:color="auto" w:fill="auto"/>
            <w:noWrap/>
            <w:vAlign w:val="bottom"/>
            <w:hideMark/>
          </w:tcPr>
          <w:p w14:paraId="42FC2DAA" w14:textId="77777777" w:rsidR="004767BB" w:rsidRPr="004767BB" w:rsidRDefault="004767BB" w:rsidP="004767BB">
            <w:pPr>
              <w:rPr>
                <w:rFonts w:eastAsia="Times New Roman"/>
                <w:b/>
                <w:color w:val="000000"/>
                <w:lang w:eastAsia="en-CA"/>
              </w:rPr>
            </w:pPr>
            <w:r w:rsidRPr="004767BB">
              <w:rPr>
                <w:rFonts w:eastAsia="Times New Roman"/>
                <w:b/>
                <w:color w:val="000000"/>
                <w:lang w:eastAsia="en-CA"/>
              </w:rPr>
              <w:t>Strategy</w:t>
            </w:r>
          </w:p>
        </w:tc>
      </w:tr>
      <w:tr w:rsidR="004767BB" w:rsidRPr="004767BB" w14:paraId="39F7D252" w14:textId="77777777" w:rsidTr="004767BB">
        <w:trPr>
          <w:trHeight w:val="288"/>
        </w:trPr>
        <w:tc>
          <w:tcPr>
            <w:tcW w:w="862" w:type="dxa"/>
            <w:shd w:val="clear" w:color="auto" w:fill="auto"/>
            <w:noWrap/>
            <w:vAlign w:val="bottom"/>
            <w:hideMark/>
          </w:tcPr>
          <w:p w14:paraId="014F531C"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5B34151D" w14:textId="77777777" w:rsidR="004767BB" w:rsidRPr="004767BB" w:rsidRDefault="004767BB" w:rsidP="004767BB">
            <w:pPr>
              <w:rPr>
                <w:rFonts w:eastAsia="Times New Roman"/>
                <w:lang w:eastAsia="en-CA"/>
              </w:rPr>
            </w:pPr>
            <w:r w:rsidRPr="004767BB">
              <w:rPr>
                <w:rFonts w:eastAsia="Times New Roman"/>
                <w:lang w:eastAsia="en-CA"/>
              </w:rPr>
              <w:t>Babine East</w:t>
            </w:r>
          </w:p>
        </w:tc>
        <w:tc>
          <w:tcPr>
            <w:tcW w:w="2410" w:type="dxa"/>
            <w:shd w:val="clear" w:color="auto" w:fill="auto"/>
            <w:noWrap/>
            <w:vAlign w:val="bottom"/>
            <w:hideMark/>
          </w:tcPr>
          <w:p w14:paraId="781ADF5C"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0608BD51" w14:textId="77777777" w:rsidTr="004767BB">
        <w:trPr>
          <w:trHeight w:val="288"/>
        </w:trPr>
        <w:tc>
          <w:tcPr>
            <w:tcW w:w="862" w:type="dxa"/>
            <w:shd w:val="clear" w:color="auto" w:fill="auto"/>
            <w:noWrap/>
            <w:vAlign w:val="bottom"/>
            <w:hideMark/>
          </w:tcPr>
          <w:p w14:paraId="734C5E0A"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53C0A60F" w14:textId="77777777" w:rsidR="004767BB" w:rsidRPr="004767BB" w:rsidRDefault="004767BB" w:rsidP="004767BB">
            <w:pPr>
              <w:rPr>
                <w:rFonts w:eastAsia="Times New Roman"/>
                <w:lang w:eastAsia="en-CA"/>
              </w:rPr>
            </w:pPr>
            <w:r w:rsidRPr="004767BB">
              <w:rPr>
                <w:rFonts w:eastAsia="Times New Roman"/>
                <w:lang w:eastAsia="en-CA"/>
              </w:rPr>
              <w:t>Babine West</w:t>
            </w:r>
          </w:p>
        </w:tc>
        <w:tc>
          <w:tcPr>
            <w:tcW w:w="2410" w:type="dxa"/>
            <w:shd w:val="clear" w:color="auto" w:fill="auto"/>
            <w:noWrap/>
            <w:vAlign w:val="bottom"/>
            <w:hideMark/>
          </w:tcPr>
          <w:p w14:paraId="20AF742E"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1299E06C" w14:textId="77777777" w:rsidTr="004767BB">
        <w:trPr>
          <w:trHeight w:val="288"/>
        </w:trPr>
        <w:tc>
          <w:tcPr>
            <w:tcW w:w="862" w:type="dxa"/>
            <w:shd w:val="clear" w:color="auto" w:fill="auto"/>
            <w:noWrap/>
            <w:vAlign w:val="bottom"/>
            <w:hideMark/>
          </w:tcPr>
          <w:p w14:paraId="18536D2C"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538FF2EC" w14:textId="77777777" w:rsidR="004767BB" w:rsidRPr="004767BB" w:rsidRDefault="004767BB" w:rsidP="004767BB">
            <w:pPr>
              <w:rPr>
                <w:rFonts w:eastAsia="Times New Roman"/>
                <w:lang w:eastAsia="en-CA"/>
              </w:rPr>
            </w:pPr>
            <w:r w:rsidRPr="004767BB">
              <w:rPr>
                <w:rFonts w:eastAsia="Times New Roman"/>
                <w:lang w:eastAsia="en-CA"/>
              </w:rPr>
              <w:t>Chapman</w:t>
            </w:r>
          </w:p>
        </w:tc>
        <w:tc>
          <w:tcPr>
            <w:tcW w:w="2410" w:type="dxa"/>
            <w:shd w:val="clear" w:color="auto" w:fill="auto"/>
            <w:noWrap/>
            <w:vAlign w:val="bottom"/>
            <w:hideMark/>
          </w:tcPr>
          <w:p w14:paraId="54671B94"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42731594" w14:textId="77777777" w:rsidTr="004767BB">
        <w:trPr>
          <w:trHeight w:val="288"/>
        </w:trPr>
        <w:tc>
          <w:tcPr>
            <w:tcW w:w="862" w:type="dxa"/>
            <w:shd w:val="clear" w:color="auto" w:fill="auto"/>
            <w:noWrap/>
            <w:vAlign w:val="bottom"/>
            <w:hideMark/>
          </w:tcPr>
          <w:p w14:paraId="3443590A"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16BBAB41" w14:textId="77777777" w:rsidR="004767BB" w:rsidRPr="004767BB" w:rsidRDefault="004767BB" w:rsidP="004767BB">
            <w:pPr>
              <w:rPr>
                <w:rFonts w:eastAsia="Times New Roman"/>
                <w:lang w:eastAsia="en-CA"/>
              </w:rPr>
            </w:pPr>
            <w:r w:rsidRPr="004767BB">
              <w:rPr>
                <w:rFonts w:eastAsia="Times New Roman"/>
                <w:lang w:eastAsia="en-CA"/>
              </w:rPr>
              <w:t>Deep Creek</w:t>
            </w:r>
          </w:p>
        </w:tc>
        <w:tc>
          <w:tcPr>
            <w:tcW w:w="2410" w:type="dxa"/>
            <w:shd w:val="clear" w:color="auto" w:fill="auto"/>
            <w:noWrap/>
            <w:vAlign w:val="bottom"/>
            <w:hideMark/>
          </w:tcPr>
          <w:p w14:paraId="38A58F31"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464A1B7F" w14:textId="77777777" w:rsidTr="004767BB">
        <w:trPr>
          <w:trHeight w:val="288"/>
        </w:trPr>
        <w:tc>
          <w:tcPr>
            <w:tcW w:w="862" w:type="dxa"/>
            <w:shd w:val="clear" w:color="auto" w:fill="auto"/>
            <w:noWrap/>
            <w:vAlign w:val="bottom"/>
            <w:hideMark/>
          </w:tcPr>
          <w:p w14:paraId="540FB33E"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795C419D" w14:textId="77777777" w:rsidR="004767BB" w:rsidRPr="004767BB" w:rsidRDefault="004767BB" w:rsidP="004767BB">
            <w:pPr>
              <w:rPr>
                <w:rFonts w:eastAsia="Times New Roman"/>
                <w:lang w:eastAsia="en-CA"/>
              </w:rPr>
            </w:pPr>
            <w:proofErr w:type="spellStart"/>
            <w:r w:rsidRPr="004767BB">
              <w:rPr>
                <w:rFonts w:eastAsia="Times New Roman"/>
                <w:lang w:eastAsia="en-CA"/>
              </w:rPr>
              <w:t>MacDonnel</w:t>
            </w:r>
            <w:proofErr w:type="spellEnd"/>
          </w:p>
        </w:tc>
        <w:tc>
          <w:tcPr>
            <w:tcW w:w="2410" w:type="dxa"/>
            <w:shd w:val="clear" w:color="auto" w:fill="auto"/>
            <w:noWrap/>
            <w:vAlign w:val="bottom"/>
            <w:hideMark/>
          </w:tcPr>
          <w:p w14:paraId="634E1A0C"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5E139992" w14:textId="77777777" w:rsidTr="004767BB">
        <w:trPr>
          <w:trHeight w:val="288"/>
        </w:trPr>
        <w:tc>
          <w:tcPr>
            <w:tcW w:w="862" w:type="dxa"/>
            <w:shd w:val="clear" w:color="auto" w:fill="auto"/>
            <w:noWrap/>
            <w:vAlign w:val="bottom"/>
            <w:hideMark/>
          </w:tcPr>
          <w:p w14:paraId="240DA883"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3B06671B" w14:textId="77777777" w:rsidR="004767BB" w:rsidRPr="004767BB" w:rsidRDefault="004767BB" w:rsidP="004767BB">
            <w:pPr>
              <w:rPr>
                <w:rFonts w:eastAsia="Times New Roman"/>
                <w:lang w:eastAsia="en-CA"/>
              </w:rPr>
            </w:pPr>
            <w:proofErr w:type="spellStart"/>
            <w:r w:rsidRPr="004767BB">
              <w:rPr>
                <w:rFonts w:eastAsia="Times New Roman"/>
                <w:lang w:eastAsia="en-CA"/>
              </w:rPr>
              <w:t>Nilkitkwa</w:t>
            </w:r>
            <w:proofErr w:type="spellEnd"/>
          </w:p>
        </w:tc>
        <w:tc>
          <w:tcPr>
            <w:tcW w:w="2410" w:type="dxa"/>
            <w:shd w:val="clear" w:color="auto" w:fill="auto"/>
            <w:noWrap/>
            <w:vAlign w:val="bottom"/>
            <w:hideMark/>
          </w:tcPr>
          <w:p w14:paraId="7FAE5584"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710DD3CE" w14:textId="77777777" w:rsidTr="004767BB">
        <w:trPr>
          <w:trHeight w:val="288"/>
        </w:trPr>
        <w:tc>
          <w:tcPr>
            <w:tcW w:w="862" w:type="dxa"/>
            <w:shd w:val="clear" w:color="auto" w:fill="auto"/>
            <w:noWrap/>
            <w:vAlign w:val="bottom"/>
            <w:hideMark/>
          </w:tcPr>
          <w:p w14:paraId="30F7502E"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1ACBBBE5" w14:textId="77777777" w:rsidR="004767BB" w:rsidRPr="004767BB" w:rsidRDefault="004767BB" w:rsidP="004767BB">
            <w:pPr>
              <w:rPr>
                <w:rFonts w:eastAsia="Times New Roman"/>
                <w:lang w:eastAsia="en-CA"/>
              </w:rPr>
            </w:pPr>
            <w:proofErr w:type="spellStart"/>
            <w:r w:rsidRPr="004767BB">
              <w:rPr>
                <w:rFonts w:eastAsia="Times New Roman"/>
                <w:lang w:eastAsia="en-CA"/>
              </w:rPr>
              <w:t>Reiseter</w:t>
            </w:r>
            <w:proofErr w:type="spellEnd"/>
          </w:p>
        </w:tc>
        <w:tc>
          <w:tcPr>
            <w:tcW w:w="2410" w:type="dxa"/>
            <w:shd w:val="clear" w:color="auto" w:fill="auto"/>
            <w:noWrap/>
            <w:vAlign w:val="bottom"/>
            <w:hideMark/>
          </w:tcPr>
          <w:p w14:paraId="14F40919"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43E54772" w14:textId="77777777" w:rsidTr="004767BB">
        <w:trPr>
          <w:trHeight w:val="288"/>
        </w:trPr>
        <w:tc>
          <w:tcPr>
            <w:tcW w:w="862" w:type="dxa"/>
            <w:shd w:val="clear" w:color="auto" w:fill="auto"/>
            <w:noWrap/>
            <w:vAlign w:val="bottom"/>
            <w:hideMark/>
          </w:tcPr>
          <w:p w14:paraId="3A8369DE"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5E813001" w14:textId="77777777" w:rsidR="004767BB" w:rsidRPr="004767BB" w:rsidRDefault="004767BB" w:rsidP="004767BB">
            <w:pPr>
              <w:rPr>
                <w:rFonts w:eastAsia="Times New Roman"/>
                <w:lang w:eastAsia="en-CA"/>
              </w:rPr>
            </w:pPr>
            <w:proofErr w:type="spellStart"/>
            <w:r w:rsidRPr="004767BB">
              <w:rPr>
                <w:rFonts w:eastAsia="Times New Roman"/>
                <w:lang w:eastAsia="en-CA"/>
              </w:rPr>
              <w:t>Telkwa</w:t>
            </w:r>
            <w:proofErr w:type="spellEnd"/>
          </w:p>
        </w:tc>
        <w:tc>
          <w:tcPr>
            <w:tcW w:w="2410" w:type="dxa"/>
            <w:shd w:val="clear" w:color="auto" w:fill="auto"/>
            <w:noWrap/>
            <w:vAlign w:val="bottom"/>
            <w:hideMark/>
          </w:tcPr>
          <w:p w14:paraId="1D1B85B6"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18260772" w14:textId="77777777" w:rsidTr="004767BB">
        <w:trPr>
          <w:trHeight w:val="288"/>
        </w:trPr>
        <w:tc>
          <w:tcPr>
            <w:tcW w:w="862" w:type="dxa"/>
            <w:shd w:val="clear" w:color="auto" w:fill="auto"/>
            <w:noWrap/>
            <w:vAlign w:val="bottom"/>
            <w:hideMark/>
          </w:tcPr>
          <w:p w14:paraId="4DF2C052"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74C8F6CF" w14:textId="77777777" w:rsidR="004767BB" w:rsidRPr="004767BB" w:rsidRDefault="004767BB" w:rsidP="004767BB">
            <w:pPr>
              <w:rPr>
                <w:rFonts w:eastAsia="Times New Roman"/>
                <w:lang w:eastAsia="en-CA"/>
              </w:rPr>
            </w:pPr>
            <w:proofErr w:type="spellStart"/>
            <w:r w:rsidRPr="004767BB">
              <w:rPr>
                <w:rFonts w:eastAsia="Times New Roman"/>
                <w:lang w:eastAsia="en-CA"/>
              </w:rPr>
              <w:t>Torkelson</w:t>
            </w:r>
            <w:proofErr w:type="spellEnd"/>
          </w:p>
        </w:tc>
        <w:tc>
          <w:tcPr>
            <w:tcW w:w="2410" w:type="dxa"/>
            <w:shd w:val="clear" w:color="auto" w:fill="auto"/>
            <w:noWrap/>
            <w:vAlign w:val="bottom"/>
            <w:hideMark/>
          </w:tcPr>
          <w:p w14:paraId="5CB1480D"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7D0AE93E" w14:textId="77777777" w:rsidTr="004767BB">
        <w:trPr>
          <w:trHeight w:val="288"/>
        </w:trPr>
        <w:tc>
          <w:tcPr>
            <w:tcW w:w="862" w:type="dxa"/>
            <w:shd w:val="clear" w:color="auto" w:fill="auto"/>
            <w:noWrap/>
            <w:vAlign w:val="bottom"/>
            <w:hideMark/>
          </w:tcPr>
          <w:p w14:paraId="05F86966"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25F01E63" w14:textId="77777777" w:rsidR="004767BB" w:rsidRPr="004767BB" w:rsidRDefault="004767BB" w:rsidP="004767BB">
            <w:pPr>
              <w:rPr>
                <w:rFonts w:eastAsia="Times New Roman"/>
                <w:lang w:eastAsia="en-CA"/>
              </w:rPr>
            </w:pPr>
            <w:r w:rsidRPr="004767BB">
              <w:rPr>
                <w:rFonts w:eastAsia="Times New Roman"/>
                <w:lang w:eastAsia="en-CA"/>
              </w:rPr>
              <w:t>Valley</w:t>
            </w:r>
          </w:p>
        </w:tc>
        <w:tc>
          <w:tcPr>
            <w:tcW w:w="2410" w:type="dxa"/>
            <w:shd w:val="clear" w:color="auto" w:fill="auto"/>
            <w:noWrap/>
            <w:vAlign w:val="bottom"/>
            <w:hideMark/>
          </w:tcPr>
          <w:p w14:paraId="07CA7583"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72521BD1" w14:textId="77777777" w:rsidTr="004767BB">
        <w:trPr>
          <w:trHeight w:val="288"/>
        </w:trPr>
        <w:tc>
          <w:tcPr>
            <w:tcW w:w="862" w:type="dxa"/>
            <w:shd w:val="clear" w:color="auto" w:fill="auto"/>
            <w:noWrap/>
            <w:vAlign w:val="bottom"/>
            <w:hideMark/>
          </w:tcPr>
          <w:p w14:paraId="26A2FABE"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557A1161" w14:textId="77777777" w:rsidR="004767BB" w:rsidRPr="004767BB" w:rsidRDefault="004767BB" w:rsidP="004767BB">
            <w:pPr>
              <w:rPr>
                <w:rFonts w:eastAsia="Times New Roman"/>
                <w:lang w:eastAsia="en-CA"/>
              </w:rPr>
            </w:pPr>
            <w:r w:rsidRPr="004767BB">
              <w:rPr>
                <w:rFonts w:eastAsia="Times New Roman"/>
                <w:lang w:eastAsia="en-CA"/>
              </w:rPr>
              <w:t>Cranberry River</w:t>
            </w:r>
          </w:p>
        </w:tc>
        <w:tc>
          <w:tcPr>
            <w:tcW w:w="2410" w:type="dxa"/>
            <w:shd w:val="clear" w:color="auto" w:fill="auto"/>
            <w:noWrap/>
            <w:vAlign w:val="bottom"/>
            <w:hideMark/>
          </w:tcPr>
          <w:p w14:paraId="46F9A595"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047209AC" w14:textId="77777777" w:rsidTr="004767BB">
        <w:trPr>
          <w:trHeight w:val="288"/>
        </w:trPr>
        <w:tc>
          <w:tcPr>
            <w:tcW w:w="862" w:type="dxa"/>
            <w:shd w:val="clear" w:color="auto" w:fill="auto"/>
            <w:noWrap/>
            <w:vAlign w:val="bottom"/>
            <w:hideMark/>
          </w:tcPr>
          <w:p w14:paraId="53022732"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14A69630" w14:textId="77777777" w:rsidR="004767BB" w:rsidRPr="004767BB" w:rsidRDefault="004767BB" w:rsidP="004767BB">
            <w:pPr>
              <w:rPr>
                <w:rFonts w:eastAsia="Times New Roman"/>
                <w:lang w:eastAsia="en-CA"/>
              </w:rPr>
            </w:pPr>
            <w:proofErr w:type="spellStart"/>
            <w:r w:rsidRPr="004767BB">
              <w:rPr>
                <w:rFonts w:eastAsia="Times New Roman"/>
                <w:lang w:eastAsia="en-CA"/>
              </w:rPr>
              <w:t>Hanawald</w:t>
            </w:r>
            <w:proofErr w:type="spellEnd"/>
          </w:p>
        </w:tc>
        <w:tc>
          <w:tcPr>
            <w:tcW w:w="2410" w:type="dxa"/>
            <w:shd w:val="clear" w:color="auto" w:fill="auto"/>
            <w:noWrap/>
            <w:vAlign w:val="bottom"/>
            <w:hideMark/>
          </w:tcPr>
          <w:p w14:paraId="55DC6DED"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6ACBCAE2" w14:textId="77777777" w:rsidTr="004767BB">
        <w:trPr>
          <w:trHeight w:val="288"/>
        </w:trPr>
        <w:tc>
          <w:tcPr>
            <w:tcW w:w="862" w:type="dxa"/>
            <w:shd w:val="clear" w:color="auto" w:fill="auto"/>
            <w:noWrap/>
            <w:vAlign w:val="bottom"/>
            <w:hideMark/>
          </w:tcPr>
          <w:p w14:paraId="25E9C688"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147207FB" w14:textId="77777777" w:rsidR="004767BB" w:rsidRPr="004767BB" w:rsidRDefault="004767BB" w:rsidP="004767BB">
            <w:pPr>
              <w:rPr>
                <w:rFonts w:eastAsia="Times New Roman"/>
                <w:lang w:eastAsia="en-CA"/>
              </w:rPr>
            </w:pPr>
            <w:r w:rsidRPr="004767BB">
              <w:rPr>
                <w:rFonts w:eastAsia="Times New Roman"/>
                <w:lang w:eastAsia="en-CA"/>
              </w:rPr>
              <w:t>Hazelton</w:t>
            </w:r>
          </w:p>
        </w:tc>
        <w:tc>
          <w:tcPr>
            <w:tcW w:w="2410" w:type="dxa"/>
            <w:shd w:val="clear" w:color="auto" w:fill="auto"/>
            <w:noWrap/>
            <w:vAlign w:val="bottom"/>
            <w:hideMark/>
          </w:tcPr>
          <w:p w14:paraId="75A8E0FA"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07CCB4EB" w14:textId="77777777" w:rsidTr="004767BB">
        <w:trPr>
          <w:trHeight w:val="288"/>
        </w:trPr>
        <w:tc>
          <w:tcPr>
            <w:tcW w:w="862" w:type="dxa"/>
            <w:shd w:val="clear" w:color="auto" w:fill="auto"/>
            <w:noWrap/>
            <w:vAlign w:val="bottom"/>
            <w:hideMark/>
          </w:tcPr>
          <w:p w14:paraId="273327E1"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708DAC3E" w14:textId="77777777" w:rsidR="004767BB" w:rsidRPr="004767BB" w:rsidRDefault="004767BB" w:rsidP="004767BB">
            <w:pPr>
              <w:rPr>
                <w:rFonts w:eastAsia="Times New Roman"/>
                <w:lang w:eastAsia="en-CA"/>
              </w:rPr>
            </w:pPr>
            <w:r w:rsidRPr="004767BB">
              <w:rPr>
                <w:rFonts w:eastAsia="Times New Roman"/>
                <w:lang w:eastAsia="en-CA"/>
              </w:rPr>
              <w:t>Juniper</w:t>
            </w:r>
          </w:p>
        </w:tc>
        <w:tc>
          <w:tcPr>
            <w:tcW w:w="2410" w:type="dxa"/>
            <w:shd w:val="clear" w:color="auto" w:fill="auto"/>
            <w:noWrap/>
            <w:vAlign w:val="bottom"/>
            <w:hideMark/>
          </w:tcPr>
          <w:p w14:paraId="0615A7A2"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6C1B1106" w14:textId="77777777" w:rsidTr="004767BB">
        <w:trPr>
          <w:trHeight w:val="288"/>
        </w:trPr>
        <w:tc>
          <w:tcPr>
            <w:tcW w:w="862" w:type="dxa"/>
            <w:shd w:val="clear" w:color="auto" w:fill="auto"/>
            <w:noWrap/>
            <w:vAlign w:val="bottom"/>
            <w:hideMark/>
          </w:tcPr>
          <w:p w14:paraId="53453E49"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22736916" w14:textId="77777777" w:rsidR="004767BB" w:rsidRPr="004767BB" w:rsidRDefault="004767BB" w:rsidP="004767BB">
            <w:pPr>
              <w:rPr>
                <w:rFonts w:eastAsia="Times New Roman"/>
                <w:lang w:eastAsia="en-CA"/>
              </w:rPr>
            </w:pPr>
            <w:r w:rsidRPr="004767BB">
              <w:rPr>
                <w:rFonts w:eastAsia="Times New Roman"/>
                <w:lang w:eastAsia="en-CA"/>
              </w:rPr>
              <w:t>Kitwanga</w:t>
            </w:r>
          </w:p>
        </w:tc>
        <w:tc>
          <w:tcPr>
            <w:tcW w:w="2410" w:type="dxa"/>
            <w:shd w:val="clear" w:color="auto" w:fill="auto"/>
            <w:noWrap/>
            <w:vAlign w:val="bottom"/>
            <w:hideMark/>
          </w:tcPr>
          <w:p w14:paraId="4093406B"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4F7927FB" w14:textId="77777777" w:rsidTr="004767BB">
        <w:trPr>
          <w:trHeight w:val="288"/>
        </w:trPr>
        <w:tc>
          <w:tcPr>
            <w:tcW w:w="862" w:type="dxa"/>
            <w:shd w:val="clear" w:color="auto" w:fill="auto"/>
            <w:noWrap/>
            <w:vAlign w:val="bottom"/>
            <w:hideMark/>
          </w:tcPr>
          <w:p w14:paraId="6569104F"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0AA38DBB" w14:textId="77777777" w:rsidR="004767BB" w:rsidRPr="004767BB" w:rsidRDefault="004767BB" w:rsidP="004767BB">
            <w:pPr>
              <w:rPr>
                <w:rFonts w:eastAsia="Times New Roman"/>
                <w:lang w:eastAsia="en-CA"/>
              </w:rPr>
            </w:pPr>
            <w:r w:rsidRPr="004767BB">
              <w:rPr>
                <w:rFonts w:eastAsia="Times New Roman"/>
                <w:lang w:eastAsia="en-CA"/>
              </w:rPr>
              <w:t>Seven Sisters</w:t>
            </w:r>
          </w:p>
        </w:tc>
        <w:tc>
          <w:tcPr>
            <w:tcW w:w="2410" w:type="dxa"/>
            <w:shd w:val="clear" w:color="auto" w:fill="auto"/>
            <w:noWrap/>
            <w:vAlign w:val="bottom"/>
            <w:hideMark/>
          </w:tcPr>
          <w:p w14:paraId="3F80E90B"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6C33B0DA" w14:textId="77777777" w:rsidTr="004767BB">
        <w:trPr>
          <w:trHeight w:val="288"/>
        </w:trPr>
        <w:tc>
          <w:tcPr>
            <w:tcW w:w="862" w:type="dxa"/>
            <w:shd w:val="clear" w:color="auto" w:fill="auto"/>
            <w:noWrap/>
            <w:vAlign w:val="bottom"/>
            <w:hideMark/>
          </w:tcPr>
          <w:p w14:paraId="75FFB1FB" w14:textId="77777777" w:rsidR="004767BB" w:rsidRPr="004767BB" w:rsidRDefault="004767BB" w:rsidP="004767BB">
            <w:pPr>
              <w:rPr>
                <w:rFonts w:eastAsia="Times New Roman"/>
                <w:lang w:eastAsia="en-CA"/>
              </w:rPr>
            </w:pPr>
            <w:proofErr w:type="spellStart"/>
            <w:r w:rsidRPr="004767BB">
              <w:rPr>
                <w:rFonts w:eastAsia="Times New Roman"/>
                <w:lang w:eastAsia="en-CA"/>
              </w:rPr>
              <w:t>Cassiar</w:t>
            </w:r>
            <w:proofErr w:type="spellEnd"/>
          </w:p>
        </w:tc>
        <w:tc>
          <w:tcPr>
            <w:tcW w:w="2130" w:type="dxa"/>
            <w:shd w:val="clear" w:color="auto" w:fill="auto"/>
            <w:noWrap/>
            <w:vAlign w:val="bottom"/>
            <w:hideMark/>
          </w:tcPr>
          <w:p w14:paraId="6D5BD64D" w14:textId="77777777" w:rsidR="004767BB" w:rsidRPr="004767BB" w:rsidRDefault="004767BB" w:rsidP="004767BB">
            <w:pPr>
              <w:rPr>
                <w:rFonts w:eastAsia="Times New Roman"/>
                <w:lang w:eastAsia="en-CA"/>
              </w:rPr>
            </w:pPr>
            <w:r w:rsidRPr="004767BB">
              <w:rPr>
                <w:rFonts w:eastAsia="Times New Roman"/>
                <w:lang w:eastAsia="en-CA"/>
              </w:rPr>
              <w:t xml:space="preserve">Middle </w:t>
            </w:r>
            <w:proofErr w:type="spellStart"/>
            <w:r w:rsidRPr="004767BB">
              <w:rPr>
                <w:rFonts w:eastAsia="Times New Roman"/>
                <w:lang w:eastAsia="en-CA"/>
              </w:rPr>
              <w:t>Iskut</w:t>
            </w:r>
            <w:proofErr w:type="spellEnd"/>
            <w:r w:rsidRPr="004767BB">
              <w:rPr>
                <w:rFonts w:eastAsia="Times New Roman"/>
                <w:lang w:eastAsia="en-CA"/>
              </w:rPr>
              <w:t xml:space="preserve"> River</w:t>
            </w:r>
          </w:p>
        </w:tc>
        <w:tc>
          <w:tcPr>
            <w:tcW w:w="2410" w:type="dxa"/>
            <w:shd w:val="clear" w:color="auto" w:fill="auto"/>
            <w:noWrap/>
            <w:vAlign w:val="bottom"/>
            <w:hideMark/>
          </w:tcPr>
          <w:p w14:paraId="77394C5E"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188D06E4" w14:textId="77777777" w:rsidTr="004767BB">
        <w:trPr>
          <w:trHeight w:val="288"/>
        </w:trPr>
        <w:tc>
          <w:tcPr>
            <w:tcW w:w="862" w:type="dxa"/>
            <w:shd w:val="clear" w:color="auto" w:fill="auto"/>
            <w:noWrap/>
            <w:vAlign w:val="bottom"/>
            <w:hideMark/>
          </w:tcPr>
          <w:p w14:paraId="16147B08" w14:textId="77777777" w:rsidR="004767BB" w:rsidRPr="004767BB" w:rsidRDefault="004767BB" w:rsidP="004767BB">
            <w:pPr>
              <w:rPr>
                <w:rFonts w:eastAsia="Times New Roman"/>
                <w:lang w:eastAsia="en-CA"/>
              </w:rPr>
            </w:pPr>
            <w:proofErr w:type="spellStart"/>
            <w:r w:rsidRPr="004767BB">
              <w:rPr>
                <w:rFonts w:eastAsia="Times New Roman"/>
                <w:lang w:eastAsia="en-CA"/>
              </w:rPr>
              <w:t>Cassiar</w:t>
            </w:r>
            <w:proofErr w:type="spellEnd"/>
          </w:p>
        </w:tc>
        <w:tc>
          <w:tcPr>
            <w:tcW w:w="2130" w:type="dxa"/>
            <w:shd w:val="clear" w:color="auto" w:fill="auto"/>
            <w:noWrap/>
            <w:vAlign w:val="bottom"/>
            <w:hideMark/>
          </w:tcPr>
          <w:p w14:paraId="2AC0A1AC" w14:textId="77777777" w:rsidR="004767BB" w:rsidRPr="004767BB" w:rsidRDefault="004767BB" w:rsidP="004767BB">
            <w:pPr>
              <w:rPr>
                <w:rFonts w:eastAsia="Times New Roman"/>
                <w:lang w:eastAsia="en-CA"/>
              </w:rPr>
            </w:pPr>
            <w:r w:rsidRPr="004767BB">
              <w:rPr>
                <w:rFonts w:eastAsia="Times New Roman"/>
                <w:lang w:eastAsia="en-CA"/>
              </w:rPr>
              <w:t xml:space="preserve">Upper </w:t>
            </w:r>
            <w:proofErr w:type="spellStart"/>
            <w:r w:rsidRPr="004767BB">
              <w:rPr>
                <w:rFonts w:eastAsia="Times New Roman"/>
                <w:lang w:eastAsia="en-CA"/>
              </w:rPr>
              <w:t>Iskut</w:t>
            </w:r>
            <w:proofErr w:type="spellEnd"/>
            <w:r w:rsidRPr="004767BB">
              <w:rPr>
                <w:rFonts w:eastAsia="Times New Roman"/>
                <w:lang w:eastAsia="en-CA"/>
              </w:rPr>
              <w:t xml:space="preserve"> River</w:t>
            </w:r>
          </w:p>
        </w:tc>
        <w:tc>
          <w:tcPr>
            <w:tcW w:w="2410" w:type="dxa"/>
            <w:shd w:val="clear" w:color="auto" w:fill="auto"/>
            <w:noWrap/>
            <w:vAlign w:val="bottom"/>
            <w:hideMark/>
          </w:tcPr>
          <w:p w14:paraId="3B070D11" w14:textId="77777777" w:rsidR="004767BB" w:rsidRPr="004767BB" w:rsidRDefault="004767BB" w:rsidP="004767BB">
            <w:pPr>
              <w:rPr>
                <w:rFonts w:eastAsia="Times New Roman"/>
                <w:lang w:eastAsia="en-CA"/>
              </w:rPr>
            </w:pPr>
            <w:r w:rsidRPr="004767BB">
              <w:rPr>
                <w:rFonts w:eastAsia="Times New Roman"/>
                <w:lang w:eastAsia="en-CA"/>
              </w:rPr>
              <w:t>Holding</w:t>
            </w:r>
          </w:p>
        </w:tc>
      </w:tr>
    </w:tbl>
    <w:p w14:paraId="754E17C4" w14:textId="77777777" w:rsidR="004767BB" w:rsidRDefault="004767BB" w:rsidP="004767BB">
      <w:pPr>
        <w:rPr>
          <w:b/>
          <w:i/>
        </w:rPr>
      </w:pPr>
    </w:p>
    <w:p w14:paraId="4FF2AA38" w14:textId="77777777" w:rsidR="00D50002" w:rsidRDefault="00D50002" w:rsidP="00D50002">
      <w:pPr>
        <w:spacing w:after="200" w:line="276" w:lineRule="auto"/>
        <w:jc w:val="center"/>
        <w:rPr>
          <w:b/>
          <w:i/>
        </w:rPr>
      </w:pPr>
      <w:r>
        <w:rPr>
          <w:b/>
          <w:i/>
        </w:rPr>
        <w:br w:type="page"/>
      </w:r>
      <w:r>
        <w:rPr>
          <w:b/>
          <w:i/>
          <w:noProof/>
          <w:lang w:eastAsia="en-CA"/>
        </w:rPr>
        <w:lastRenderedPageBreak/>
        <w:drawing>
          <wp:inline distT="0" distB="0" distL="0" distR="0" wp14:anchorId="73D5A133" wp14:editId="659619C9">
            <wp:extent cx="5867400" cy="9067800"/>
            <wp:effectExtent l="0" t="0" r="0" b="0"/>
            <wp:docPr id="4" name="Picture 4" descr="G:\!Workgrp\Stewardship\Operations\Forest Health\DSS Forest Health\2014-2015\2015 Forest Health Strategy\4_Forest Health Agents_Descr-etc\1 Mtn Pine Beetle\Map3_IBM_BMU_St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Workgrp\Stewardship\Operations\Forest Health\DSS Forest Health\2014-2015\2015 Forest Health Strategy\4_Forest Health Agents_Descr-etc\1 Mtn Pine Beetle\Map3_IBM_BMU_Strat.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7871" cy="9068528"/>
                    </a:xfrm>
                    <a:prstGeom prst="rect">
                      <a:avLst/>
                    </a:prstGeom>
                    <a:noFill/>
                    <a:ln>
                      <a:noFill/>
                    </a:ln>
                  </pic:spPr>
                </pic:pic>
              </a:graphicData>
            </a:graphic>
          </wp:inline>
        </w:drawing>
      </w:r>
    </w:p>
    <w:p w14:paraId="2B791577" w14:textId="77777777" w:rsidR="00DA3CF9" w:rsidRPr="00550C3B" w:rsidRDefault="00BB46C0" w:rsidP="0078354E">
      <w:pPr>
        <w:autoSpaceDE w:val="0"/>
        <w:autoSpaceDN w:val="0"/>
        <w:adjustRightInd w:val="0"/>
        <w:spacing w:after="120"/>
        <w:rPr>
          <w:b/>
          <w:i/>
        </w:rPr>
      </w:pPr>
      <w:r>
        <w:rPr>
          <w:b/>
          <w:i/>
        </w:rPr>
        <w:lastRenderedPageBreak/>
        <w:t>Tactic</w:t>
      </w:r>
      <w:r w:rsidR="00550C3B" w:rsidRPr="00550C3B">
        <w:rPr>
          <w:b/>
          <w:i/>
        </w:rPr>
        <w:t xml:space="preserve">: </w:t>
      </w:r>
      <w:r w:rsidR="00DA3CF9" w:rsidRPr="00550C3B">
        <w:rPr>
          <w:b/>
          <w:i/>
        </w:rPr>
        <w:t xml:space="preserve">Conduct aerial and ground surveys to capture </w:t>
      </w:r>
      <w:r w:rsidR="00DA3D03">
        <w:rPr>
          <w:b/>
          <w:i/>
        </w:rPr>
        <w:t>spots</w:t>
      </w:r>
      <w:r w:rsidR="00DA3CF9" w:rsidRPr="00550C3B">
        <w:rPr>
          <w:b/>
          <w:i/>
        </w:rPr>
        <w:t xml:space="preserve"> or </w:t>
      </w:r>
      <w:r w:rsidR="00DA3D03">
        <w:rPr>
          <w:b/>
          <w:i/>
        </w:rPr>
        <w:t>patches</w:t>
      </w:r>
      <w:r w:rsidR="00DA3CF9" w:rsidRPr="00550C3B">
        <w:rPr>
          <w:b/>
          <w:i/>
        </w:rPr>
        <w:t xml:space="preserve"> of current incidence; compile information </w:t>
      </w:r>
    </w:p>
    <w:p w14:paraId="5F393804" w14:textId="77777777" w:rsidR="00536DB5" w:rsidRDefault="00007E78" w:rsidP="00536DB5">
      <w:pPr>
        <w:autoSpaceDE w:val="0"/>
        <w:autoSpaceDN w:val="0"/>
        <w:adjustRightInd w:val="0"/>
        <w:spacing w:after="120"/>
      </w:pPr>
      <w:r>
        <w:t>Data</w:t>
      </w:r>
      <w:r w:rsidR="00DA3D03">
        <w:t xml:space="preserve"> on spatial location and characteristics of current infestation spots and patches </w:t>
      </w:r>
      <w:r>
        <w:t>is required</w:t>
      </w:r>
      <w:r w:rsidR="002D1ECE">
        <w:t>,</w:t>
      </w:r>
      <w:r>
        <w:t xml:space="preserve"> to</w:t>
      </w:r>
      <w:r w:rsidR="00DA3D03">
        <w:t xml:space="preserve"> advise selection of BMU strategy</w:t>
      </w:r>
      <w:r>
        <w:t xml:space="preserve"> and as the basis for Tactical Plans</w:t>
      </w:r>
      <w:r w:rsidR="00DA3D03">
        <w:t xml:space="preserve">. </w:t>
      </w:r>
    </w:p>
    <w:p w14:paraId="3126DDBA" w14:textId="77777777" w:rsidR="00A93710" w:rsidRDefault="00F371BF" w:rsidP="00536DB5">
      <w:pPr>
        <w:autoSpaceDE w:val="0"/>
        <w:autoSpaceDN w:val="0"/>
        <w:adjustRightInd w:val="0"/>
        <w:spacing w:after="120"/>
      </w:pPr>
      <w:r>
        <w:t xml:space="preserve">Provincial </w:t>
      </w:r>
      <w:r w:rsidR="00007E78">
        <w:t xml:space="preserve">Forest Health </w:t>
      </w:r>
      <w:r>
        <w:t>Aerial</w:t>
      </w:r>
      <w:r w:rsidR="00007E78">
        <w:t xml:space="preserve"> Overview Survey (PAOS) </w:t>
      </w:r>
      <w:r w:rsidR="00A93710">
        <w:t xml:space="preserve">mapping </w:t>
      </w:r>
      <w:r w:rsidR="00007E78">
        <w:t xml:space="preserve">results will be employed as the main data source for selection of BMU strategy. </w:t>
      </w:r>
      <w:r w:rsidR="00A93710">
        <w:t xml:space="preserve">PAOS provides general capture of broad polygons of infestation and spots, typically to &lt;1:50,000 scale accuracy, </w:t>
      </w:r>
      <w:r w:rsidR="004512DE">
        <w:t>which</w:t>
      </w:r>
      <w:r w:rsidR="00CD0843">
        <w:t xml:space="preserve"> are</w:t>
      </w:r>
      <w:r w:rsidR="00A93710">
        <w:t xml:space="preserve"> suitable for </w:t>
      </w:r>
      <w:r w:rsidR="004512DE">
        <w:t xml:space="preserve">this </w:t>
      </w:r>
      <w:r w:rsidR="00A93710">
        <w:t>strategic use.</w:t>
      </w:r>
    </w:p>
    <w:p w14:paraId="3B14EE1B" w14:textId="77777777" w:rsidR="00536DB5" w:rsidRDefault="00495E7D" w:rsidP="00536DB5">
      <w:pPr>
        <w:autoSpaceDE w:val="0"/>
        <w:autoSpaceDN w:val="0"/>
        <w:adjustRightInd w:val="0"/>
        <w:spacing w:after="120"/>
      </w:pPr>
      <w:r>
        <w:t xml:space="preserve">Beetle </w:t>
      </w:r>
      <w:r w:rsidR="00A93710">
        <w:t xml:space="preserve">Tactical Plans require more detailed mapping </w:t>
      </w:r>
      <w:r w:rsidR="004512DE">
        <w:t>and to a much higher standard of accuracy</w:t>
      </w:r>
      <w:r w:rsidR="00CD0843">
        <w:t xml:space="preserve">. </w:t>
      </w:r>
      <w:r w:rsidR="004512DE">
        <w:t xml:space="preserve">A credible source for information is results from </w:t>
      </w:r>
      <w:r w:rsidR="00CD0843">
        <w:t>Detailed Waypoint-Based Aerial Overview Surveys</w:t>
      </w:r>
      <w:r w:rsidR="004512DE">
        <w:t xml:space="preserve"> (</w:t>
      </w:r>
      <w:r w:rsidR="00BD2F6F">
        <w:t xml:space="preserve">Detailed </w:t>
      </w:r>
      <w:r w:rsidR="004512DE">
        <w:t>AOS),</w:t>
      </w:r>
      <w:r w:rsidR="00536DB5">
        <w:t xml:space="preserve"> with follow-up ground probing</w:t>
      </w:r>
      <w:r w:rsidR="004512DE">
        <w:t xml:space="preserve">. Survey </w:t>
      </w:r>
      <w:r w:rsidR="007D3813">
        <w:t xml:space="preserve">contract </w:t>
      </w:r>
      <w:r w:rsidR="004512DE">
        <w:t xml:space="preserve">standards for Detailed AOS and </w:t>
      </w:r>
      <w:r w:rsidR="00536DB5">
        <w:t xml:space="preserve">ground </w:t>
      </w:r>
      <w:r w:rsidR="004512DE">
        <w:t>pro</w:t>
      </w:r>
      <w:r w:rsidR="000E36EF">
        <w:t>bing are provided in Appendices 1.5 and 1.6</w:t>
      </w:r>
      <w:r w:rsidR="004512DE">
        <w:t>.</w:t>
      </w:r>
      <w:r w:rsidR="00BB5873">
        <w:t xml:space="preserve"> </w:t>
      </w:r>
    </w:p>
    <w:p w14:paraId="2CFF4ADD" w14:textId="77777777" w:rsidR="00BB5873" w:rsidRDefault="00536DB5" w:rsidP="00536DB5">
      <w:pPr>
        <w:autoSpaceDE w:val="0"/>
        <w:autoSpaceDN w:val="0"/>
        <w:adjustRightInd w:val="0"/>
        <w:spacing w:after="120"/>
      </w:pPr>
      <w:r>
        <w:t xml:space="preserve">The </w:t>
      </w:r>
      <w:proofErr w:type="gramStart"/>
      <w:r>
        <w:t>District</w:t>
      </w:r>
      <w:proofErr w:type="gramEnd"/>
      <w:r w:rsidR="00BB5873">
        <w:t xml:space="preserve"> will pursue </w:t>
      </w:r>
      <w:r w:rsidR="004512DE">
        <w:t xml:space="preserve">Provincial Land-Based Investment (LBI) forest health funding </w:t>
      </w:r>
      <w:r w:rsidR="00BD2F6F">
        <w:t>to support annual completion of Detailed AOS</w:t>
      </w:r>
      <w:r w:rsidR="00BB5873">
        <w:t xml:space="preserve"> across the “aggressive” management area</w:t>
      </w:r>
      <w:r w:rsidR="00BD2F6F">
        <w:t xml:space="preserve">. </w:t>
      </w:r>
      <w:r w:rsidR="00524EF4">
        <w:t>Since</w:t>
      </w:r>
      <w:r w:rsidR="00BD2F6F">
        <w:t xml:space="preserve"> </w:t>
      </w:r>
      <w:r>
        <w:t>access to this funding is not assured</w:t>
      </w:r>
      <w:r w:rsidR="00BD2F6F">
        <w:t xml:space="preserve">, as an </w:t>
      </w:r>
      <w:proofErr w:type="gramStart"/>
      <w:r w:rsidR="00BD2F6F">
        <w:t>interim measure</w:t>
      </w:r>
      <w:r w:rsidR="00BB5873">
        <w:t xml:space="preserve"> </w:t>
      </w:r>
      <w:r>
        <w:t>licensees</w:t>
      </w:r>
      <w:proofErr w:type="gramEnd"/>
      <w:r>
        <w:t xml:space="preserve"> are encouraged to</w:t>
      </w:r>
      <w:r w:rsidR="00C03045">
        <w:t xml:space="preserve"> continue to employ </w:t>
      </w:r>
      <w:r w:rsidR="00056238">
        <w:t>standard operational approaches</w:t>
      </w:r>
      <w:r w:rsidR="00C03045">
        <w:t xml:space="preserve"> </w:t>
      </w:r>
      <w:r w:rsidR="004A63C7">
        <w:t xml:space="preserve">that </w:t>
      </w:r>
      <w:r>
        <w:t xml:space="preserve">yield </w:t>
      </w:r>
      <w:r w:rsidR="00C03045">
        <w:t>comparable information</w:t>
      </w:r>
      <w:r w:rsidR="00056238">
        <w:t>, e.g.:</w:t>
      </w:r>
    </w:p>
    <w:p w14:paraId="58E7DDF2" w14:textId="77777777" w:rsidR="00056238" w:rsidRPr="00056238" w:rsidRDefault="00056238" w:rsidP="00056238">
      <w:pPr>
        <w:pStyle w:val="ListParagraph"/>
        <w:numPr>
          <w:ilvl w:val="0"/>
          <w:numId w:val="15"/>
        </w:numPr>
        <w:contextualSpacing w:val="0"/>
      </w:pPr>
      <w:r>
        <w:t xml:space="preserve">conduct annual helicopter reconnaissance (recce) </w:t>
      </w:r>
      <w:r w:rsidRPr="00056238">
        <w:t xml:space="preserve">of susceptible </w:t>
      </w:r>
      <w:r>
        <w:t>forest</w:t>
      </w:r>
      <w:r w:rsidR="00003193">
        <w:t xml:space="preserve"> within operating </w:t>
      </w:r>
      <w:proofErr w:type="gramStart"/>
      <w:r w:rsidR="00003193">
        <w:t>areas</w:t>
      </w:r>
      <w:r>
        <w:t>;</w:t>
      </w:r>
      <w:proofErr w:type="gramEnd"/>
      <w:r w:rsidRPr="00056238">
        <w:t xml:space="preserve"> </w:t>
      </w:r>
    </w:p>
    <w:p w14:paraId="523A68B3" w14:textId="77777777" w:rsidR="00056238" w:rsidRPr="00056238" w:rsidRDefault="00056238" w:rsidP="00056238">
      <w:pPr>
        <w:pStyle w:val="ListParagraph"/>
        <w:numPr>
          <w:ilvl w:val="0"/>
          <w:numId w:val="15"/>
        </w:numPr>
        <w:contextualSpacing w:val="0"/>
      </w:pPr>
      <w:r w:rsidRPr="00056238">
        <w:t xml:space="preserve">obtain oblique photos of red/grey attack areas; delineate </w:t>
      </w:r>
      <w:r>
        <w:t>potential</w:t>
      </w:r>
      <w:r w:rsidRPr="00056238">
        <w:t xml:space="preserve"> harvest areas</w:t>
      </w:r>
      <w:r>
        <w:t xml:space="preserve"> and </w:t>
      </w:r>
      <w:r w:rsidRPr="00056238">
        <w:t>transfer to ground recce</w:t>
      </w:r>
      <w:r>
        <w:t>/ ground survey</w:t>
      </w:r>
      <w:r w:rsidRPr="00056238">
        <w:t xml:space="preserve"> </w:t>
      </w:r>
      <w:proofErr w:type="gramStart"/>
      <w:r w:rsidRPr="00056238">
        <w:t>plan;</w:t>
      </w:r>
      <w:proofErr w:type="gramEnd"/>
      <w:r w:rsidRPr="00056238">
        <w:t xml:space="preserve"> </w:t>
      </w:r>
    </w:p>
    <w:p w14:paraId="25CF886D" w14:textId="77777777" w:rsidR="00056238" w:rsidRDefault="00056238" w:rsidP="00056238">
      <w:pPr>
        <w:pStyle w:val="ListParagraph"/>
        <w:numPr>
          <w:ilvl w:val="0"/>
          <w:numId w:val="15"/>
        </w:numPr>
        <w:contextualSpacing w:val="0"/>
      </w:pPr>
      <w:r>
        <w:t xml:space="preserve">ensure recce captures intensity and extent of currents </w:t>
      </w:r>
      <w:r w:rsidR="00003193">
        <w:t xml:space="preserve">associated with red/grey </w:t>
      </w:r>
      <w:proofErr w:type="gramStart"/>
      <w:r w:rsidR="00003193">
        <w:t>attack;</w:t>
      </w:r>
      <w:proofErr w:type="gramEnd"/>
    </w:p>
    <w:p w14:paraId="25B17891" w14:textId="77777777" w:rsidR="00C03045" w:rsidRDefault="00C03045" w:rsidP="00C03045"/>
    <w:p w14:paraId="246B2AA5" w14:textId="77777777" w:rsidR="00003193" w:rsidRPr="00056238" w:rsidRDefault="00495E7D" w:rsidP="00C03045">
      <w:r>
        <w:t xml:space="preserve">The </w:t>
      </w:r>
      <w:proofErr w:type="gramStart"/>
      <w:r>
        <w:t>District</w:t>
      </w:r>
      <w:proofErr w:type="gramEnd"/>
      <w:r w:rsidR="00DA3F10">
        <w:t xml:space="preserve"> </w:t>
      </w:r>
      <w:r w:rsidR="00371F80">
        <w:t xml:space="preserve">will </w:t>
      </w:r>
      <w:r w:rsidR="00DA3F10">
        <w:t>undertake</w:t>
      </w:r>
      <w:r>
        <w:t xml:space="preserve"> an </w:t>
      </w:r>
      <w:r w:rsidR="00003193">
        <w:t>annual compilation</w:t>
      </w:r>
      <w:r w:rsidR="00DA3F10">
        <w:t xml:space="preserve"> of </w:t>
      </w:r>
      <w:r w:rsidR="00BD2F6F">
        <w:t>any such data submitted by licensees</w:t>
      </w:r>
      <w:r w:rsidR="00003193">
        <w:t>.</w:t>
      </w:r>
    </w:p>
    <w:p w14:paraId="3E4FB8DC" w14:textId="77777777" w:rsidR="00C22D2E" w:rsidRDefault="00C22D2E" w:rsidP="004A63C7">
      <w:pPr>
        <w:autoSpaceDE w:val="0"/>
        <w:autoSpaceDN w:val="0"/>
        <w:adjustRightInd w:val="0"/>
        <w:spacing w:after="120"/>
        <w:rPr>
          <w:b/>
          <w:i/>
        </w:rPr>
      </w:pPr>
    </w:p>
    <w:p w14:paraId="13739D40" w14:textId="77777777" w:rsidR="003B4ACE" w:rsidRPr="00E0714B" w:rsidRDefault="00BB46C0" w:rsidP="004A63C7">
      <w:pPr>
        <w:autoSpaceDE w:val="0"/>
        <w:autoSpaceDN w:val="0"/>
        <w:adjustRightInd w:val="0"/>
        <w:spacing w:after="120"/>
        <w:rPr>
          <w:i/>
        </w:rPr>
      </w:pPr>
      <w:r>
        <w:rPr>
          <w:b/>
          <w:i/>
        </w:rPr>
        <w:t>Tactic</w:t>
      </w:r>
      <w:r w:rsidR="00550C3B" w:rsidRPr="00550C3B">
        <w:rPr>
          <w:b/>
          <w:i/>
        </w:rPr>
        <w:t xml:space="preserve">: </w:t>
      </w:r>
      <w:r w:rsidR="003B4ACE" w:rsidRPr="00550C3B">
        <w:rPr>
          <w:b/>
          <w:i/>
        </w:rPr>
        <w:t xml:space="preserve">Assign risk-based </w:t>
      </w:r>
      <w:r w:rsidR="00710A35">
        <w:rPr>
          <w:b/>
          <w:i/>
        </w:rPr>
        <w:t>Treatment Tactic</w:t>
      </w:r>
      <w:r w:rsidR="003B4ACE" w:rsidRPr="00550C3B">
        <w:rPr>
          <w:b/>
          <w:i/>
        </w:rPr>
        <w:t xml:space="preserve"> to Waypoints or incidence areas</w:t>
      </w:r>
      <w:r w:rsidR="00C22D2E">
        <w:rPr>
          <w:b/>
          <w:i/>
        </w:rPr>
        <w:t>; update Beetle Tactical Plans</w:t>
      </w:r>
    </w:p>
    <w:p w14:paraId="5564651C" w14:textId="77777777" w:rsidR="00003193" w:rsidRDefault="004A63C7" w:rsidP="00710A35">
      <w:pPr>
        <w:pStyle w:val="BodyText"/>
        <w:spacing w:before="120"/>
      </w:pPr>
      <w:r>
        <w:t xml:space="preserve">The </w:t>
      </w:r>
      <w:proofErr w:type="gramStart"/>
      <w:r>
        <w:t>District</w:t>
      </w:r>
      <w:proofErr w:type="gramEnd"/>
      <w:r>
        <w:t xml:space="preserve"> </w:t>
      </w:r>
      <w:r w:rsidR="00F6301A">
        <w:t>will</w:t>
      </w:r>
      <w:r>
        <w:t xml:space="preserve"> collaborate with Regional Forest Health staf</w:t>
      </w:r>
      <w:r w:rsidR="00CB033A">
        <w:t xml:space="preserve">f and licensees in assigning a preliminary Treatment Tactic </w:t>
      </w:r>
      <w:r>
        <w:t xml:space="preserve">to </w:t>
      </w:r>
      <w:r w:rsidR="00AF20A8">
        <w:t>any</w:t>
      </w:r>
      <w:r>
        <w:t xml:space="preserve"> points and areas collected by more detailed mapping</w:t>
      </w:r>
      <w:r w:rsidR="00AF20A8">
        <w:t>,</w:t>
      </w:r>
      <w:r w:rsidR="00536DB5">
        <w:t xml:space="preserve"> annually by end of September</w:t>
      </w:r>
      <w:r>
        <w:t xml:space="preserve">. Table </w:t>
      </w:r>
      <w:r w:rsidR="00833132">
        <w:t xml:space="preserve">XX provides </w:t>
      </w:r>
      <w:r w:rsidR="00536DB5">
        <w:t xml:space="preserve">several </w:t>
      </w:r>
      <w:r w:rsidR="00833132">
        <w:t xml:space="preserve">concepts that advise </w:t>
      </w:r>
      <w:r w:rsidR="00CB033A">
        <w:t>Treatment Tactic selection</w:t>
      </w:r>
      <w:r w:rsidR="00536DB5">
        <w:t>; a</w:t>
      </w:r>
      <w:r w:rsidR="00710A35">
        <w:t xml:space="preserve">nother key influence is the distance of the point or area from </w:t>
      </w:r>
      <w:r w:rsidR="00536DB5">
        <w:t>active</w:t>
      </w:r>
      <w:r w:rsidR="00710A35">
        <w:t xml:space="preserve"> roads.</w:t>
      </w:r>
    </w:p>
    <w:p w14:paraId="0787BA3E" w14:textId="77777777" w:rsidR="003C3D9C" w:rsidRDefault="003C3D9C" w:rsidP="003C3D9C">
      <w:pPr>
        <w:pStyle w:val="BodyText"/>
      </w:pPr>
      <w:r>
        <w:t xml:space="preserve">Preliminary Treatment Tactics </w:t>
      </w:r>
      <w:r w:rsidR="00495E7D">
        <w:t>are</w:t>
      </w:r>
      <w:r>
        <w:t xml:space="preserve"> revisited when ground probing results are available. Ground probing</w:t>
      </w:r>
      <w:r w:rsidR="00AF20A8">
        <w:t xml:space="preserve"> is typically conducted September-November. </w:t>
      </w:r>
      <w:r w:rsidR="00495E7D">
        <w:t>S</w:t>
      </w:r>
      <w:r>
        <w:t xml:space="preserve">ites determined to be likely candidates for </w:t>
      </w:r>
      <w:r w:rsidR="00AF20A8">
        <w:t>Harvest</w:t>
      </w:r>
      <w:r>
        <w:t xml:space="preserve"> or </w:t>
      </w:r>
      <w:r w:rsidR="00AF20A8">
        <w:t>Fall &amp; B</w:t>
      </w:r>
      <w:r>
        <w:t>urn</w:t>
      </w:r>
      <w:r w:rsidR="00AF20A8">
        <w:t xml:space="preserve"> are visited by probing crews. </w:t>
      </w:r>
      <w:r w:rsidR="00495E7D">
        <w:t xml:space="preserve">A split of </w:t>
      </w:r>
      <w:r w:rsidR="009D7B8C">
        <w:t>responsibility</w:t>
      </w:r>
      <w:r w:rsidR="00495E7D">
        <w:t xml:space="preserve"> is proposed, with major licensees responsible for ground probing of </w:t>
      </w:r>
      <w:r w:rsidR="009D7B8C">
        <w:t xml:space="preserve">candidate </w:t>
      </w:r>
      <w:r w:rsidR="00495E7D">
        <w:t xml:space="preserve">Harvest sites, and </w:t>
      </w:r>
      <w:r w:rsidR="009D7B8C">
        <w:t xml:space="preserve">District for candidate </w:t>
      </w:r>
      <w:proofErr w:type="spellStart"/>
      <w:r w:rsidR="009D7B8C">
        <w:t>Fall&amp;Burn</w:t>
      </w:r>
      <w:proofErr w:type="spellEnd"/>
      <w:r w:rsidR="009D7B8C">
        <w:t xml:space="preserve"> sites.</w:t>
      </w:r>
    </w:p>
    <w:p w14:paraId="7D00928B" w14:textId="77777777" w:rsidR="00CB033A" w:rsidRDefault="00CB033A" w:rsidP="00CB033A">
      <w:pPr>
        <w:pStyle w:val="BodyText"/>
      </w:pPr>
      <w:r>
        <w:t>The collection of points/ areas and their preliminary Treatment Tactic are the basis of Beetle Tactical Plan</w:t>
      </w:r>
      <w:r w:rsidR="00495E7D">
        <w:t>s</w:t>
      </w:r>
      <w:r w:rsidR="00AF20A8">
        <w:t xml:space="preserve"> (</w:t>
      </w:r>
      <w:r w:rsidR="00495E7D">
        <w:t>section 5</w:t>
      </w:r>
      <w:r w:rsidR="00AF20A8">
        <w:t xml:space="preserve">), which </w:t>
      </w:r>
      <w:r>
        <w:t>guide treatment activities</w:t>
      </w:r>
      <w:r w:rsidR="00AF20A8">
        <w:t>.  Intent is to complete a revisit of Tactical P</w:t>
      </w:r>
      <w:r>
        <w:t>lan</w:t>
      </w:r>
      <w:r w:rsidR="00AF20A8">
        <w:t xml:space="preserve">s </w:t>
      </w:r>
      <w:r>
        <w:t xml:space="preserve">by </w:t>
      </w:r>
      <w:r w:rsidRPr="007F0E1D">
        <w:t>November 30 of each year.</w:t>
      </w:r>
    </w:p>
    <w:p w14:paraId="1A02DD47" w14:textId="77777777" w:rsidR="00833132" w:rsidRDefault="00833132" w:rsidP="004A63C7">
      <w:pPr>
        <w:pStyle w:val="BodyText3"/>
        <w:rPr>
          <w:sz w:val="20"/>
        </w:rPr>
      </w:pPr>
    </w:p>
    <w:p w14:paraId="7AEFAD27" w14:textId="77777777" w:rsidR="00C22D2E" w:rsidRDefault="00C22D2E">
      <w:pPr>
        <w:spacing w:after="200" w:line="276" w:lineRule="auto"/>
        <w:rPr>
          <w:rFonts w:ascii="Garamond" w:eastAsia="Times New Roman" w:hAnsi="Garamond" w:cs="Times New Roman"/>
          <w:sz w:val="20"/>
          <w:szCs w:val="20"/>
          <w:lang w:val="en-GB" w:eastAsia="en-CA"/>
        </w:rPr>
      </w:pPr>
      <w:r>
        <w:rPr>
          <w:sz w:val="20"/>
        </w:rPr>
        <w:br w:type="page"/>
      </w:r>
    </w:p>
    <w:p w14:paraId="57D2B27E" w14:textId="77777777" w:rsidR="00833132" w:rsidRDefault="00833132" w:rsidP="004A63C7">
      <w:pPr>
        <w:pStyle w:val="BodyText3"/>
        <w:rPr>
          <w:sz w:val="20"/>
        </w:rPr>
      </w:pPr>
    </w:p>
    <w:p w14:paraId="49167965" w14:textId="77777777" w:rsidR="00833132" w:rsidRDefault="00833132" w:rsidP="004A63C7">
      <w:pPr>
        <w:pStyle w:val="BodyText3"/>
      </w:pPr>
    </w:p>
    <w:p w14:paraId="7E3BE790" w14:textId="77777777" w:rsidR="004A63C7" w:rsidRPr="00F6301A" w:rsidRDefault="004A63C7" w:rsidP="00833132">
      <w:pPr>
        <w:pStyle w:val="Caption"/>
        <w:ind w:left="840"/>
        <w:rPr>
          <w:rFonts w:asciiTheme="minorHAnsi" w:hAnsiTheme="minorHAnsi" w:cstheme="minorHAnsi"/>
          <w:sz w:val="22"/>
          <w:szCs w:val="22"/>
        </w:rPr>
      </w:pPr>
      <w:bookmarkStart w:id="1" w:name="_Toc488036038"/>
      <w:bookmarkStart w:id="2" w:name="_Toc490546606"/>
      <w:bookmarkStart w:id="3" w:name="_Toc490550964"/>
      <w:bookmarkStart w:id="4" w:name="_Toc490551034"/>
      <w:bookmarkStart w:id="5" w:name="_Toc490551380"/>
      <w:bookmarkStart w:id="6" w:name="_Toc490552595"/>
      <w:bookmarkStart w:id="7" w:name="_Toc490553796"/>
      <w:bookmarkStart w:id="8" w:name="_Toc490556848"/>
      <w:bookmarkStart w:id="9" w:name="_Toc490625938"/>
      <w:r w:rsidRPr="00F6301A">
        <w:rPr>
          <w:rFonts w:asciiTheme="minorHAnsi" w:hAnsiTheme="minorHAnsi" w:cstheme="minorHAnsi"/>
          <w:sz w:val="22"/>
          <w:szCs w:val="22"/>
        </w:rPr>
        <w:t>Table</w:t>
      </w:r>
      <w:r w:rsidR="00833132" w:rsidRPr="00F6301A">
        <w:rPr>
          <w:rFonts w:asciiTheme="minorHAnsi" w:hAnsiTheme="minorHAnsi" w:cstheme="minorHAnsi"/>
          <w:sz w:val="22"/>
          <w:szCs w:val="22"/>
        </w:rPr>
        <w:t xml:space="preserve"> XX</w:t>
      </w:r>
      <w:r w:rsidR="00F6301A">
        <w:rPr>
          <w:rFonts w:asciiTheme="minorHAnsi" w:hAnsiTheme="minorHAnsi" w:cstheme="minorHAnsi"/>
          <w:sz w:val="22"/>
          <w:szCs w:val="22"/>
        </w:rPr>
        <w:t xml:space="preserve">: </w:t>
      </w:r>
      <w:r w:rsidRPr="00F6301A">
        <w:rPr>
          <w:rFonts w:asciiTheme="minorHAnsi" w:hAnsiTheme="minorHAnsi" w:cstheme="minorHAnsi"/>
          <w:sz w:val="22"/>
          <w:szCs w:val="22"/>
        </w:rPr>
        <w:t>M</w:t>
      </w:r>
      <w:r w:rsidRPr="00F6301A">
        <w:rPr>
          <w:rFonts w:asciiTheme="minorHAnsi" w:hAnsiTheme="minorHAnsi" w:cstheme="minorHAnsi"/>
          <w:snapToGrid w:val="0"/>
          <w:sz w:val="22"/>
          <w:szCs w:val="22"/>
          <w:lang w:eastAsia="en-US"/>
        </w:rPr>
        <w:t xml:space="preserve">ountain Pine Beetle </w:t>
      </w:r>
      <w:bookmarkEnd w:id="1"/>
      <w:bookmarkEnd w:id="2"/>
      <w:bookmarkEnd w:id="3"/>
      <w:bookmarkEnd w:id="4"/>
      <w:bookmarkEnd w:id="5"/>
      <w:bookmarkEnd w:id="6"/>
      <w:bookmarkEnd w:id="7"/>
      <w:bookmarkEnd w:id="8"/>
      <w:bookmarkEnd w:id="9"/>
      <w:r w:rsidR="00F6301A">
        <w:rPr>
          <w:rFonts w:asciiTheme="minorHAnsi" w:hAnsiTheme="minorHAnsi" w:cstheme="minorHAnsi"/>
          <w:snapToGrid w:val="0"/>
          <w:sz w:val="22"/>
          <w:szCs w:val="22"/>
          <w:lang w:eastAsia="en-US"/>
        </w:rPr>
        <w:t xml:space="preserve">Actioning </w:t>
      </w:r>
      <w:r w:rsidR="00766EE8" w:rsidRPr="00F6301A">
        <w:rPr>
          <w:rFonts w:asciiTheme="minorHAnsi" w:hAnsiTheme="minorHAnsi" w:cstheme="minorHAnsi"/>
          <w:snapToGrid w:val="0"/>
          <w:sz w:val="22"/>
          <w:szCs w:val="22"/>
          <w:lang w:eastAsia="en-US"/>
        </w:rPr>
        <w:t>Stra</w:t>
      </w:r>
      <w:r w:rsidR="00F6301A">
        <w:rPr>
          <w:rFonts w:asciiTheme="minorHAnsi" w:hAnsiTheme="minorHAnsi" w:cstheme="minorHAnsi"/>
          <w:snapToGrid w:val="0"/>
          <w:sz w:val="22"/>
          <w:szCs w:val="22"/>
          <w:lang w:eastAsia="en-US"/>
        </w:rPr>
        <w:t>tegy</w:t>
      </w:r>
    </w:p>
    <w:tbl>
      <w:tblPr>
        <w:tblW w:w="0" w:type="auto"/>
        <w:jc w:val="center"/>
        <w:tblLayout w:type="fixed"/>
        <w:tblCellMar>
          <w:left w:w="54" w:type="dxa"/>
          <w:right w:w="54" w:type="dxa"/>
        </w:tblCellMar>
        <w:tblLook w:val="0000" w:firstRow="0" w:lastRow="0" w:firstColumn="0" w:lastColumn="0" w:noHBand="0" w:noVBand="0"/>
      </w:tblPr>
      <w:tblGrid>
        <w:gridCol w:w="2367"/>
        <w:gridCol w:w="2694"/>
        <w:gridCol w:w="1134"/>
        <w:gridCol w:w="1134"/>
        <w:gridCol w:w="1095"/>
      </w:tblGrid>
      <w:tr w:rsidR="004A63C7" w14:paraId="09AB2171" w14:textId="77777777" w:rsidTr="00766EE8">
        <w:trPr>
          <w:cantSplit/>
          <w:jc w:val="center"/>
        </w:trPr>
        <w:tc>
          <w:tcPr>
            <w:tcW w:w="2367" w:type="dxa"/>
            <w:vAlign w:val="bottom"/>
          </w:tcPr>
          <w:p w14:paraId="5B2F7147" w14:textId="77777777" w:rsidR="004A63C7" w:rsidRDefault="004A63C7" w:rsidP="00833132">
            <w:pPr>
              <w:widowControl w:val="0"/>
              <w:jc w:val="center"/>
              <w:rPr>
                <w:b/>
                <w:snapToGrid w:val="0"/>
                <w:sz w:val="20"/>
              </w:rPr>
            </w:pPr>
            <w:r>
              <w:rPr>
                <w:b/>
                <w:snapToGrid w:val="0"/>
                <w:sz w:val="20"/>
              </w:rPr>
              <w:t>LRMP</w:t>
            </w:r>
            <w:r w:rsidR="00833132">
              <w:rPr>
                <w:b/>
                <w:snapToGrid w:val="0"/>
                <w:sz w:val="20"/>
              </w:rPr>
              <w:t xml:space="preserve"> </w:t>
            </w:r>
            <w:r w:rsidR="00833132" w:rsidRPr="00833132">
              <w:rPr>
                <w:b/>
                <w:snapToGrid w:val="0"/>
                <w:sz w:val="20"/>
              </w:rPr>
              <w:t>Zonation</w:t>
            </w:r>
          </w:p>
          <w:p w14:paraId="46199546" w14:textId="77777777" w:rsidR="00833132" w:rsidRDefault="00833132" w:rsidP="00833132">
            <w:pPr>
              <w:widowControl w:val="0"/>
              <w:jc w:val="center"/>
              <w:rPr>
                <w:b/>
                <w:snapToGrid w:val="0"/>
                <w:sz w:val="20"/>
              </w:rPr>
            </w:pPr>
          </w:p>
        </w:tc>
        <w:tc>
          <w:tcPr>
            <w:tcW w:w="2694" w:type="dxa"/>
            <w:vAlign w:val="bottom"/>
          </w:tcPr>
          <w:p w14:paraId="5E806828" w14:textId="77777777" w:rsidR="004A63C7" w:rsidRDefault="00833132" w:rsidP="00833132">
            <w:pPr>
              <w:widowControl w:val="0"/>
              <w:jc w:val="center"/>
              <w:rPr>
                <w:b/>
                <w:snapToGrid w:val="0"/>
                <w:sz w:val="20"/>
              </w:rPr>
            </w:pPr>
            <w:r>
              <w:rPr>
                <w:b/>
                <w:snapToGrid w:val="0"/>
                <w:sz w:val="20"/>
              </w:rPr>
              <w:t>Susceptibility</w:t>
            </w:r>
          </w:p>
          <w:p w14:paraId="7F28BC8A" w14:textId="77777777" w:rsidR="00833132" w:rsidRDefault="003C3D9C" w:rsidP="00833132">
            <w:pPr>
              <w:widowControl w:val="0"/>
              <w:jc w:val="center"/>
              <w:rPr>
                <w:b/>
                <w:snapToGrid w:val="0"/>
                <w:sz w:val="20"/>
              </w:rPr>
            </w:pPr>
            <w:r>
              <w:rPr>
                <w:b/>
                <w:snapToGrid w:val="0"/>
                <w:sz w:val="20"/>
              </w:rPr>
              <w:t>o</w:t>
            </w:r>
            <w:r w:rsidR="00833132">
              <w:rPr>
                <w:b/>
                <w:snapToGrid w:val="0"/>
                <w:sz w:val="20"/>
              </w:rPr>
              <w:t>f Surrounding Forest</w:t>
            </w:r>
          </w:p>
        </w:tc>
        <w:tc>
          <w:tcPr>
            <w:tcW w:w="3363" w:type="dxa"/>
            <w:gridSpan w:val="3"/>
            <w:vAlign w:val="bottom"/>
          </w:tcPr>
          <w:p w14:paraId="58D5FD8E" w14:textId="77777777" w:rsidR="004A63C7" w:rsidRDefault="00833132" w:rsidP="00833132">
            <w:pPr>
              <w:widowControl w:val="0"/>
              <w:jc w:val="center"/>
              <w:rPr>
                <w:b/>
                <w:snapToGrid w:val="0"/>
                <w:sz w:val="20"/>
              </w:rPr>
            </w:pPr>
            <w:r>
              <w:rPr>
                <w:b/>
                <w:snapToGrid w:val="0"/>
                <w:sz w:val="20"/>
              </w:rPr>
              <w:t># Currents per Point or Area</w:t>
            </w:r>
          </w:p>
          <w:p w14:paraId="246D2181" w14:textId="77777777" w:rsidR="00833132" w:rsidRDefault="00833132" w:rsidP="00833132">
            <w:pPr>
              <w:widowControl w:val="0"/>
              <w:jc w:val="center"/>
              <w:rPr>
                <w:b/>
                <w:snapToGrid w:val="0"/>
                <w:sz w:val="20"/>
              </w:rPr>
            </w:pPr>
          </w:p>
        </w:tc>
      </w:tr>
      <w:tr w:rsidR="004A63C7" w14:paraId="777B7767" w14:textId="77777777" w:rsidTr="00766EE8">
        <w:trPr>
          <w:jc w:val="center"/>
        </w:trPr>
        <w:tc>
          <w:tcPr>
            <w:tcW w:w="2367" w:type="dxa"/>
            <w:vAlign w:val="center"/>
          </w:tcPr>
          <w:p w14:paraId="052E9BC9" w14:textId="77777777" w:rsidR="004A63C7" w:rsidRPr="00833132" w:rsidRDefault="004A63C7" w:rsidP="00C22D2E">
            <w:pPr>
              <w:widowControl w:val="0"/>
              <w:jc w:val="center"/>
              <w:rPr>
                <w:b/>
                <w:snapToGrid w:val="0"/>
                <w:sz w:val="20"/>
              </w:rPr>
            </w:pPr>
          </w:p>
        </w:tc>
        <w:tc>
          <w:tcPr>
            <w:tcW w:w="2694" w:type="dxa"/>
          </w:tcPr>
          <w:p w14:paraId="681B162E" w14:textId="77777777" w:rsidR="004A63C7" w:rsidRDefault="004A63C7" w:rsidP="00C22D2E">
            <w:pPr>
              <w:widowControl w:val="0"/>
              <w:jc w:val="center"/>
              <w:rPr>
                <w:snapToGrid w:val="0"/>
                <w:sz w:val="20"/>
              </w:rPr>
            </w:pPr>
          </w:p>
        </w:tc>
        <w:tc>
          <w:tcPr>
            <w:tcW w:w="1134" w:type="dxa"/>
            <w:vAlign w:val="center"/>
          </w:tcPr>
          <w:p w14:paraId="722ECA56" w14:textId="77777777" w:rsidR="004A63C7" w:rsidRDefault="004A63C7" w:rsidP="00C22D2E">
            <w:pPr>
              <w:widowControl w:val="0"/>
              <w:jc w:val="center"/>
              <w:rPr>
                <w:snapToGrid w:val="0"/>
                <w:sz w:val="20"/>
              </w:rPr>
            </w:pPr>
            <w:r>
              <w:rPr>
                <w:snapToGrid w:val="0"/>
                <w:sz w:val="20"/>
              </w:rPr>
              <w:t>0-10</w:t>
            </w:r>
          </w:p>
        </w:tc>
        <w:tc>
          <w:tcPr>
            <w:tcW w:w="1134" w:type="dxa"/>
            <w:vAlign w:val="center"/>
          </w:tcPr>
          <w:p w14:paraId="0815271A" w14:textId="77777777" w:rsidR="004A63C7" w:rsidRDefault="004A63C7" w:rsidP="00C22D2E">
            <w:pPr>
              <w:widowControl w:val="0"/>
              <w:jc w:val="center"/>
              <w:rPr>
                <w:snapToGrid w:val="0"/>
                <w:sz w:val="20"/>
              </w:rPr>
            </w:pPr>
            <w:r>
              <w:rPr>
                <w:snapToGrid w:val="0"/>
                <w:sz w:val="20"/>
              </w:rPr>
              <w:t>10-20</w:t>
            </w:r>
          </w:p>
        </w:tc>
        <w:tc>
          <w:tcPr>
            <w:tcW w:w="1095" w:type="dxa"/>
            <w:vAlign w:val="center"/>
          </w:tcPr>
          <w:p w14:paraId="2E89CC9D" w14:textId="77777777" w:rsidR="004A63C7" w:rsidRDefault="004A63C7" w:rsidP="00C22D2E">
            <w:pPr>
              <w:widowControl w:val="0"/>
              <w:jc w:val="center"/>
              <w:rPr>
                <w:snapToGrid w:val="0"/>
                <w:sz w:val="20"/>
              </w:rPr>
            </w:pPr>
            <w:r>
              <w:rPr>
                <w:snapToGrid w:val="0"/>
                <w:sz w:val="20"/>
              </w:rPr>
              <w:t>20+</w:t>
            </w:r>
          </w:p>
        </w:tc>
      </w:tr>
      <w:tr w:rsidR="004A63C7" w14:paraId="7A6E465C" w14:textId="77777777" w:rsidTr="00766EE8">
        <w:trPr>
          <w:jc w:val="center"/>
        </w:trPr>
        <w:tc>
          <w:tcPr>
            <w:tcW w:w="2367" w:type="dxa"/>
          </w:tcPr>
          <w:p w14:paraId="56A0987D" w14:textId="77777777" w:rsidR="004A63C7" w:rsidRDefault="004A63C7" w:rsidP="00C22D2E">
            <w:pPr>
              <w:widowControl w:val="0"/>
              <w:jc w:val="center"/>
              <w:rPr>
                <w:snapToGrid w:val="0"/>
                <w:sz w:val="20"/>
              </w:rPr>
            </w:pPr>
          </w:p>
        </w:tc>
        <w:tc>
          <w:tcPr>
            <w:tcW w:w="2694" w:type="dxa"/>
          </w:tcPr>
          <w:p w14:paraId="6A06C6CE" w14:textId="77777777" w:rsidR="004A63C7" w:rsidRDefault="004A63C7" w:rsidP="00C22D2E">
            <w:pPr>
              <w:widowControl w:val="0"/>
              <w:rPr>
                <w:snapToGrid w:val="0"/>
                <w:sz w:val="20"/>
              </w:rPr>
            </w:pPr>
          </w:p>
        </w:tc>
        <w:tc>
          <w:tcPr>
            <w:tcW w:w="1134" w:type="dxa"/>
          </w:tcPr>
          <w:p w14:paraId="2105AD0C" w14:textId="77777777" w:rsidR="004A63C7" w:rsidRDefault="004A63C7" w:rsidP="00C22D2E">
            <w:pPr>
              <w:widowControl w:val="0"/>
              <w:jc w:val="center"/>
              <w:rPr>
                <w:snapToGrid w:val="0"/>
                <w:sz w:val="20"/>
              </w:rPr>
            </w:pPr>
          </w:p>
        </w:tc>
        <w:tc>
          <w:tcPr>
            <w:tcW w:w="1134" w:type="dxa"/>
          </w:tcPr>
          <w:p w14:paraId="71CC6186" w14:textId="77777777" w:rsidR="004A63C7" w:rsidRDefault="004A63C7" w:rsidP="00C22D2E">
            <w:pPr>
              <w:widowControl w:val="0"/>
              <w:jc w:val="center"/>
              <w:rPr>
                <w:snapToGrid w:val="0"/>
                <w:sz w:val="20"/>
              </w:rPr>
            </w:pPr>
          </w:p>
        </w:tc>
        <w:tc>
          <w:tcPr>
            <w:tcW w:w="1095" w:type="dxa"/>
          </w:tcPr>
          <w:p w14:paraId="48C64C69" w14:textId="77777777" w:rsidR="004A63C7" w:rsidRDefault="004A63C7" w:rsidP="00C22D2E">
            <w:pPr>
              <w:widowControl w:val="0"/>
              <w:jc w:val="center"/>
              <w:rPr>
                <w:snapToGrid w:val="0"/>
                <w:sz w:val="20"/>
              </w:rPr>
            </w:pPr>
          </w:p>
        </w:tc>
      </w:tr>
      <w:tr w:rsidR="004A63C7" w14:paraId="2F5C0974" w14:textId="77777777" w:rsidTr="00766EE8">
        <w:trPr>
          <w:cantSplit/>
          <w:trHeight w:val="270"/>
          <w:jc w:val="center"/>
        </w:trPr>
        <w:tc>
          <w:tcPr>
            <w:tcW w:w="2367" w:type="dxa"/>
          </w:tcPr>
          <w:p w14:paraId="738E3F0A" w14:textId="77777777" w:rsidR="004A63C7" w:rsidRDefault="004A63C7" w:rsidP="00C22D2E">
            <w:pPr>
              <w:widowControl w:val="0"/>
              <w:rPr>
                <w:snapToGrid w:val="0"/>
                <w:sz w:val="20"/>
              </w:rPr>
            </w:pPr>
          </w:p>
        </w:tc>
        <w:tc>
          <w:tcPr>
            <w:tcW w:w="2694" w:type="dxa"/>
          </w:tcPr>
          <w:p w14:paraId="33155A25" w14:textId="77777777" w:rsidR="004A63C7" w:rsidRDefault="004A63C7" w:rsidP="00C22D2E">
            <w:pPr>
              <w:widowControl w:val="0"/>
              <w:rPr>
                <w:snapToGrid w:val="0"/>
                <w:sz w:val="20"/>
              </w:rPr>
            </w:pPr>
          </w:p>
        </w:tc>
        <w:tc>
          <w:tcPr>
            <w:tcW w:w="3363" w:type="dxa"/>
            <w:gridSpan w:val="3"/>
          </w:tcPr>
          <w:p w14:paraId="55300C7D" w14:textId="77777777" w:rsidR="004A63C7" w:rsidRPr="00833132" w:rsidRDefault="00710A35" w:rsidP="00C22D2E">
            <w:pPr>
              <w:widowControl w:val="0"/>
              <w:jc w:val="center"/>
              <w:rPr>
                <w:b/>
                <w:snapToGrid w:val="0"/>
                <w:sz w:val="20"/>
              </w:rPr>
            </w:pPr>
            <w:r>
              <w:rPr>
                <w:b/>
                <w:snapToGrid w:val="0"/>
                <w:sz w:val="20"/>
              </w:rPr>
              <w:t>Treatment Tactic</w:t>
            </w:r>
          </w:p>
        </w:tc>
      </w:tr>
      <w:tr w:rsidR="004A63C7" w14:paraId="21400976" w14:textId="77777777" w:rsidTr="00766EE8">
        <w:trPr>
          <w:jc w:val="center"/>
        </w:trPr>
        <w:tc>
          <w:tcPr>
            <w:tcW w:w="2367" w:type="dxa"/>
          </w:tcPr>
          <w:p w14:paraId="78E36C25" w14:textId="77777777" w:rsidR="004A63C7" w:rsidRDefault="00833132" w:rsidP="00C22D2E">
            <w:pPr>
              <w:widowControl w:val="0"/>
              <w:jc w:val="center"/>
              <w:rPr>
                <w:snapToGrid w:val="0"/>
                <w:sz w:val="20"/>
              </w:rPr>
            </w:pPr>
            <w:r>
              <w:rPr>
                <w:snapToGrid w:val="0"/>
                <w:sz w:val="20"/>
              </w:rPr>
              <w:t>“Protected”:</w:t>
            </w:r>
          </w:p>
        </w:tc>
        <w:tc>
          <w:tcPr>
            <w:tcW w:w="2694" w:type="dxa"/>
          </w:tcPr>
          <w:p w14:paraId="47B8D2CF" w14:textId="77777777" w:rsidR="004A63C7" w:rsidRDefault="005524CE" w:rsidP="00C22D2E">
            <w:pPr>
              <w:widowControl w:val="0"/>
              <w:jc w:val="center"/>
              <w:rPr>
                <w:snapToGrid w:val="0"/>
                <w:sz w:val="20"/>
              </w:rPr>
            </w:pPr>
            <w:r>
              <w:rPr>
                <w:snapToGrid w:val="0"/>
                <w:sz w:val="20"/>
              </w:rPr>
              <w:t xml:space="preserve"> Low to Mod</w:t>
            </w:r>
          </w:p>
        </w:tc>
        <w:tc>
          <w:tcPr>
            <w:tcW w:w="1134" w:type="dxa"/>
            <w:tcBorders>
              <w:top w:val="single" w:sz="12" w:space="0" w:color="auto"/>
              <w:left w:val="single" w:sz="12" w:space="0" w:color="auto"/>
              <w:bottom w:val="single" w:sz="6" w:space="0" w:color="auto"/>
              <w:right w:val="single" w:sz="6" w:space="0" w:color="auto"/>
            </w:tcBorders>
          </w:tcPr>
          <w:p w14:paraId="187C2359" w14:textId="77777777" w:rsidR="004A63C7" w:rsidRDefault="004A63C7" w:rsidP="00C22D2E">
            <w:pPr>
              <w:widowControl w:val="0"/>
              <w:jc w:val="center"/>
              <w:rPr>
                <w:snapToGrid w:val="0"/>
                <w:sz w:val="20"/>
              </w:rPr>
            </w:pPr>
            <w:r>
              <w:rPr>
                <w:snapToGrid w:val="0"/>
                <w:sz w:val="20"/>
              </w:rPr>
              <w:t>A</w:t>
            </w:r>
          </w:p>
        </w:tc>
        <w:tc>
          <w:tcPr>
            <w:tcW w:w="1134" w:type="dxa"/>
            <w:tcBorders>
              <w:top w:val="single" w:sz="12" w:space="0" w:color="auto"/>
              <w:left w:val="single" w:sz="6" w:space="0" w:color="auto"/>
              <w:bottom w:val="single" w:sz="6" w:space="0" w:color="auto"/>
              <w:right w:val="single" w:sz="6" w:space="0" w:color="auto"/>
            </w:tcBorders>
          </w:tcPr>
          <w:p w14:paraId="6D64C022" w14:textId="77777777" w:rsidR="004A63C7" w:rsidRDefault="004A63C7" w:rsidP="00C22D2E">
            <w:pPr>
              <w:widowControl w:val="0"/>
              <w:jc w:val="center"/>
              <w:rPr>
                <w:snapToGrid w:val="0"/>
                <w:sz w:val="20"/>
              </w:rPr>
            </w:pPr>
            <w:r>
              <w:rPr>
                <w:snapToGrid w:val="0"/>
                <w:sz w:val="20"/>
              </w:rPr>
              <w:t>A</w:t>
            </w:r>
          </w:p>
        </w:tc>
        <w:tc>
          <w:tcPr>
            <w:tcW w:w="1095" w:type="dxa"/>
            <w:tcBorders>
              <w:top w:val="single" w:sz="12" w:space="0" w:color="auto"/>
              <w:left w:val="single" w:sz="6" w:space="0" w:color="auto"/>
              <w:bottom w:val="single" w:sz="6" w:space="0" w:color="auto"/>
              <w:right w:val="single" w:sz="12" w:space="0" w:color="auto"/>
            </w:tcBorders>
          </w:tcPr>
          <w:p w14:paraId="4D2BB809" w14:textId="77777777" w:rsidR="004A63C7" w:rsidRDefault="005524CE" w:rsidP="00C22D2E">
            <w:pPr>
              <w:widowControl w:val="0"/>
              <w:jc w:val="center"/>
              <w:rPr>
                <w:snapToGrid w:val="0"/>
                <w:sz w:val="20"/>
              </w:rPr>
            </w:pPr>
            <w:r>
              <w:rPr>
                <w:snapToGrid w:val="0"/>
                <w:sz w:val="20"/>
              </w:rPr>
              <w:t xml:space="preserve">A, </w:t>
            </w:r>
            <w:r w:rsidR="004A63C7">
              <w:rPr>
                <w:snapToGrid w:val="0"/>
                <w:sz w:val="20"/>
              </w:rPr>
              <w:t>B</w:t>
            </w:r>
          </w:p>
        </w:tc>
      </w:tr>
      <w:tr w:rsidR="004A63C7" w14:paraId="75DE5A94" w14:textId="77777777" w:rsidTr="00766EE8">
        <w:trPr>
          <w:jc w:val="center"/>
        </w:trPr>
        <w:tc>
          <w:tcPr>
            <w:tcW w:w="2367" w:type="dxa"/>
          </w:tcPr>
          <w:p w14:paraId="30B7C5B1" w14:textId="77777777" w:rsidR="004A63C7" w:rsidRDefault="00833132" w:rsidP="00F6301A">
            <w:pPr>
              <w:widowControl w:val="0"/>
              <w:jc w:val="center"/>
              <w:rPr>
                <w:i/>
                <w:snapToGrid w:val="0"/>
                <w:sz w:val="20"/>
              </w:rPr>
            </w:pPr>
            <w:r>
              <w:rPr>
                <w:i/>
                <w:snapToGrid w:val="0"/>
                <w:sz w:val="20"/>
              </w:rPr>
              <w:t xml:space="preserve">PR, </w:t>
            </w:r>
            <w:r w:rsidR="00766EE8">
              <w:rPr>
                <w:i/>
                <w:snapToGrid w:val="0"/>
                <w:sz w:val="20"/>
              </w:rPr>
              <w:t xml:space="preserve">SMZ1, </w:t>
            </w:r>
            <w:r>
              <w:rPr>
                <w:i/>
                <w:snapToGrid w:val="0"/>
                <w:sz w:val="20"/>
              </w:rPr>
              <w:t>CE</w:t>
            </w:r>
            <w:r w:rsidR="004A63C7">
              <w:rPr>
                <w:i/>
                <w:snapToGrid w:val="0"/>
                <w:sz w:val="20"/>
              </w:rPr>
              <w:t xml:space="preserve">, </w:t>
            </w:r>
            <w:r w:rsidR="00766EE8">
              <w:rPr>
                <w:i/>
                <w:snapToGrid w:val="0"/>
                <w:sz w:val="20"/>
              </w:rPr>
              <w:t>OGMA, SA</w:t>
            </w:r>
            <w:r w:rsidR="00A853E1">
              <w:rPr>
                <w:i/>
                <w:snapToGrid w:val="0"/>
                <w:sz w:val="20"/>
              </w:rPr>
              <w:t>,</w:t>
            </w:r>
          </w:p>
        </w:tc>
        <w:tc>
          <w:tcPr>
            <w:tcW w:w="2694" w:type="dxa"/>
          </w:tcPr>
          <w:p w14:paraId="1527D844" w14:textId="77777777" w:rsidR="004A63C7" w:rsidRDefault="004A63C7" w:rsidP="00C22D2E">
            <w:pPr>
              <w:widowControl w:val="0"/>
              <w:jc w:val="center"/>
              <w:rPr>
                <w:snapToGrid w:val="0"/>
                <w:sz w:val="20"/>
              </w:rPr>
            </w:pPr>
            <w:r>
              <w:rPr>
                <w:snapToGrid w:val="0"/>
                <w:sz w:val="20"/>
              </w:rPr>
              <w:t>High</w:t>
            </w:r>
          </w:p>
        </w:tc>
        <w:tc>
          <w:tcPr>
            <w:tcW w:w="1134" w:type="dxa"/>
            <w:tcBorders>
              <w:top w:val="single" w:sz="6" w:space="0" w:color="auto"/>
              <w:left w:val="single" w:sz="12" w:space="0" w:color="auto"/>
              <w:bottom w:val="single" w:sz="6" w:space="0" w:color="auto"/>
              <w:right w:val="single" w:sz="6" w:space="0" w:color="auto"/>
            </w:tcBorders>
          </w:tcPr>
          <w:p w14:paraId="34A06EB0" w14:textId="77777777" w:rsidR="004A63C7" w:rsidRDefault="004A63C7" w:rsidP="00C22D2E">
            <w:pPr>
              <w:widowControl w:val="0"/>
              <w:jc w:val="center"/>
              <w:rPr>
                <w:snapToGrid w:val="0"/>
                <w:sz w:val="20"/>
              </w:rPr>
            </w:pPr>
            <w:r>
              <w:rPr>
                <w:snapToGrid w:val="0"/>
                <w:sz w:val="20"/>
              </w:rPr>
              <w:t>A</w:t>
            </w:r>
          </w:p>
        </w:tc>
        <w:tc>
          <w:tcPr>
            <w:tcW w:w="1134" w:type="dxa"/>
            <w:tcBorders>
              <w:top w:val="single" w:sz="6" w:space="0" w:color="auto"/>
              <w:left w:val="single" w:sz="6" w:space="0" w:color="auto"/>
              <w:bottom w:val="single" w:sz="6" w:space="0" w:color="auto"/>
              <w:right w:val="single" w:sz="6" w:space="0" w:color="auto"/>
            </w:tcBorders>
          </w:tcPr>
          <w:p w14:paraId="09C32271" w14:textId="77777777" w:rsidR="004A63C7" w:rsidRDefault="004A63C7" w:rsidP="00C22D2E">
            <w:pPr>
              <w:widowControl w:val="0"/>
              <w:jc w:val="center"/>
              <w:rPr>
                <w:snapToGrid w:val="0"/>
                <w:sz w:val="20"/>
              </w:rPr>
            </w:pPr>
            <w:r>
              <w:rPr>
                <w:snapToGrid w:val="0"/>
                <w:sz w:val="20"/>
              </w:rPr>
              <w:t>B</w:t>
            </w:r>
          </w:p>
        </w:tc>
        <w:tc>
          <w:tcPr>
            <w:tcW w:w="1095" w:type="dxa"/>
            <w:tcBorders>
              <w:top w:val="single" w:sz="6" w:space="0" w:color="auto"/>
              <w:left w:val="single" w:sz="6" w:space="0" w:color="auto"/>
              <w:bottom w:val="single" w:sz="6" w:space="0" w:color="auto"/>
              <w:right w:val="single" w:sz="12" w:space="0" w:color="auto"/>
            </w:tcBorders>
          </w:tcPr>
          <w:p w14:paraId="1E0D0DFD" w14:textId="77777777" w:rsidR="004A63C7" w:rsidRDefault="004A63C7" w:rsidP="00C22D2E">
            <w:pPr>
              <w:widowControl w:val="0"/>
              <w:jc w:val="center"/>
              <w:rPr>
                <w:snapToGrid w:val="0"/>
                <w:sz w:val="20"/>
              </w:rPr>
            </w:pPr>
            <w:r>
              <w:rPr>
                <w:snapToGrid w:val="0"/>
                <w:sz w:val="20"/>
              </w:rPr>
              <w:t>B, D</w:t>
            </w:r>
          </w:p>
        </w:tc>
      </w:tr>
      <w:tr w:rsidR="004A63C7" w14:paraId="1740EF82" w14:textId="77777777" w:rsidTr="00766EE8">
        <w:trPr>
          <w:trHeight w:val="270"/>
          <w:jc w:val="center"/>
        </w:trPr>
        <w:tc>
          <w:tcPr>
            <w:tcW w:w="2367" w:type="dxa"/>
          </w:tcPr>
          <w:p w14:paraId="6E45DE64" w14:textId="77777777" w:rsidR="004A63C7" w:rsidRDefault="00F6301A" w:rsidP="00F6301A">
            <w:pPr>
              <w:widowControl w:val="0"/>
              <w:jc w:val="center"/>
              <w:rPr>
                <w:snapToGrid w:val="0"/>
                <w:sz w:val="20"/>
              </w:rPr>
            </w:pPr>
            <w:r>
              <w:rPr>
                <w:i/>
                <w:snapToGrid w:val="0"/>
                <w:sz w:val="20"/>
              </w:rPr>
              <w:t>NCO. PVQ</w:t>
            </w:r>
          </w:p>
        </w:tc>
        <w:tc>
          <w:tcPr>
            <w:tcW w:w="2694" w:type="dxa"/>
          </w:tcPr>
          <w:p w14:paraId="0971A1A3" w14:textId="77777777" w:rsidR="004A63C7" w:rsidRDefault="004A63C7" w:rsidP="00C22D2E">
            <w:pPr>
              <w:widowControl w:val="0"/>
              <w:jc w:val="center"/>
              <w:rPr>
                <w:snapToGrid w:val="0"/>
                <w:sz w:val="20"/>
              </w:rPr>
            </w:pPr>
            <w:r>
              <w:rPr>
                <w:snapToGrid w:val="0"/>
                <w:sz w:val="20"/>
              </w:rPr>
              <w:t>Extreme</w:t>
            </w:r>
          </w:p>
        </w:tc>
        <w:tc>
          <w:tcPr>
            <w:tcW w:w="1134" w:type="dxa"/>
            <w:tcBorders>
              <w:top w:val="single" w:sz="6" w:space="0" w:color="auto"/>
              <w:left w:val="single" w:sz="12" w:space="0" w:color="auto"/>
              <w:bottom w:val="single" w:sz="12" w:space="0" w:color="auto"/>
              <w:right w:val="single" w:sz="6" w:space="0" w:color="auto"/>
            </w:tcBorders>
          </w:tcPr>
          <w:p w14:paraId="67528EB4" w14:textId="77777777" w:rsidR="004A63C7" w:rsidRDefault="004A63C7" w:rsidP="00C22D2E">
            <w:pPr>
              <w:widowControl w:val="0"/>
              <w:jc w:val="center"/>
              <w:rPr>
                <w:snapToGrid w:val="0"/>
                <w:sz w:val="20"/>
              </w:rPr>
            </w:pPr>
            <w:r>
              <w:rPr>
                <w:snapToGrid w:val="0"/>
                <w:sz w:val="20"/>
              </w:rPr>
              <w:t>A</w:t>
            </w:r>
          </w:p>
        </w:tc>
        <w:tc>
          <w:tcPr>
            <w:tcW w:w="1134" w:type="dxa"/>
            <w:tcBorders>
              <w:top w:val="single" w:sz="6" w:space="0" w:color="auto"/>
              <w:left w:val="single" w:sz="6" w:space="0" w:color="auto"/>
              <w:bottom w:val="single" w:sz="12" w:space="0" w:color="auto"/>
              <w:right w:val="single" w:sz="6" w:space="0" w:color="auto"/>
            </w:tcBorders>
          </w:tcPr>
          <w:p w14:paraId="65397AD6" w14:textId="77777777" w:rsidR="004A63C7" w:rsidRDefault="004A63C7" w:rsidP="00C22D2E">
            <w:pPr>
              <w:widowControl w:val="0"/>
              <w:jc w:val="center"/>
              <w:rPr>
                <w:snapToGrid w:val="0"/>
                <w:sz w:val="20"/>
              </w:rPr>
            </w:pPr>
            <w:r>
              <w:rPr>
                <w:snapToGrid w:val="0"/>
                <w:sz w:val="20"/>
              </w:rPr>
              <w:t>B, D</w:t>
            </w:r>
          </w:p>
        </w:tc>
        <w:tc>
          <w:tcPr>
            <w:tcW w:w="1095" w:type="dxa"/>
            <w:tcBorders>
              <w:top w:val="single" w:sz="6" w:space="0" w:color="auto"/>
              <w:left w:val="single" w:sz="6" w:space="0" w:color="auto"/>
              <w:bottom w:val="single" w:sz="12" w:space="0" w:color="auto"/>
              <w:right w:val="single" w:sz="12" w:space="0" w:color="auto"/>
            </w:tcBorders>
          </w:tcPr>
          <w:p w14:paraId="692A4FB6" w14:textId="77777777" w:rsidR="004A63C7" w:rsidRDefault="004A63C7" w:rsidP="00C22D2E">
            <w:pPr>
              <w:widowControl w:val="0"/>
              <w:jc w:val="center"/>
              <w:rPr>
                <w:snapToGrid w:val="0"/>
                <w:sz w:val="20"/>
              </w:rPr>
            </w:pPr>
            <w:r>
              <w:rPr>
                <w:snapToGrid w:val="0"/>
                <w:sz w:val="20"/>
              </w:rPr>
              <w:t>B, D</w:t>
            </w:r>
          </w:p>
        </w:tc>
      </w:tr>
      <w:tr w:rsidR="004A63C7" w14:paraId="1FB9AD06" w14:textId="77777777" w:rsidTr="00766EE8">
        <w:trPr>
          <w:jc w:val="center"/>
        </w:trPr>
        <w:tc>
          <w:tcPr>
            <w:tcW w:w="2367" w:type="dxa"/>
          </w:tcPr>
          <w:p w14:paraId="31310167" w14:textId="77777777" w:rsidR="004A63C7" w:rsidRDefault="004A63C7" w:rsidP="00C22D2E">
            <w:pPr>
              <w:widowControl w:val="0"/>
              <w:rPr>
                <w:snapToGrid w:val="0"/>
                <w:sz w:val="20"/>
              </w:rPr>
            </w:pPr>
          </w:p>
        </w:tc>
        <w:tc>
          <w:tcPr>
            <w:tcW w:w="2694" w:type="dxa"/>
          </w:tcPr>
          <w:p w14:paraId="400FA895" w14:textId="77777777" w:rsidR="004A63C7" w:rsidRDefault="004A63C7" w:rsidP="00C22D2E">
            <w:pPr>
              <w:widowControl w:val="0"/>
              <w:jc w:val="center"/>
              <w:rPr>
                <w:snapToGrid w:val="0"/>
                <w:sz w:val="20"/>
              </w:rPr>
            </w:pPr>
          </w:p>
        </w:tc>
        <w:tc>
          <w:tcPr>
            <w:tcW w:w="1134" w:type="dxa"/>
          </w:tcPr>
          <w:p w14:paraId="33C31FA4" w14:textId="77777777" w:rsidR="004A63C7" w:rsidRDefault="004A63C7" w:rsidP="00C22D2E">
            <w:pPr>
              <w:widowControl w:val="0"/>
              <w:jc w:val="center"/>
              <w:rPr>
                <w:snapToGrid w:val="0"/>
                <w:sz w:val="20"/>
              </w:rPr>
            </w:pPr>
          </w:p>
        </w:tc>
        <w:tc>
          <w:tcPr>
            <w:tcW w:w="1134" w:type="dxa"/>
          </w:tcPr>
          <w:p w14:paraId="5FA1A34E" w14:textId="77777777" w:rsidR="004A63C7" w:rsidRDefault="004A63C7" w:rsidP="00C22D2E">
            <w:pPr>
              <w:widowControl w:val="0"/>
              <w:jc w:val="center"/>
              <w:rPr>
                <w:snapToGrid w:val="0"/>
                <w:sz w:val="20"/>
              </w:rPr>
            </w:pPr>
          </w:p>
        </w:tc>
        <w:tc>
          <w:tcPr>
            <w:tcW w:w="1095" w:type="dxa"/>
          </w:tcPr>
          <w:p w14:paraId="5702C12D" w14:textId="77777777" w:rsidR="004A63C7" w:rsidRDefault="004A63C7" w:rsidP="00C22D2E">
            <w:pPr>
              <w:widowControl w:val="0"/>
              <w:jc w:val="center"/>
              <w:rPr>
                <w:snapToGrid w:val="0"/>
                <w:sz w:val="20"/>
              </w:rPr>
            </w:pPr>
          </w:p>
        </w:tc>
      </w:tr>
      <w:tr w:rsidR="004A63C7" w14:paraId="2246E919" w14:textId="77777777" w:rsidTr="00766EE8">
        <w:trPr>
          <w:trHeight w:val="270"/>
          <w:jc w:val="center"/>
        </w:trPr>
        <w:tc>
          <w:tcPr>
            <w:tcW w:w="2367" w:type="dxa"/>
          </w:tcPr>
          <w:p w14:paraId="312F7235" w14:textId="77777777" w:rsidR="004A63C7" w:rsidRDefault="004A63C7" w:rsidP="00C22D2E">
            <w:pPr>
              <w:widowControl w:val="0"/>
              <w:rPr>
                <w:snapToGrid w:val="0"/>
                <w:sz w:val="20"/>
              </w:rPr>
            </w:pPr>
          </w:p>
        </w:tc>
        <w:tc>
          <w:tcPr>
            <w:tcW w:w="2694" w:type="dxa"/>
          </w:tcPr>
          <w:p w14:paraId="043D297C" w14:textId="77777777" w:rsidR="004A63C7" w:rsidRDefault="004A63C7" w:rsidP="00C22D2E">
            <w:pPr>
              <w:widowControl w:val="0"/>
              <w:jc w:val="center"/>
              <w:rPr>
                <w:snapToGrid w:val="0"/>
                <w:sz w:val="20"/>
              </w:rPr>
            </w:pPr>
          </w:p>
        </w:tc>
        <w:tc>
          <w:tcPr>
            <w:tcW w:w="1134" w:type="dxa"/>
          </w:tcPr>
          <w:p w14:paraId="396D1F70" w14:textId="77777777" w:rsidR="004A63C7" w:rsidRDefault="004A63C7" w:rsidP="00C22D2E">
            <w:pPr>
              <w:widowControl w:val="0"/>
              <w:jc w:val="center"/>
              <w:rPr>
                <w:snapToGrid w:val="0"/>
                <w:sz w:val="20"/>
              </w:rPr>
            </w:pPr>
          </w:p>
        </w:tc>
        <w:tc>
          <w:tcPr>
            <w:tcW w:w="1134" w:type="dxa"/>
          </w:tcPr>
          <w:p w14:paraId="2A5BD7AB" w14:textId="77777777" w:rsidR="004A63C7" w:rsidRDefault="004A63C7" w:rsidP="00C22D2E">
            <w:pPr>
              <w:widowControl w:val="0"/>
              <w:jc w:val="center"/>
              <w:rPr>
                <w:snapToGrid w:val="0"/>
                <w:sz w:val="20"/>
              </w:rPr>
            </w:pPr>
          </w:p>
        </w:tc>
        <w:tc>
          <w:tcPr>
            <w:tcW w:w="1095" w:type="dxa"/>
          </w:tcPr>
          <w:p w14:paraId="206D75A4" w14:textId="77777777" w:rsidR="004A63C7" w:rsidRDefault="004A63C7" w:rsidP="00C22D2E">
            <w:pPr>
              <w:widowControl w:val="0"/>
              <w:jc w:val="center"/>
              <w:rPr>
                <w:snapToGrid w:val="0"/>
                <w:sz w:val="20"/>
              </w:rPr>
            </w:pPr>
          </w:p>
        </w:tc>
      </w:tr>
      <w:tr w:rsidR="004A63C7" w14:paraId="270631EB" w14:textId="77777777" w:rsidTr="00766EE8">
        <w:trPr>
          <w:jc w:val="center"/>
        </w:trPr>
        <w:tc>
          <w:tcPr>
            <w:tcW w:w="2367" w:type="dxa"/>
          </w:tcPr>
          <w:p w14:paraId="156939BA" w14:textId="77777777" w:rsidR="004A63C7" w:rsidRDefault="004A63C7" w:rsidP="00C22D2E">
            <w:pPr>
              <w:widowControl w:val="0"/>
              <w:jc w:val="center"/>
              <w:rPr>
                <w:snapToGrid w:val="0"/>
                <w:sz w:val="20"/>
              </w:rPr>
            </w:pPr>
            <w:r>
              <w:rPr>
                <w:snapToGrid w:val="0"/>
                <w:sz w:val="20"/>
              </w:rPr>
              <w:t>"Special Consideration"</w:t>
            </w:r>
            <w:r w:rsidR="00766EE8">
              <w:rPr>
                <w:snapToGrid w:val="0"/>
                <w:sz w:val="20"/>
              </w:rPr>
              <w:t>:</w:t>
            </w:r>
          </w:p>
        </w:tc>
        <w:tc>
          <w:tcPr>
            <w:tcW w:w="2694" w:type="dxa"/>
          </w:tcPr>
          <w:p w14:paraId="00D85FA7" w14:textId="77777777" w:rsidR="004A63C7" w:rsidRDefault="005524CE" w:rsidP="00C22D2E">
            <w:pPr>
              <w:widowControl w:val="0"/>
              <w:jc w:val="center"/>
              <w:rPr>
                <w:snapToGrid w:val="0"/>
                <w:sz w:val="20"/>
              </w:rPr>
            </w:pPr>
            <w:r>
              <w:rPr>
                <w:snapToGrid w:val="0"/>
                <w:sz w:val="20"/>
              </w:rPr>
              <w:t xml:space="preserve"> Low to Mod</w:t>
            </w:r>
          </w:p>
        </w:tc>
        <w:tc>
          <w:tcPr>
            <w:tcW w:w="1134" w:type="dxa"/>
            <w:tcBorders>
              <w:top w:val="single" w:sz="12" w:space="0" w:color="auto"/>
              <w:left w:val="single" w:sz="12" w:space="0" w:color="auto"/>
              <w:bottom w:val="single" w:sz="6" w:space="0" w:color="auto"/>
              <w:right w:val="single" w:sz="6" w:space="0" w:color="auto"/>
            </w:tcBorders>
            <w:vAlign w:val="center"/>
          </w:tcPr>
          <w:p w14:paraId="07DA3D4C" w14:textId="77777777" w:rsidR="004A63C7" w:rsidRDefault="004A63C7" w:rsidP="00C22D2E">
            <w:pPr>
              <w:widowControl w:val="0"/>
              <w:jc w:val="center"/>
              <w:rPr>
                <w:snapToGrid w:val="0"/>
                <w:sz w:val="20"/>
              </w:rPr>
            </w:pPr>
            <w:r>
              <w:rPr>
                <w:snapToGrid w:val="0"/>
                <w:sz w:val="20"/>
              </w:rPr>
              <w:t>A</w:t>
            </w:r>
          </w:p>
        </w:tc>
        <w:tc>
          <w:tcPr>
            <w:tcW w:w="1134" w:type="dxa"/>
            <w:tcBorders>
              <w:top w:val="single" w:sz="12" w:space="0" w:color="auto"/>
              <w:left w:val="single" w:sz="6" w:space="0" w:color="auto"/>
              <w:bottom w:val="single" w:sz="6" w:space="0" w:color="auto"/>
              <w:right w:val="single" w:sz="6" w:space="0" w:color="auto"/>
            </w:tcBorders>
            <w:vAlign w:val="center"/>
          </w:tcPr>
          <w:p w14:paraId="5A6E45DB" w14:textId="77777777" w:rsidR="004A63C7" w:rsidRDefault="004A63C7" w:rsidP="00C22D2E">
            <w:pPr>
              <w:widowControl w:val="0"/>
              <w:jc w:val="center"/>
              <w:rPr>
                <w:snapToGrid w:val="0"/>
                <w:sz w:val="20"/>
              </w:rPr>
            </w:pPr>
            <w:r>
              <w:rPr>
                <w:snapToGrid w:val="0"/>
                <w:sz w:val="20"/>
              </w:rPr>
              <w:t>A</w:t>
            </w:r>
            <w:r w:rsidR="005524CE">
              <w:rPr>
                <w:snapToGrid w:val="0"/>
                <w:sz w:val="20"/>
              </w:rPr>
              <w:t>, B</w:t>
            </w:r>
          </w:p>
        </w:tc>
        <w:tc>
          <w:tcPr>
            <w:tcW w:w="1095" w:type="dxa"/>
            <w:tcBorders>
              <w:top w:val="single" w:sz="12" w:space="0" w:color="auto"/>
              <w:left w:val="single" w:sz="6" w:space="0" w:color="auto"/>
              <w:bottom w:val="single" w:sz="6" w:space="0" w:color="auto"/>
              <w:right w:val="single" w:sz="12" w:space="0" w:color="auto"/>
            </w:tcBorders>
            <w:vAlign w:val="center"/>
          </w:tcPr>
          <w:p w14:paraId="537ABF35" w14:textId="77777777" w:rsidR="004A63C7" w:rsidRDefault="004A63C7" w:rsidP="00C22D2E">
            <w:pPr>
              <w:widowControl w:val="0"/>
              <w:jc w:val="center"/>
              <w:rPr>
                <w:snapToGrid w:val="0"/>
                <w:sz w:val="20"/>
              </w:rPr>
            </w:pPr>
            <w:r>
              <w:rPr>
                <w:snapToGrid w:val="0"/>
                <w:sz w:val="20"/>
              </w:rPr>
              <w:t>B</w:t>
            </w:r>
          </w:p>
        </w:tc>
      </w:tr>
      <w:tr w:rsidR="004A63C7" w14:paraId="187B5078" w14:textId="77777777" w:rsidTr="00766EE8">
        <w:trPr>
          <w:jc w:val="center"/>
        </w:trPr>
        <w:tc>
          <w:tcPr>
            <w:tcW w:w="2367" w:type="dxa"/>
          </w:tcPr>
          <w:p w14:paraId="33B5B9CC" w14:textId="77777777" w:rsidR="00A853E1" w:rsidRDefault="00766EE8" w:rsidP="00F6301A">
            <w:pPr>
              <w:widowControl w:val="0"/>
              <w:jc w:val="center"/>
              <w:rPr>
                <w:i/>
                <w:snapToGrid w:val="0"/>
                <w:sz w:val="20"/>
              </w:rPr>
            </w:pPr>
            <w:r>
              <w:rPr>
                <w:i/>
                <w:snapToGrid w:val="0"/>
                <w:sz w:val="20"/>
              </w:rPr>
              <w:t>SMZ</w:t>
            </w:r>
            <w:r w:rsidR="004A63C7">
              <w:rPr>
                <w:i/>
                <w:snapToGrid w:val="0"/>
                <w:sz w:val="20"/>
              </w:rPr>
              <w:t>2, RR</w:t>
            </w:r>
            <w:r w:rsidR="00A853E1">
              <w:rPr>
                <w:i/>
                <w:snapToGrid w:val="0"/>
                <w:sz w:val="20"/>
              </w:rPr>
              <w:t>Z</w:t>
            </w:r>
            <w:r w:rsidR="004A63C7">
              <w:rPr>
                <w:i/>
                <w:snapToGrid w:val="0"/>
                <w:sz w:val="20"/>
              </w:rPr>
              <w:t xml:space="preserve">, </w:t>
            </w:r>
            <w:r w:rsidR="00A853E1">
              <w:rPr>
                <w:i/>
                <w:snapToGrid w:val="0"/>
                <w:sz w:val="20"/>
              </w:rPr>
              <w:t>WTRA, CW</w:t>
            </w:r>
            <w:r w:rsidR="00D728DA">
              <w:rPr>
                <w:i/>
                <w:snapToGrid w:val="0"/>
                <w:sz w:val="20"/>
              </w:rPr>
              <w:t>,</w:t>
            </w:r>
          </w:p>
        </w:tc>
        <w:tc>
          <w:tcPr>
            <w:tcW w:w="2694" w:type="dxa"/>
          </w:tcPr>
          <w:p w14:paraId="5DA58E24" w14:textId="77777777" w:rsidR="004A63C7" w:rsidRDefault="004A63C7" w:rsidP="00C22D2E">
            <w:pPr>
              <w:widowControl w:val="0"/>
              <w:jc w:val="center"/>
              <w:rPr>
                <w:snapToGrid w:val="0"/>
                <w:sz w:val="20"/>
              </w:rPr>
            </w:pPr>
            <w:r>
              <w:rPr>
                <w:snapToGrid w:val="0"/>
                <w:sz w:val="20"/>
              </w:rPr>
              <w:t>High</w:t>
            </w:r>
          </w:p>
        </w:tc>
        <w:tc>
          <w:tcPr>
            <w:tcW w:w="1134" w:type="dxa"/>
            <w:tcBorders>
              <w:top w:val="single" w:sz="6" w:space="0" w:color="auto"/>
              <w:left w:val="single" w:sz="12" w:space="0" w:color="auto"/>
              <w:bottom w:val="single" w:sz="6" w:space="0" w:color="auto"/>
              <w:right w:val="single" w:sz="6" w:space="0" w:color="auto"/>
            </w:tcBorders>
            <w:vAlign w:val="center"/>
          </w:tcPr>
          <w:p w14:paraId="334ADC69" w14:textId="77777777" w:rsidR="004A63C7" w:rsidRDefault="004A63C7" w:rsidP="00C22D2E">
            <w:pPr>
              <w:widowControl w:val="0"/>
              <w:jc w:val="center"/>
              <w:rPr>
                <w:snapToGrid w:val="0"/>
                <w:sz w:val="20"/>
              </w:rPr>
            </w:pPr>
            <w:r>
              <w:rPr>
                <w:snapToGrid w:val="0"/>
                <w:sz w:val="20"/>
              </w:rPr>
              <w:t>A</w:t>
            </w:r>
          </w:p>
        </w:tc>
        <w:tc>
          <w:tcPr>
            <w:tcW w:w="1134" w:type="dxa"/>
            <w:tcBorders>
              <w:top w:val="single" w:sz="6" w:space="0" w:color="auto"/>
              <w:left w:val="single" w:sz="6" w:space="0" w:color="auto"/>
              <w:bottom w:val="single" w:sz="6" w:space="0" w:color="auto"/>
              <w:right w:val="single" w:sz="6" w:space="0" w:color="auto"/>
            </w:tcBorders>
            <w:vAlign w:val="center"/>
          </w:tcPr>
          <w:p w14:paraId="59F6801C" w14:textId="77777777" w:rsidR="004A63C7" w:rsidRDefault="004A63C7" w:rsidP="00C22D2E">
            <w:pPr>
              <w:widowControl w:val="0"/>
              <w:jc w:val="center"/>
              <w:rPr>
                <w:snapToGrid w:val="0"/>
                <w:sz w:val="20"/>
              </w:rPr>
            </w:pPr>
            <w:r>
              <w:rPr>
                <w:snapToGrid w:val="0"/>
                <w:sz w:val="20"/>
              </w:rPr>
              <w:t>B, C</w:t>
            </w:r>
          </w:p>
        </w:tc>
        <w:tc>
          <w:tcPr>
            <w:tcW w:w="1095" w:type="dxa"/>
            <w:tcBorders>
              <w:top w:val="single" w:sz="6" w:space="0" w:color="auto"/>
              <w:left w:val="single" w:sz="6" w:space="0" w:color="auto"/>
              <w:bottom w:val="single" w:sz="6" w:space="0" w:color="auto"/>
              <w:right w:val="single" w:sz="12" w:space="0" w:color="auto"/>
            </w:tcBorders>
            <w:vAlign w:val="center"/>
          </w:tcPr>
          <w:p w14:paraId="609D9573" w14:textId="77777777" w:rsidR="004A63C7" w:rsidRDefault="00F6301A" w:rsidP="00C22D2E">
            <w:pPr>
              <w:widowControl w:val="0"/>
              <w:jc w:val="center"/>
              <w:rPr>
                <w:snapToGrid w:val="0"/>
                <w:sz w:val="20"/>
              </w:rPr>
            </w:pPr>
            <w:r>
              <w:rPr>
                <w:snapToGrid w:val="0"/>
                <w:sz w:val="20"/>
              </w:rPr>
              <w:t>B, C, D</w:t>
            </w:r>
          </w:p>
        </w:tc>
      </w:tr>
      <w:tr w:rsidR="004A63C7" w14:paraId="4191FCB9" w14:textId="77777777" w:rsidTr="00766EE8">
        <w:trPr>
          <w:trHeight w:val="270"/>
          <w:jc w:val="center"/>
        </w:trPr>
        <w:tc>
          <w:tcPr>
            <w:tcW w:w="2367" w:type="dxa"/>
          </w:tcPr>
          <w:p w14:paraId="4DCAD074" w14:textId="77777777" w:rsidR="004A63C7" w:rsidRDefault="00F6301A" w:rsidP="00F6301A">
            <w:pPr>
              <w:widowControl w:val="0"/>
              <w:jc w:val="center"/>
              <w:rPr>
                <w:snapToGrid w:val="0"/>
                <w:sz w:val="20"/>
              </w:rPr>
            </w:pPr>
            <w:r>
              <w:rPr>
                <w:i/>
                <w:snapToGrid w:val="0"/>
                <w:sz w:val="20"/>
              </w:rPr>
              <w:t>WLD</w:t>
            </w:r>
          </w:p>
        </w:tc>
        <w:tc>
          <w:tcPr>
            <w:tcW w:w="2694" w:type="dxa"/>
          </w:tcPr>
          <w:p w14:paraId="78ABC934" w14:textId="77777777" w:rsidR="004A63C7" w:rsidRDefault="004A63C7" w:rsidP="00C22D2E">
            <w:pPr>
              <w:widowControl w:val="0"/>
              <w:jc w:val="center"/>
              <w:rPr>
                <w:snapToGrid w:val="0"/>
                <w:sz w:val="20"/>
              </w:rPr>
            </w:pPr>
            <w:r>
              <w:rPr>
                <w:snapToGrid w:val="0"/>
                <w:sz w:val="20"/>
              </w:rPr>
              <w:t>Extreme</w:t>
            </w:r>
          </w:p>
        </w:tc>
        <w:tc>
          <w:tcPr>
            <w:tcW w:w="1134" w:type="dxa"/>
            <w:tcBorders>
              <w:top w:val="single" w:sz="6" w:space="0" w:color="auto"/>
              <w:left w:val="single" w:sz="12" w:space="0" w:color="auto"/>
              <w:bottom w:val="single" w:sz="12" w:space="0" w:color="auto"/>
              <w:right w:val="single" w:sz="6" w:space="0" w:color="auto"/>
            </w:tcBorders>
            <w:vAlign w:val="center"/>
          </w:tcPr>
          <w:p w14:paraId="7152D2A3" w14:textId="77777777" w:rsidR="004A63C7" w:rsidRDefault="004A63C7" w:rsidP="00C22D2E">
            <w:pPr>
              <w:widowControl w:val="0"/>
              <w:jc w:val="center"/>
              <w:rPr>
                <w:snapToGrid w:val="0"/>
                <w:sz w:val="20"/>
              </w:rPr>
            </w:pPr>
            <w:r>
              <w:rPr>
                <w:snapToGrid w:val="0"/>
                <w:sz w:val="20"/>
              </w:rPr>
              <w:t>A, B</w:t>
            </w:r>
          </w:p>
        </w:tc>
        <w:tc>
          <w:tcPr>
            <w:tcW w:w="1134" w:type="dxa"/>
            <w:tcBorders>
              <w:top w:val="single" w:sz="6" w:space="0" w:color="auto"/>
              <w:left w:val="single" w:sz="6" w:space="0" w:color="auto"/>
              <w:bottom w:val="single" w:sz="12" w:space="0" w:color="auto"/>
              <w:right w:val="single" w:sz="6" w:space="0" w:color="auto"/>
            </w:tcBorders>
            <w:vAlign w:val="center"/>
          </w:tcPr>
          <w:p w14:paraId="1167B612" w14:textId="77777777" w:rsidR="004A63C7" w:rsidRDefault="00F6301A" w:rsidP="00C22D2E">
            <w:pPr>
              <w:widowControl w:val="0"/>
              <w:jc w:val="center"/>
              <w:rPr>
                <w:snapToGrid w:val="0"/>
                <w:sz w:val="20"/>
              </w:rPr>
            </w:pPr>
            <w:r>
              <w:rPr>
                <w:snapToGrid w:val="0"/>
                <w:sz w:val="20"/>
              </w:rPr>
              <w:t>D, E</w:t>
            </w:r>
          </w:p>
        </w:tc>
        <w:tc>
          <w:tcPr>
            <w:tcW w:w="1095" w:type="dxa"/>
            <w:tcBorders>
              <w:top w:val="single" w:sz="6" w:space="0" w:color="auto"/>
              <w:left w:val="single" w:sz="6" w:space="0" w:color="auto"/>
              <w:bottom w:val="single" w:sz="12" w:space="0" w:color="auto"/>
              <w:right w:val="single" w:sz="12" w:space="0" w:color="auto"/>
            </w:tcBorders>
            <w:vAlign w:val="center"/>
          </w:tcPr>
          <w:p w14:paraId="52C097F2" w14:textId="77777777" w:rsidR="004A63C7" w:rsidRDefault="00F6301A" w:rsidP="00C22D2E">
            <w:pPr>
              <w:widowControl w:val="0"/>
              <w:jc w:val="center"/>
              <w:rPr>
                <w:snapToGrid w:val="0"/>
                <w:sz w:val="20"/>
              </w:rPr>
            </w:pPr>
            <w:r>
              <w:rPr>
                <w:snapToGrid w:val="0"/>
                <w:sz w:val="20"/>
              </w:rPr>
              <w:t>B, D, E</w:t>
            </w:r>
          </w:p>
        </w:tc>
      </w:tr>
      <w:tr w:rsidR="004A63C7" w14:paraId="30C1EB48" w14:textId="77777777" w:rsidTr="00766EE8">
        <w:trPr>
          <w:jc w:val="center"/>
        </w:trPr>
        <w:tc>
          <w:tcPr>
            <w:tcW w:w="2367" w:type="dxa"/>
          </w:tcPr>
          <w:p w14:paraId="18992EEF" w14:textId="77777777" w:rsidR="004A63C7" w:rsidRDefault="004A63C7" w:rsidP="00C22D2E">
            <w:pPr>
              <w:widowControl w:val="0"/>
              <w:rPr>
                <w:snapToGrid w:val="0"/>
                <w:sz w:val="20"/>
              </w:rPr>
            </w:pPr>
          </w:p>
        </w:tc>
        <w:tc>
          <w:tcPr>
            <w:tcW w:w="2694" w:type="dxa"/>
          </w:tcPr>
          <w:p w14:paraId="47AA459D" w14:textId="77777777" w:rsidR="004A63C7" w:rsidRDefault="004A63C7" w:rsidP="00C22D2E">
            <w:pPr>
              <w:widowControl w:val="0"/>
              <w:jc w:val="center"/>
              <w:rPr>
                <w:snapToGrid w:val="0"/>
                <w:sz w:val="20"/>
              </w:rPr>
            </w:pPr>
          </w:p>
        </w:tc>
        <w:tc>
          <w:tcPr>
            <w:tcW w:w="1134" w:type="dxa"/>
          </w:tcPr>
          <w:p w14:paraId="6A3D7A1D" w14:textId="77777777" w:rsidR="004A63C7" w:rsidRDefault="004A63C7" w:rsidP="00C22D2E">
            <w:pPr>
              <w:widowControl w:val="0"/>
              <w:rPr>
                <w:snapToGrid w:val="0"/>
                <w:sz w:val="20"/>
              </w:rPr>
            </w:pPr>
          </w:p>
        </w:tc>
        <w:tc>
          <w:tcPr>
            <w:tcW w:w="1134" w:type="dxa"/>
          </w:tcPr>
          <w:p w14:paraId="5382A1D2" w14:textId="77777777" w:rsidR="004A63C7" w:rsidRDefault="004A63C7" w:rsidP="00C22D2E">
            <w:pPr>
              <w:widowControl w:val="0"/>
              <w:jc w:val="center"/>
              <w:rPr>
                <w:snapToGrid w:val="0"/>
                <w:sz w:val="20"/>
              </w:rPr>
            </w:pPr>
          </w:p>
        </w:tc>
        <w:tc>
          <w:tcPr>
            <w:tcW w:w="1095" w:type="dxa"/>
          </w:tcPr>
          <w:p w14:paraId="5586D5B9" w14:textId="77777777" w:rsidR="004A63C7" w:rsidRDefault="004A63C7" w:rsidP="00C22D2E">
            <w:pPr>
              <w:widowControl w:val="0"/>
              <w:jc w:val="center"/>
              <w:rPr>
                <w:snapToGrid w:val="0"/>
                <w:sz w:val="20"/>
              </w:rPr>
            </w:pPr>
          </w:p>
        </w:tc>
      </w:tr>
      <w:tr w:rsidR="004A63C7" w14:paraId="1ECDCB59" w14:textId="77777777" w:rsidTr="00766EE8">
        <w:trPr>
          <w:trHeight w:val="270"/>
          <w:jc w:val="center"/>
        </w:trPr>
        <w:tc>
          <w:tcPr>
            <w:tcW w:w="2367" w:type="dxa"/>
          </w:tcPr>
          <w:p w14:paraId="1A6BF12A" w14:textId="77777777" w:rsidR="004A63C7" w:rsidRDefault="004A63C7" w:rsidP="00C22D2E">
            <w:pPr>
              <w:widowControl w:val="0"/>
              <w:rPr>
                <w:snapToGrid w:val="0"/>
                <w:sz w:val="20"/>
              </w:rPr>
            </w:pPr>
          </w:p>
        </w:tc>
        <w:tc>
          <w:tcPr>
            <w:tcW w:w="2694" w:type="dxa"/>
          </w:tcPr>
          <w:p w14:paraId="3A0FA117" w14:textId="77777777" w:rsidR="004A63C7" w:rsidRDefault="004A63C7" w:rsidP="00C22D2E">
            <w:pPr>
              <w:widowControl w:val="0"/>
              <w:jc w:val="center"/>
              <w:rPr>
                <w:snapToGrid w:val="0"/>
                <w:sz w:val="20"/>
              </w:rPr>
            </w:pPr>
          </w:p>
        </w:tc>
        <w:tc>
          <w:tcPr>
            <w:tcW w:w="1134" w:type="dxa"/>
          </w:tcPr>
          <w:p w14:paraId="04A3B81D" w14:textId="77777777" w:rsidR="004A63C7" w:rsidRDefault="004A63C7" w:rsidP="00C22D2E">
            <w:pPr>
              <w:widowControl w:val="0"/>
              <w:jc w:val="center"/>
              <w:rPr>
                <w:snapToGrid w:val="0"/>
                <w:sz w:val="20"/>
              </w:rPr>
            </w:pPr>
          </w:p>
        </w:tc>
        <w:tc>
          <w:tcPr>
            <w:tcW w:w="1134" w:type="dxa"/>
          </w:tcPr>
          <w:p w14:paraId="17DAF253" w14:textId="77777777" w:rsidR="004A63C7" w:rsidRDefault="004A63C7" w:rsidP="00C22D2E">
            <w:pPr>
              <w:widowControl w:val="0"/>
              <w:jc w:val="center"/>
              <w:rPr>
                <w:snapToGrid w:val="0"/>
                <w:sz w:val="20"/>
              </w:rPr>
            </w:pPr>
          </w:p>
        </w:tc>
        <w:tc>
          <w:tcPr>
            <w:tcW w:w="1095" w:type="dxa"/>
          </w:tcPr>
          <w:p w14:paraId="458F200F" w14:textId="77777777" w:rsidR="004A63C7" w:rsidRDefault="004A63C7" w:rsidP="00C22D2E">
            <w:pPr>
              <w:widowControl w:val="0"/>
              <w:jc w:val="center"/>
              <w:rPr>
                <w:snapToGrid w:val="0"/>
                <w:sz w:val="20"/>
              </w:rPr>
            </w:pPr>
          </w:p>
        </w:tc>
      </w:tr>
      <w:tr w:rsidR="004A63C7" w14:paraId="6E7125B2" w14:textId="77777777" w:rsidTr="00766EE8">
        <w:trPr>
          <w:jc w:val="center"/>
        </w:trPr>
        <w:tc>
          <w:tcPr>
            <w:tcW w:w="2367" w:type="dxa"/>
          </w:tcPr>
          <w:p w14:paraId="57FEDE63" w14:textId="77777777" w:rsidR="004A63C7" w:rsidRDefault="004A63C7" w:rsidP="00C22D2E">
            <w:pPr>
              <w:widowControl w:val="0"/>
              <w:jc w:val="center"/>
              <w:rPr>
                <w:snapToGrid w:val="0"/>
                <w:sz w:val="20"/>
              </w:rPr>
            </w:pPr>
            <w:r>
              <w:rPr>
                <w:snapToGrid w:val="0"/>
                <w:sz w:val="20"/>
              </w:rPr>
              <w:t>"Conventional"</w:t>
            </w:r>
            <w:r w:rsidR="00766EE8">
              <w:rPr>
                <w:snapToGrid w:val="0"/>
                <w:sz w:val="20"/>
              </w:rPr>
              <w:t>:</w:t>
            </w:r>
          </w:p>
        </w:tc>
        <w:tc>
          <w:tcPr>
            <w:tcW w:w="2694" w:type="dxa"/>
          </w:tcPr>
          <w:p w14:paraId="67A659A0" w14:textId="77777777" w:rsidR="004A63C7" w:rsidRDefault="005524CE" w:rsidP="00C22D2E">
            <w:pPr>
              <w:widowControl w:val="0"/>
              <w:jc w:val="center"/>
              <w:rPr>
                <w:snapToGrid w:val="0"/>
                <w:sz w:val="20"/>
              </w:rPr>
            </w:pPr>
            <w:r>
              <w:rPr>
                <w:snapToGrid w:val="0"/>
                <w:sz w:val="20"/>
              </w:rPr>
              <w:t>Low – Mod</w:t>
            </w:r>
          </w:p>
        </w:tc>
        <w:tc>
          <w:tcPr>
            <w:tcW w:w="1134" w:type="dxa"/>
            <w:tcBorders>
              <w:top w:val="single" w:sz="12" w:space="0" w:color="auto"/>
              <w:left w:val="single" w:sz="12" w:space="0" w:color="auto"/>
              <w:bottom w:val="single" w:sz="6" w:space="0" w:color="auto"/>
              <w:right w:val="single" w:sz="6" w:space="0" w:color="auto"/>
            </w:tcBorders>
            <w:vAlign w:val="center"/>
          </w:tcPr>
          <w:p w14:paraId="73C92AE9" w14:textId="77777777" w:rsidR="004A63C7" w:rsidRDefault="004A63C7" w:rsidP="00C22D2E">
            <w:pPr>
              <w:widowControl w:val="0"/>
              <w:jc w:val="center"/>
              <w:rPr>
                <w:snapToGrid w:val="0"/>
                <w:sz w:val="20"/>
              </w:rPr>
            </w:pPr>
            <w:r>
              <w:rPr>
                <w:snapToGrid w:val="0"/>
                <w:sz w:val="20"/>
              </w:rPr>
              <w:t>A</w:t>
            </w:r>
          </w:p>
        </w:tc>
        <w:tc>
          <w:tcPr>
            <w:tcW w:w="1134" w:type="dxa"/>
            <w:tcBorders>
              <w:top w:val="single" w:sz="12" w:space="0" w:color="auto"/>
              <w:left w:val="single" w:sz="6" w:space="0" w:color="auto"/>
              <w:bottom w:val="single" w:sz="6" w:space="0" w:color="auto"/>
              <w:right w:val="single" w:sz="6" w:space="0" w:color="auto"/>
            </w:tcBorders>
            <w:vAlign w:val="center"/>
          </w:tcPr>
          <w:p w14:paraId="07801A0B" w14:textId="77777777" w:rsidR="004A63C7" w:rsidRDefault="004A63C7" w:rsidP="00C22D2E">
            <w:pPr>
              <w:widowControl w:val="0"/>
              <w:jc w:val="center"/>
              <w:rPr>
                <w:snapToGrid w:val="0"/>
                <w:sz w:val="20"/>
              </w:rPr>
            </w:pPr>
            <w:r>
              <w:rPr>
                <w:snapToGrid w:val="0"/>
                <w:sz w:val="20"/>
              </w:rPr>
              <w:t>B, C, D</w:t>
            </w:r>
          </w:p>
        </w:tc>
        <w:tc>
          <w:tcPr>
            <w:tcW w:w="1095" w:type="dxa"/>
            <w:tcBorders>
              <w:top w:val="single" w:sz="12" w:space="0" w:color="auto"/>
              <w:left w:val="single" w:sz="6" w:space="0" w:color="auto"/>
              <w:bottom w:val="single" w:sz="6" w:space="0" w:color="auto"/>
              <w:right w:val="single" w:sz="12" w:space="0" w:color="auto"/>
            </w:tcBorders>
            <w:vAlign w:val="center"/>
          </w:tcPr>
          <w:p w14:paraId="5873D2F7" w14:textId="77777777" w:rsidR="004A63C7" w:rsidRDefault="00F6301A" w:rsidP="00C22D2E">
            <w:pPr>
              <w:widowControl w:val="0"/>
              <w:jc w:val="center"/>
              <w:rPr>
                <w:snapToGrid w:val="0"/>
                <w:sz w:val="20"/>
              </w:rPr>
            </w:pPr>
            <w:r>
              <w:rPr>
                <w:snapToGrid w:val="0"/>
                <w:sz w:val="20"/>
              </w:rPr>
              <w:t>B to D</w:t>
            </w:r>
          </w:p>
        </w:tc>
      </w:tr>
      <w:tr w:rsidR="004A63C7" w14:paraId="4D7A9903" w14:textId="77777777" w:rsidTr="00766EE8">
        <w:trPr>
          <w:jc w:val="center"/>
        </w:trPr>
        <w:tc>
          <w:tcPr>
            <w:tcW w:w="2367" w:type="dxa"/>
          </w:tcPr>
          <w:p w14:paraId="05C000F3" w14:textId="77777777" w:rsidR="004A63C7" w:rsidRDefault="004A63C7" w:rsidP="00D728DA">
            <w:pPr>
              <w:widowControl w:val="0"/>
              <w:jc w:val="center"/>
              <w:rPr>
                <w:i/>
                <w:snapToGrid w:val="0"/>
                <w:sz w:val="20"/>
              </w:rPr>
            </w:pPr>
            <w:r>
              <w:rPr>
                <w:i/>
                <w:snapToGrid w:val="0"/>
                <w:sz w:val="20"/>
              </w:rPr>
              <w:t>ETD, IRM, RMZ, L</w:t>
            </w:r>
            <w:r w:rsidR="00766EE8">
              <w:rPr>
                <w:i/>
                <w:snapToGrid w:val="0"/>
                <w:sz w:val="20"/>
              </w:rPr>
              <w:t>R</w:t>
            </w:r>
            <w:r>
              <w:rPr>
                <w:i/>
                <w:snapToGrid w:val="0"/>
                <w:sz w:val="20"/>
              </w:rPr>
              <w:t>C</w:t>
            </w:r>
          </w:p>
        </w:tc>
        <w:tc>
          <w:tcPr>
            <w:tcW w:w="2694" w:type="dxa"/>
          </w:tcPr>
          <w:p w14:paraId="31F11151" w14:textId="77777777" w:rsidR="004A63C7" w:rsidRDefault="004A63C7" w:rsidP="00C22D2E">
            <w:pPr>
              <w:widowControl w:val="0"/>
              <w:jc w:val="center"/>
              <w:rPr>
                <w:snapToGrid w:val="0"/>
                <w:sz w:val="20"/>
              </w:rPr>
            </w:pPr>
            <w:r>
              <w:rPr>
                <w:snapToGrid w:val="0"/>
                <w:sz w:val="20"/>
              </w:rPr>
              <w:t>High</w:t>
            </w:r>
          </w:p>
        </w:tc>
        <w:tc>
          <w:tcPr>
            <w:tcW w:w="1134" w:type="dxa"/>
            <w:tcBorders>
              <w:top w:val="single" w:sz="6" w:space="0" w:color="auto"/>
              <w:left w:val="single" w:sz="12" w:space="0" w:color="auto"/>
              <w:bottom w:val="single" w:sz="6" w:space="0" w:color="auto"/>
              <w:right w:val="single" w:sz="6" w:space="0" w:color="auto"/>
            </w:tcBorders>
            <w:vAlign w:val="center"/>
          </w:tcPr>
          <w:p w14:paraId="08321C42" w14:textId="77777777" w:rsidR="004A63C7" w:rsidRDefault="004A63C7" w:rsidP="00C22D2E">
            <w:pPr>
              <w:widowControl w:val="0"/>
              <w:jc w:val="center"/>
              <w:rPr>
                <w:snapToGrid w:val="0"/>
                <w:sz w:val="20"/>
              </w:rPr>
            </w:pPr>
            <w:r>
              <w:rPr>
                <w:snapToGrid w:val="0"/>
                <w:sz w:val="20"/>
              </w:rPr>
              <w:t>A, B, D</w:t>
            </w:r>
          </w:p>
        </w:tc>
        <w:tc>
          <w:tcPr>
            <w:tcW w:w="1134" w:type="dxa"/>
            <w:tcBorders>
              <w:top w:val="single" w:sz="6" w:space="0" w:color="auto"/>
              <w:left w:val="single" w:sz="6" w:space="0" w:color="auto"/>
              <w:bottom w:val="single" w:sz="6" w:space="0" w:color="auto"/>
              <w:right w:val="single" w:sz="6" w:space="0" w:color="auto"/>
            </w:tcBorders>
            <w:vAlign w:val="center"/>
          </w:tcPr>
          <w:p w14:paraId="0572BC90" w14:textId="77777777" w:rsidR="004A63C7" w:rsidRDefault="00F6301A" w:rsidP="00C22D2E">
            <w:pPr>
              <w:widowControl w:val="0"/>
              <w:jc w:val="center"/>
              <w:rPr>
                <w:snapToGrid w:val="0"/>
                <w:sz w:val="20"/>
              </w:rPr>
            </w:pPr>
            <w:r>
              <w:rPr>
                <w:snapToGrid w:val="0"/>
                <w:sz w:val="20"/>
              </w:rPr>
              <w:t>B to E</w:t>
            </w:r>
          </w:p>
        </w:tc>
        <w:tc>
          <w:tcPr>
            <w:tcW w:w="1095" w:type="dxa"/>
            <w:tcBorders>
              <w:top w:val="single" w:sz="6" w:space="0" w:color="auto"/>
              <w:left w:val="single" w:sz="6" w:space="0" w:color="auto"/>
              <w:bottom w:val="single" w:sz="6" w:space="0" w:color="auto"/>
              <w:right w:val="single" w:sz="12" w:space="0" w:color="auto"/>
            </w:tcBorders>
            <w:vAlign w:val="center"/>
          </w:tcPr>
          <w:p w14:paraId="1DB896B6" w14:textId="77777777" w:rsidR="004A63C7" w:rsidRDefault="00F6301A" w:rsidP="00C22D2E">
            <w:pPr>
              <w:widowControl w:val="0"/>
              <w:jc w:val="center"/>
              <w:rPr>
                <w:snapToGrid w:val="0"/>
                <w:sz w:val="20"/>
              </w:rPr>
            </w:pPr>
            <w:r>
              <w:rPr>
                <w:snapToGrid w:val="0"/>
                <w:sz w:val="20"/>
              </w:rPr>
              <w:t>C, D, E</w:t>
            </w:r>
          </w:p>
        </w:tc>
      </w:tr>
      <w:tr w:rsidR="004A63C7" w14:paraId="71650AEB" w14:textId="77777777" w:rsidTr="00766EE8">
        <w:trPr>
          <w:trHeight w:val="270"/>
          <w:jc w:val="center"/>
        </w:trPr>
        <w:tc>
          <w:tcPr>
            <w:tcW w:w="2367" w:type="dxa"/>
          </w:tcPr>
          <w:p w14:paraId="734CDA35" w14:textId="77777777" w:rsidR="004A63C7" w:rsidRDefault="004A63C7" w:rsidP="00C22D2E">
            <w:pPr>
              <w:widowControl w:val="0"/>
              <w:rPr>
                <w:snapToGrid w:val="0"/>
                <w:sz w:val="20"/>
              </w:rPr>
            </w:pPr>
          </w:p>
        </w:tc>
        <w:tc>
          <w:tcPr>
            <w:tcW w:w="2694" w:type="dxa"/>
          </w:tcPr>
          <w:p w14:paraId="665C2674" w14:textId="77777777" w:rsidR="004A63C7" w:rsidRDefault="004A63C7" w:rsidP="00C22D2E">
            <w:pPr>
              <w:widowControl w:val="0"/>
              <w:jc w:val="center"/>
              <w:rPr>
                <w:snapToGrid w:val="0"/>
                <w:sz w:val="20"/>
              </w:rPr>
            </w:pPr>
            <w:r>
              <w:rPr>
                <w:snapToGrid w:val="0"/>
                <w:sz w:val="20"/>
              </w:rPr>
              <w:t>Extreme</w:t>
            </w:r>
          </w:p>
        </w:tc>
        <w:tc>
          <w:tcPr>
            <w:tcW w:w="1134" w:type="dxa"/>
            <w:tcBorders>
              <w:top w:val="single" w:sz="6" w:space="0" w:color="auto"/>
              <w:left w:val="single" w:sz="12" w:space="0" w:color="auto"/>
              <w:bottom w:val="single" w:sz="12" w:space="0" w:color="auto"/>
              <w:right w:val="single" w:sz="6" w:space="0" w:color="auto"/>
            </w:tcBorders>
            <w:vAlign w:val="center"/>
          </w:tcPr>
          <w:p w14:paraId="783C0C13" w14:textId="77777777" w:rsidR="004A63C7" w:rsidRDefault="004A63C7" w:rsidP="00C22D2E">
            <w:pPr>
              <w:widowControl w:val="0"/>
              <w:jc w:val="center"/>
              <w:rPr>
                <w:snapToGrid w:val="0"/>
                <w:sz w:val="20"/>
              </w:rPr>
            </w:pPr>
            <w:r>
              <w:rPr>
                <w:snapToGrid w:val="0"/>
                <w:sz w:val="20"/>
              </w:rPr>
              <w:t>A, B, D</w:t>
            </w:r>
          </w:p>
        </w:tc>
        <w:tc>
          <w:tcPr>
            <w:tcW w:w="1134" w:type="dxa"/>
            <w:tcBorders>
              <w:top w:val="single" w:sz="6" w:space="0" w:color="auto"/>
              <w:left w:val="single" w:sz="6" w:space="0" w:color="auto"/>
              <w:bottom w:val="single" w:sz="12" w:space="0" w:color="auto"/>
              <w:right w:val="single" w:sz="6" w:space="0" w:color="auto"/>
            </w:tcBorders>
            <w:vAlign w:val="center"/>
          </w:tcPr>
          <w:p w14:paraId="32A8303C" w14:textId="77777777" w:rsidR="004A63C7" w:rsidRDefault="00F6301A" w:rsidP="00C22D2E">
            <w:pPr>
              <w:widowControl w:val="0"/>
              <w:jc w:val="center"/>
              <w:rPr>
                <w:snapToGrid w:val="0"/>
                <w:sz w:val="20"/>
              </w:rPr>
            </w:pPr>
            <w:r>
              <w:rPr>
                <w:snapToGrid w:val="0"/>
                <w:sz w:val="20"/>
              </w:rPr>
              <w:t>B to E</w:t>
            </w:r>
          </w:p>
        </w:tc>
        <w:tc>
          <w:tcPr>
            <w:tcW w:w="1095" w:type="dxa"/>
            <w:tcBorders>
              <w:top w:val="single" w:sz="6" w:space="0" w:color="auto"/>
              <w:left w:val="single" w:sz="6" w:space="0" w:color="auto"/>
              <w:bottom w:val="single" w:sz="12" w:space="0" w:color="auto"/>
              <w:right w:val="single" w:sz="12" w:space="0" w:color="auto"/>
            </w:tcBorders>
            <w:vAlign w:val="center"/>
          </w:tcPr>
          <w:p w14:paraId="794F4709" w14:textId="77777777" w:rsidR="004A63C7" w:rsidRDefault="00F6301A" w:rsidP="00F6301A">
            <w:pPr>
              <w:widowControl w:val="0"/>
              <w:jc w:val="center"/>
              <w:rPr>
                <w:snapToGrid w:val="0"/>
                <w:sz w:val="20"/>
              </w:rPr>
            </w:pPr>
            <w:r>
              <w:rPr>
                <w:snapToGrid w:val="0"/>
                <w:sz w:val="20"/>
              </w:rPr>
              <w:t>C, D</w:t>
            </w:r>
            <w:r w:rsidR="004A63C7">
              <w:rPr>
                <w:snapToGrid w:val="0"/>
                <w:sz w:val="20"/>
              </w:rPr>
              <w:t xml:space="preserve">, </w:t>
            </w:r>
            <w:r>
              <w:rPr>
                <w:snapToGrid w:val="0"/>
                <w:sz w:val="20"/>
              </w:rPr>
              <w:t>E</w:t>
            </w:r>
          </w:p>
        </w:tc>
      </w:tr>
    </w:tbl>
    <w:p w14:paraId="4C60D3E1" w14:textId="77777777" w:rsidR="004A63C7" w:rsidRDefault="004A63C7" w:rsidP="004A63C7">
      <w:pPr>
        <w:widowControl w:val="0"/>
        <w:rPr>
          <w:snapToGrid w:val="0"/>
          <w:sz w:val="20"/>
        </w:rPr>
      </w:pPr>
    </w:p>
    <w:p w14:paraId="39AD37FB" w14:textId="77777777" w:rsidR="004A63C7" w:rsidRPr="00766EE8" w:rsidRDefault="004A63C7" w:rsidP="00766EE8">
      <w:pPr>
        <w:ind w:firstLine="720"/>
        <w:rPr>
          <w:sz w:val="20"/>
          <w:u w:val="single"/>
        </w:rPr>
      </w:pPr>
      <w:r w:rsidRPr="00766EE8">
        <w:rPr>
          <w:sz w:val="20"/>
          <w:u w:val="single"/>
        </w:rPr>
        <w:t>Zonation</w:t>
      </w:r>
    </w:p>
    <w:p w14:paraId="45495879" w14:textId="77777777" w:rsidR="00766EE8" w:rsidRDefault="00766EE8" w:rsidP="004A63C7">
      <w:pPr>
        <w:widowControl w:val="0"/>
        <w:tabs>
          <w:tab w:val="left" w:pos="1584"/>
          <w:tab w:val="left" w:pos="3574"/>
        </w:tabs>
        <w:ind w:left="720"/>
        <w:rPr>
          <w:snapToGrid w:val="0"/>
          <w:sz w:val="20"/>
        </w:rPr>
      </w:pPr>
      <w:r>
        <w:rPr>
          <w:snapToGrid w:val="0"/>
          <w:sz w:val="20"/>
        </w:rPr>
        <w:t>PR</w:t>
      </w:r>
      <w:r>
        <w:rPr>
          <w:snapToGrid w:val="0"/>
          <w:sz w:val="20"/>
        </w:rPr>
        <w:tab/>
        <w:t xml:space="preserve">Protected (Park, </w:t>
      </w:r>
      <w:proofErr w:type="spellStart"/>
      <w:r>
        <w:rPr>
          <w:snapToGrid w:val="0"/>
          <w:sz w:val="20"/>
        </w:rPr>
        <w:t>EcoReserve</w:t>
      </w:r>
      <w:proofErr w:type="spellEnd"/>
      <w:r>
        <w:rPr>
          <w:snapToGrid w:val="0"/>
          <w:sz w:val="20"/>
        </w:rPr>
        <w:t>)</w:t>
      </w:r>
    </w:p>
    <w:p w14:paraId="29D3EDF4" w14:textId="77777777" w:rsidR="00766EE8" w:rsidRDefault="00D728DA" w:rsidP="004A63C7">
      <w:pPr>
        <w:widowControl w:val="0"/>
        <w:tabs>
          <w:tab w:val="left" w:pos="1584"/>
          <w:tab w:val="left" w:pos="3574"/>
        </w:tabs>
        <w:ind w:left="720"/>
        <w:rPr>
          <w:snapToGrid w:val="0"/>
          <w:sz w:val="20"/>
        </w:rPr>
      </w:pPr>
      <w:r>
        <w:rPr>
          <w:snapToGrid w:val="0"/>
          <w:sz w:val="20"/>
        </w:rPr>
        <w:t>SMZ 1</w:t>
      </w:r>
      <w:r>
        <w:rPr>
          <w:snapToGrid w:val="0"/>
          <w:sz w:val="20"/>
        </w:rPr>
        <w:tab/>
        <w:t>Special Mgt Zone</w:t>
      </w:r>
      <w:r w:rsidR="00766EE8">
        <w:rPr>
          <w:snapToGrid w:val="0"/>
          <w:sz w:val="20"/>
        </w:rPr>
        <w:t xml:space="preserve"> (no harvest)</w:t>
      </w:r>
    </w:p>
    <w:p w14:paraId="425C74DE" w14:textId="77777777" w:rsidR="00766EE8" w:rsidRDefault="00766EE8" w:rsidP="004A63C7">
      <w:pPr>
        <w:widowControl w:val="0"/>
        <w:tabs>
          <w:tab w:val="left" w:pos="1584"/>
          <w:tab w:val="left" w:pos="3574"/>
        </w:tabs>
        <w:ind w:left="720"/>
        <w:rPr>
          <w:snapToGrid w:val="0"/>
          <w:sz w:val="20"/>
        </w:rPr>
      </w:pPr>
      <w:r>
        <w:rPr>
          <w:snapToGrid w:val="0"/>
          <w:sz w:val="20"/>
        </w:rPr>
        <w:t>CE</w:t>
      </w:r>
      <w:r w:rsidR="004A63C7">
        <w:rPr>
          <w:snapToGrid w:val="0"/>
          <w:sz w:val="20"/>
        </w:rPr>
        <w:tab/>
      </w:r>
      <w:r w:rsidR="00A853E1">
        <w:rPr>
          <w:snapToGrid w:val="0"/>
          <w:sz w:val="20"/>
        </w:rPr>
        <w:t xml:space="preserve">Forest Ecosystem Network - </w:t>
      </w:r>
      <w:r w:rsidR="004A63C7">
        <w:rPr>
          <w:snapToGrid w:val="0"/>
          <w:sz w:val="20"/>
        </w:rPr>
        <w:t>Core</w:t>
      </w:r>
      <w:r>
        <w:rPr>
          <w:snapToGrid w:val="0"/>
          <w:sz w:val="20"/>
        </w:rPr>
        <w:t xml:space="preserve"> </w:t>
      </w:r>
      <w:r w:rsidR="00A853E1">
        <w:rPr>
          <w:snapToGrid w:val="0"/>
          <w:sz w:val="20"/>
        </w:rPr>
        <w:t>area</w:t>
      </w:r>
    </w:p>
    <w:p w14:paraId="6FFC5092" w14:textId="77777777" w:rsidR="00A853E1" w:rsidRDefault="00A853E1" w:rsidP="004A63C7">
      <w:pPr>
        <w:widowControl w:val="0"/>
        <w:tabs>
          <w:tab w:val="left" w:pos="1584"/>
          <w:tab w:val="left" w:pos="3574"/>
        </w:tabs>
        <w:ind w:left="720"/>
        <w:rPr>
          <w:snapToGrid w:val="0"/>
          <w:sz w:val="20"/>
        </w:rPr>
      </w:pPr>
      <w:r>
        <w:rPr>
          <w:snapToGrid w:val="0"/>
          <w:sz w:val="20"/>
        </w:rPr>
        <w:t>OGMA</w:t>
      </w:r>
      <w:r>
        <w:rPr>
          <w:snapToGrid w:val="0"/>
          <w:sz w:val="20"/>
        </w:rPr>
        <w:tab/>
        <w:t>Old Growth Management Area</w:t>
      </w:r>
    </w:p>
    <w:p w14:paraId="3DABEEC5" w14:textId="77777777" w:rsidR="00A853E1" w:rsidRDefault="00A853E1" w:rsidP="004A63C7">
      <w:pPr>
        <w:widowControl w:val="0"/>
        <w:tabs>
          <w:tab w:val="left" w:pos="1584"/>
          <w:tab w:val="left" w:pos="3574"/>
        </w:tabs>
        <w:ind w:left="720"/>
        <w:rPr>
          <w:snapToGrid w:val="0"/>
          <w:sz w:val="20"/>
        </w:rPr>
      </w:pPr>
      <w:r>
        <w:rPr>
          <w:snapToGrid w:val="0"/>
          <w:sz w:val="20"/>
        </w:rPr>
        <w:t>SA</w:t>
      </w:r>
      <w:r>
        <w:rPr>
          <w:snapToGrid w:val="0"/>
          <w:sz w:val="20"/>
        </w:rPr>
        <w:tab/>
        <w:t>Sensitive Area</w:t>
      </w:r>
    </w:p>
    <w:p w14:paraId="07F3CD9E" w14:textId="77777777" w:rsidR="00A853E1" w:rsidRDefault="00A853E1" w:rsidP="004A63C7">
      <w:pPr>
        <w:widowControl w:val="0"/>
        <w:tabs>
          <w:tab w:val="left" w:pos="1584"/>
          <w:tab w:val="left" w:pos="3574"/>
        </w:tabs>
        <w:ind w:left="720"/>
        <w:rPr>
          <w:snapToGrid w:val="0"/>
          <w:sz w:val="20"/>
        </w:rPr>
      </w:pPr>
      <w:r>
        <w:rPr>
          <w:snapToGrid w:val="0"/>
          <w:sz w:val="20"/>
        </w:rPr>
        <w:t xml:space="preserve">NCO </w:t>
      </w:r>
      <w:r>
        <w:rPr>
          <w:snapToGrid w:val="0"/>
          <w:sz w:val="20"/>
        </w:rPr>
        <w:tab/>
        <w:t>Non-Crown (</w:t>
      </w:r>
      <w:proofErr w:type="gramStart"/>
      <w:r>
        <w:rPr>
          <w:snapToGrid w:val="0"/>
          <w:sz w:val="20"/>
        </w:rPr>
        <w:t>e.g.</w:t>
      </w:r>
      <w:proofErr w:type="gramEnd"/>
      <w:r>
        <w:rPr>
          <w:snapToGrid w:val="0"/>
          <w:sz w:val="20"/>
        </w:rPr>
        <w:t xml:space="preserve"> Private Land, Indian Reserve)</w:t>
      </w:r>
    </w:p>
    <w:p w14:paraId="2F23D5E8" w14:textId="77777777" w:rsidR="00D728DA" w:rsidRDefault="00D728DA" w:rsidP="004A63C7">
      <w:pPr>
        <w:widowControl w:val="0"/>
        <w:tabs>
          <w:tab w:val="left" w:pos="1584"/>
          <w:tab w:val="left" w:pos="3574"/>
        </w:tabs>
        <w:ind w:left="720"/>
        <w:rPr>
          <w:snapToGrid w:val="0"/>
          <w:sz w:val="20"/>
        </w:rPr>
      </w:pPr>
      <w:r>
        <w:rPr>
          <w:snapToGrid w:val="0"/>
          <w:sz w:val="20"/>
        </w:rPr>
        <w:t>PVQ</w:t>
      </w:r>
      <w:r>
        <w:rPr>
          <w:snapToGrid w:val="0"/>
          <w:sz w:val="20"/>
        </w:rPr>
        <w:tab/>
        <w:t>“Preservation” Visual Quality Objective</w:t>
      </w:r>
    </w:p>
    <w:p w14:paraId="0CD1DEE8" w14:textId="77777777" w:rsidR="00766EE8" w:rsidRDefault="00766EE8" w:rsidP="00766EE8">
      <w:pPr>
        <w:widowControl w:val="0"/>
        <w:tabs>
          <w:tab w:val="left" w:pos="1584"/>
          <w:tab w:val="left" w:pos="3574"/>
        </w:tabs>
        <w:ind w:left="720"/>
        <w:rPr>
          <w:snapToGrid w:val="0"/>
          <w:sz w:val="20"/>
        </w:rPr>
      </w:pPr>
      <w:r>
        <w:rPr>
          <w:snapToGrid w:val="0"/>
          <w:sz w:val="20"/>
        </w:rPr>
        <w:t>SMZ2</w:t>
      </w:r>
      <w:r>
        <w:rPr>
          <w:snapToGrid w:val="0"/>
          <w:sz w:val="20"/>
        </w:rPr>
        <w:tab/>
        <w:t xml:space="preserve">Special Mgt </w:t>
      </w:r>
      <w:r w:rsidR="00D728DA">
        <w:rPr>
          <w:snapToGrid w:val="0"/>
          <w:sz w:val="20"/>
        </w:rPr>
        <w:t>Zone</w:t>
      </w:r>
      <w:r>
        <w:rPr>
          <w:snapToGrid w:val="0"/>
          <w:sz w:val="20"/>
        </w:rPr>
        <w:t xml:space="preserve"> (resource value emphasis)</w:t>
      </w:r>
    </w:p>
    <w:p w14:paraId="6A61118B" w14:textId="77777777" w:rsidR="00766EE8" w:rsidRDefault="00766EE8" w:rsidP="00766EE8">
      <w:pPr>
        <w:widowControl w:val="0"/>
        <w:tabs>
          <w:tab w:val="left" w:pos="1584"/>
          <w:tab w:val="left" w:pos="3574"/>
        </w:tabs>
        <w:ind w:left="720"/>
        <w:rPr>
          <w:snapToGrid w:val="0"/>
          <w:sz w:val="20"/>
        </w:rPr>
      </w:pPr>
      <w:r>
        <w:rPr>
          <w:snapToGrid w:val="0"/>
          <w:sz w:val="20"/>
        </w:rPr>
        <w:t>RR</w:t>
      </w:r>
      <w:r w:rsidR="00A853E1">
        <w:rPr>
          <w:snapToGrid w:val="0"/>
          <w:sz w:val="20"/>
        </w:rPr>
        <w:t>Z</w:t>
      </w:r>
      <w:r>
        <w:rPr>
          <w:snapToGrid w:val="0"/>
          <w:sz w:val="20"/>
        </w:rPr>
        <w:tab/>
        <w:t>On-block Riparian Reserve</w:t>
      </w:r>
      <w:r w:rsidR="00A853E1">
        <w:rPr>
          <w:snapToGrid w:val="0"/>
          <w:sz w:val="20"/>
        </w:rPr>
        <w:t xml:space="preserve"> Zone</w:t>
      </w:r>
    </w:p>
    <w:p w14:paraId="28EAE23B" w14:textId="77777777" w:rsidR="00D728DA" w:rsidRDefault="00D728DA" w:rsidP="00766EE8">
      <w:pPr>
        <w:widowControl w:val="0"/>
        <w:tabs>
          <w:tab w:val="left" w:pos="1584"/>
          <w:tab w:val="left" w:pos="3574"/>
        </w:tabs>
        <w:ind w:left="720"/>
        <w:rPr>
          <w:snapToGrid w:val="0"/>
          <w:sz w:val="20"/>
        </w:rPr>
      </w:pPr>
      <w:r>
        <w:rPr>
          <w:snapToGrid w:val="0"/>
          <w:sz w:val="20"/>
        </w:rPr>
        <w:t>WLD</w:t>
      </w:r>
      <w:r>
        <w:rPr>
          <w:snapToGrid w:val="0"/>
          <w:sz w:val="20"/>
        </w:rPr>
        <w:tab/>
        <w:t xml:space="preserve">Wildlife Habitat (legal objective) – </w:t>
      </w:r>
      <w:proofErr w:type="spellStart"/>
      <w:r>
        <w:rPr>
          <w:snapToGrid w:val="0"/>
          <w:sz w:val="20"/>
        </w:rPr>
        <w:t>e.g</w:t>
      </w:r>
      <w:proofErr w:type="spellEnd"/>
      <w:r>
        <w:rPr>
          <w:snapToGrid w:val="0"/>
          <w:sz w:val="20"/>
        </w:rPr>
        <w:t xml:space="preserve"> </w:t>
      </w:r>
      <w:proofErr w:type="spellStart"/>
      <w:r>
        <w:rPr>
          <w:snapToGrid w:val="0"/>
          <w:sz w:val="20"/>
        </w:rPr>
        <w:t>Telkwa</w:t>
      </w:r>
      <w:proofErr w:type="spellEnd"/>
      <w:r>
        <w:rPr>
          <w:snapToGrid w:val="0"/>
          <w:sz w:val="20"/>
        </w:rPr>
        <w:t xml:space="preserve"> Caribou</w:t>
      </w:r>
    </w:p>
    <w:p w14:paraId="55F5B804" w14:textId="77777777" w:rsidR="00A853E1" w:rsidRDefault="00A853E1" w:rsidP="00766EE8">
      <w:pPr>
        <w:widowControl w:val="0"/>
        <w:tabs>
          <w:tab w:val="left" w:pos="1584"/>
          <w:tab w:val="left" w:pos="3574"/>
        </w:tabs>
        <w:ind w:left="720"/>
        <w:rPr>
          <w:snapToGrid w:val="0"/>
          <w:sz w:val="20"/>
        </w:rPr>
      </w:pPr>
      <w:r>
        <w:rPr>
          <w:snapToGrid w:val="0"/>
          <w:sz w:val="20"/>
        </w:rPr>
        <w:t>WTRA</w:t>
      </w:r>
      <w:r>
        <w:rPr>
          <w:snapToGrid w:val="0"/>
          <w:sz w:val="20"/>
        </w:rPr>
        <w:tab/>
        <w:t>Wildlife Tree Retention areas</w:t>
      </w:r>
    </w:p>
    <w:p w14:paraId="4EA14F56" w14:textId="77777777" w:rsidR="00A853E1" w:rsidRDefault="00A853E1" w:rsidP="00766EE8">
      <w:pPr>
        <w:widowControl w:val="0"/>
        <w:tabs>
          <w:tab w:val="left" w:pos="1584"/>
          <w:tab w:val="left" w:pos="3574"/>
        </w:tabs>
        <w:ind w:left="720"/>
        <w:rPr>
          <w:snapToGrid w:val="0"/>
          <w:sz w:val="20"/>
        </w:rPr>
      </w:pPr>
      <w:r>
        <w:rPr>
          <w:snapToGrid w:val="0"/>
          <w:sz w:val="20"/>
        </w:rPr>
        <w:t>CW</w:t>
      </w:r>
      <w:r>
        <w:rPr>
          <w:snapToGrid w:val="0"/>
          <w:sz w:val="20"/>
        </w:rPr>
        <w:tab/>
        <w:t>Community Watersheds</w:t>
      </w:r>
    </w:p>
    <w:p w14:paraId="1D6D86F0" w14:textId="77777777" w:rsidR="00D728DA" w:rsidRDefault="00D728DA" w:rsidP="00766EE8">
      <w:pPr>
        <w:widowControl w:val="0"/>
        <w:tabs>
          <w:tab w:val="left" w:pos="1584"/>
          <w:tab w:val="left" w:pos="3574"/>
        </w:tabs>
        <w:ind w:left="720"/>
        <w:rPr>
          <w:snapToGrid w:val="0"/>
          <w:sz w:val="20"/>
        </w:rPr>
      </w:pPr>
      <w:r>
        <w:rPr>
          <w:snapToGrid w:val="0"/>
          <w:sz w:val="20"/>
        </w:rPr>
        <w:t>ETD</w:t>
      </w:r>
      <w:r>
        <w:rPr>
          <w:snapToGrid w:val="0"/>
          <w:sz w:val="20"/>
        </w:rPr>
        <w:tab/>
        <w:t>Enhanced Timber Development</w:t>
      </w:r>
    </w:p>
    <w:p w14:paraId="0DDE5FDC" w14:textId="77777777" w:rsidR="00D728DA" w:rsidRDefault="00D728DA" w:rsidP="00766EE8">
      <w:pPr>
        <w:widowControl w:val="0"/>
        <w:tabs>
          <w:tab w:val="left" w:pos="1584"/>
          <w:tab w:val="left" w:pos="3574"/>
        </w:tabs>
        <w:ind w:left="720"/>
        <w:rPr>
          <w:snapToGrid w:val="0"/>
          <w:sz w:val="20"/>
        </w:rPr>
      </w:pPr>
      <w:r>
        <w:rPr>
          <w:snapToGrid w:val="0"/>
          <w:sz w:val="20"/>
        </w:rPr>
        <w:t>IRM</w:t>
      </w:r>
      <w:r>
        <w:rPr>
          <w:snapToGrid w:val="0"/>
          <w:sz w:val="20"/>
        </w:rPr>
        <w:tab/>
        <w:t>Integrated Resource Management</w:t>
      </w:r>
    </w:p>
    <w:p w14:paraId="27103704" w14:textId="77777777" w:rsidR="00D728DA" w:rsidRDefault="00D728DA" w:rsidP="00766EE8">
      <w:pPr>
        <w:widowControl w:val="0"/>
        <w:tabs>
          <w:tab w:val="left" w:pos="1584"/>
          <w:tab w:val="left" w:pos="3574"/>
        </w:tabs>
        <w:ind w:left="720"/>
        <w:rPr>
          <w:snapToGrid w:val="0"/>
          <w:sz w:val="20"/>
        </w:rPr>
      </w:pPr>
      <w:r>
        <w:rPr>
          <w:snapToGrid w:val="0"/>
          <w:sz w:val="20"/>
        </w:rPr>
        <w:t>RMZ</w:t>
      </w:r>
      <w:r>
        <w:rPr>
          <w:snapToGrid w:val="0"/>
          <w:sz w:val="20"/>
        </w:rPr>
        <w:tab/>
        <w:t>On-block Riparian Management Zone</w:t>
      </w:r>
    </w:p>
    <w:p w14:paraId="341B61DB" w14:textId="77777777" w:rsidR="004A63C7" w:rsidRDefault="00D728DA" w:rsidP="00D728DA">
      <w:pPr>
        <w:widowControl w:val="0"/>
        <w:tabs>
          <w:tab w:val="left" w:pos="1584"/>
          <w:tab w:val="left" w:pos="3574"/>
        </w:tabs>
        <w:ind w:left="720"/>
        <w:rPr>
          <w:snapToGrid w:val="0"/>
          <w:sz w:val="20"/>
        </w:rPr>
      </w:pPr>
      <w:r>
        <w:rPr>
          <w:snapToGrid w:val="0"/>
          <w:sz w:val="20"/>
        </w:rPr>
        <w:t>LRC</w:t>
      </w:r>
      <w:r>
        <w:rPr>
          <w:snapToGrid w:val="0"/>
          <w:sz w:val="20"/>
        </w:rPr>
        <w:tab/>
        <w:t>Forest Ecosys</w:t>
      </w:r>
      <w:r w:rsidR="00B462E3">
        <w:rPr>
          <w:snapToGrid w:val="0"/>
          <w:sz w:val="20"/>
        </w:rPr>
        <w:t>tem Network – Hydroriparian corridor</w:t>
      </w:r>
      <w:r w:rsidR="004A63C7">
        <w:rPr>
          <w:snapToGrid w:val="0"/>
          <w:sz w:val="20"/>
        </w:rPr>
        <w:tab/>
      </w:r>
    </w:p>
    <w:p w14:paraId="1985DA64" w14:textId="77777777" w:rsidR="004A63C7" w:rsidRDefault="004A63C7" w:rsidP="004A63C7">
      <w:pPr>
        <w:rPr>
          <w:sz w:val="20"/>
        </w:rPr>
      </w:pPr>
    </w:p>
    <w:p w14:paraId="3F17DAE9" w14:textId="77777777" w:rsidR="004A63C7" w:rsidRPr="00D728DA" w:rsidRDefault="00C22D2E" w:rsidP="00D728DA">
      <w:pPr>
        <w:widowControl w:val="0"/>
        <w:tabs>
          <w:tab w:val="left" w:pos="1584"/>
          <w:tab w:val="left" w:pos="3574"/>
        </w:tabs>
        <w:ind w:left="709"/>
        <w:outlineLvl w:val="0"/>
        <w:rPr>
          <w:snapToGrid w:val="0"/>
          <w:sz w:val="20"/>
          <w:u w:val="single"/>
        </w:rPr>
      </w:pPr>
      <w:r>
        <w:rPr>
          <w:snapToGrid w:val="0"/>
          <w:sz w:val="20"/>
          <w:u w:val="single"/>
        </w:rPr>
        <w:br/>
      </w:r>
      <w:r w:rsidR="00495E7D">
        <w:rPr>
          <w:snapToGrid w:val="0"/>
          <w:sz w:val="20"/>
          <w:u w:val="single"/>
        </w:rPr>
        <w:t>Treatment Tactic</w:t>
      </w:r>
    </w:p>
    <w:p w14:paraId="1135F969" w14:textId="77777777" w:rsidR="004A63C7" w:rsidRDefault="00D728DA" w:rsidP="00D728DA">
      <w:pPr>
        <w:widowControl w:val="0"/>
        <w:tabs>
          <w:tab w:val="left" w:pos="3574"/>
        </w:tabs>
        <w:ind w:left="1560" w:hanging="851"/>
        <w:rPr>
          <w:snapToGrid w:val="0"/>
          <w:sz w:val="20"/>
        </w:rPr>
      </w:pPr>
      <w:r>
        <w:rPr>
          <w:snapToGrid w:val="0"/>
          <w:sz w:val="20"/>
        </w:rPr>
        <w:t>A</w:t>
      </w:r>
      <w:r w:rsidR="004A63C7">
        <w:rPr>
          <w:snapToGrid w:val="0"/>
          <w:sz w:val="20"/>
        </w:rPr>
        <w:t xml:space="preserve"> </w:t>
      </w:r>
      <w:r>
        <w:rPr>
          <w:snapToGrid w:val="0"/>
          <w:sz w:val="20"/>
        </w:rPr>
        <w:tab/>
      </w:r>
      <w:r w:rsidR="00B462E3">
        <w:rPr>
          <w:snapToGrid w:val="0"/>
          <w:sz w:val="20"/>
        </w:rPr>
        <w:t>No Treatment</w:t>
      </w:r>
    </w:p>
    <w:p w14:paraId="5EADDFAC" w14:textId="77777777" w:rsidR="004A63C7" w:rsidRDefault="004A63C7" w:rsidP="00D728DA">
      <w:pPr>
        <w:widowControl w:val="0"/>
        <w:tabs>
          <w:tab w:val="left" w:pos="3574"/>
        </w:tabs>
        <w:ind w:left="1560" w:hanging="851"/>
        <w:rPr>
          <w:snapToGrid w:val="0"/>
          <w:sz w:val="20"/>
        </w:rPr>
      </w:pPr>
      <w:r>
        <w:rPr>
          <w:snapToGrid w:val="0"/>
          <w:sz w:val="20"/>
        </w:rPr>
        <w:t xml:space="preserve">B </w:t>
      </w:r>
      <w:r w:rsidR="00D728DA">
        <w:rPr>
          <w:snapToGrid w:val="0"/>
          <w:sz w:val="20"/>
        </w:rPr>
        <w:tab/>
      </w:r>
      <w:r>
        <w:rPr>
          <w:snapToGrid w:val="0"/>
          <w:sz w:val="20"/>
        </w:rPr>
        <w:t>Fall and Burn</w:t>
      </w:r>
    </w:p>
    <w:p w14:paraId="4F6AC1F8" w14:textId="77777777" w:rsidR="004A63C7" w:rsidRDefault="004A63C7" w:rsidP="00D728DA">
      <w:pPr>
        <w:widowControl w:val="0"/>
        <w:tabs>
          <w:tab w:val="left" w:pos="3574"/>
        </w:tabs>
        <w:ind w:left="1560" w:hanging="851"/>
        <w:rPr>
          <w:snapToGrid w:val="0"/>
          <w:sz w:val="20"/>
        </w:rPr>
      </w:pPr>
      <w:r>
        <w:rPr>
          <w:snapToGrid w:val="0"/>
          <w:sz w:val="20"/>
        </w:rPr>
        <w:t xml:space="preserve">C </w:t>
      </w:r>
      <w:r w:rsidR="00D728DA">
        <w:rPr>
          <w:snapToGrid w:val="0"/>
          <w:sz w:val="20"/>
        </w:rPr>
        <w:tab/>
      </w:r>
      <w:r w:rsidR="00CB033A">
        <w:rPr>
          <w:snapToGrid w:val="0"/>
          <w:sz w:val="20"/>
        </w:rPr>
        <w:t xml:space="preserve">Baiting/ </w:t>
      </w:r>
      <w:r w:rsidR="002D1ECE">
        <w:rPr>
          <w:snapToGrid w:val="0"/>
          <w:sz w:val="20"/>
        </w:rPr>
        <w:t xml:space="preserve">Hold to </w:t>
      </w:r>
      <w:r w:rsidR="00CB033A">
        <w:rPr>
          <w:snapToGrid w:val="0"/>
          <w:sz w:val="20"/>
        </w:rPr>
        <w:t>Harvest</w:t>
      </w:r>
    </w:p>
    <w:p w14:paraId="4DA023EE" w14:textId="77777777" w:rsidR="004A63C7" w:rsidRDefault="00F6301A" w:rsidP="00D728DA">
      <w:pPr>
        <w:widowControl w:val="0"/>
        <w:tabs>
          <w:tab w:val="left" w:pos="3574"/>
        </w:tabs>
        <w:ind w:left="1560" w:hanging="851"/>
        <w:rPr>
          <w:snapToGrid w:val="0"/>
          <w:sz w:val="20"/>
        </w:rPr>
      </w:pPr>
      <w:r>
        <w:rPr>
          <w:snapToGrid w:val="0"/>
          <w:sz w:val="20"/>
        </w:rPr>
        <w:t>D</w:t>
      </w:r>
      <w:r w:rsidR="004A63C7">
        <w:rPr>
          <w:snapToGrid w:val="0"/>
          <w:sz w:val="20"/>
        </w:rPr>
        <w:t xml:space="preserve"> </w:t>
      </w:r>
      <w:r w:rsidR="00D728DA">
        <w:rPr>
          <w:snapToGrid w:val="0"/>
          <w:sz w:val="20"/>
        </w:rPr>
        <w:tab/>
      </w:r>
      <w:r w:rsidR="004A63C7">
        <w:rPr>
          <w:snapToGrid w:val="0"/>
          <w:sz w:val="20"/>
        </w:rPr>
        <w:t>Fall and Remove</w:t>
      </w:r>
      <w:r w:rsidR="002D1ECE">
        <w:rPr>
          <w:snapToGrid w:val="0"/>
          <w:sz w:val="20"/>
        </w:rPr>
        <w:t xml:space="preserve"> (single-tree extraction)</w:t>
      </w:r>
      <w:r w:rsidR="004A63C7">
        <w:rPr>
          <w:snapToGrid w:val="0"/>
          <w:sz w:val="20"/>
        </w:rPr>
        <w:tab/>
      </w:r>
    </w:p>
    <w:p w14:paraId="138F3D53" w14:textId="77777777" w:rsidR="004A63C7" w:rsidRDefault="00F6301A" w:rsidP="00D728DA">
      <w:pPr>
        <w:tabs>
          <w:tab w:val="left" w:pos="1620"/>
        </w:tabs>
        <w:ind w:left="1560" w:hanging="851"/>
        <w:rPr>
          <w:b/>
        </w:rPr>
      </w:pPr>
      <w:r>
        <w:rPr>
          <w:sz w:val="20"/>
        </w:rPr>
        <w:t>E</w:t>
      </w:r>
      <w:r w:rsidR="00D728DA">
        <w:rPr>
          <w:sz w:val="20"/>
        </w:rPr>
        <w:tab/>
      </w:r>
      <w:r w:rsidR="00DB385B">
        <w:rPr>
          <w:sz w:val="20"/>
        </w:rPr>
        <w:t>Harvest (differentiate small-scale salvage (SSS) from clearcut with reserve (CCR) opportunities)</w:t>
      </w:r>
    </w:p>
    <w:p w14:paraId="79306726" w14:textId="77777777" w:rsidR="004A63C7" w:rsidRDefault="004A63C7" w:rsidP="00F62CAE">
      <w:pPr>
        <w:autoSpaceDE w:val="0"/>
        <w:autoSpaceDN w:val="0"/>
        <w:adjustRightInd w:val="0"/>
      </w:pPr>
    </w:p>
    <w:p w14:paraId="50F22061" w14:textId="77777777" w:rsidR="004A63C7" w:rsidRDefault="004A63C7" w:rsidP="00F62CAE">
      <w:pPr>
        <w:autoSpaceDE w:val="0"/>
        <w:autoSpaceDN w:val="0"/>
        <w:adjustRightInd w:val="0"/>
      </w:pPr>
    </w:p>
    <w:p w14:paraId="73D10193" w14:textId="77777777" w:rsidR="00D50002" w:rsidRDefault="00D50002" w:rsidP="00E80769">
      <w:pPr>
        <w:autoSpaceDE w:val="0"/>
        <w:autoSpaceDN w:val="0"/>
        <w:adjustRightInd w:val="0"/>
        <w:spacing w:after="120"/>
        <w:rPr>
          <w:b/>
          <w:i/>
        </w:rPr>
      </w:pPr>
    </w:p>
    <w:p w14:paraId="34366A86" w14:textId="77777777" w:rsidR="00D50002" w:rsidRDefault="00D50002" w:rsidP="00E80769">
      <w:pPr>
        <w:autoSpaceDE w:val="0"/>
        <w:autoSpaceDN w:val="0"/>
        <w:adjustRightInd w:val="0"/>
        <w:spacing w:after="120"/>
        <w:rPr>
          <w:b/>
          <w:i/>
        </w:rPr>
      </w:pPr>
    </w:p>
    <w:p w14:paraId="26A175EA" w14:textId="77777777" w:rsidR="00D50002" w:rsidRDefault="00D50002" w:rsidP="00E80769">
      <w:pPr>
        <w:autoSpaceDE w:val="0"/>
        <w:autoSpaceDN w:val="0"/>
        <w:adjustRightInd w:val="0"/>
        <w:spacing w:after="120"/>
        <w:rPr>
          <w:b/>
          <w:i/>
        </w:rPr>
      </w:pPr>
    </w:p>
    <w:p w14:paraId="1B3566AE" w14:textId="77777777" w:rsidR="00D50002" w:rsidRDefault="00D50002" w:rsidP="00E80769">
      <w:pPr>
        <w:autoSpaceDE w:val="0"/>
        <w:autoSpaceDN w:val="0"/>
        <w:adjustRightInd w:val="0"/>
        <w:spacing w:after="120"/>
        <w:rPr>
          <w:b/>
          <w:i/>
        </w:rPr>
      </w:pPr>
    </w:p>
    <w:p w14:paraId="6AB0DE6D" w14:textId="77777777" w:rsidR="002D1ECE" w:rsidRPr="000C11DC" w:rsidRDefault="000C11DC" w:rsidP="00E80769">
      <w:pPr>
        <w:autoSpaceDE w:val="0"/>
        <w:autoSpaceDN w:val="0"/>
        <w:adjustRightInd w:val="0"/>
        <w:spacing w:after="120"/>
        <w:rPr>
          <w:b/>
          <w:i/>
        </w:rPr>
      </w:pPr>
      <w:r w:rsidRPr="000C11DC">
        <w:rPr>
          <w:b/>
          <w:i/>
        </w:rPr>
        <w:t xml:space="preserve">Tactic: </w:t>
      </w:r>
      <w:r w:rsidR="002D1ECE" w:rsidRPr="000C11DC">
        <w:rPr>
          <w:b/>
          <w:i/>
        </w:rPr>
        <w:t>Implement the Beetle Tactical Plan</w:t>
      </w:r>
    </w:p>
    <w:p w14:paraId="1E51E4CD" w14:textId="77777777" w:rsidR="005524CE" w:rsidRPr="007D3813" w:rsidRDefault="007D3813" w:rsidP="00CB033A">
      <w:pPr>
        <w:pStyle w:val="BodyText"/>
        <w:rPr>
          <w:rFonts w:asciiTheme="minorHAnsi" w:hAnsiTheme="minorHAnsi" w:cstheme="minorHAnsi"/>
        </w:rPr>
      </w:pPr>
      <w:r w:rsidRPr="0009013D">
        <w:rPr>
          <w:rFonts w:asciiTheme="minorHAnsi" w:hAnsiTheme="minorHAnsi" w:cstheme="minorHAnsi"/>
          <w:u w:val="single"/>
        </w:rPr>
        <w:t xml:space="preserve">Fall and </w:t>
      </w:r>
      <w:proofErr w:type="gramStart"/>
      <w:r w:rsidRPr="0009013D">
        <w:rPr>
          <w:rFonts w:asciiTheme="minorHAnsi" w:hAnsiTheme="minorHAnsi" w:cstheme="minorHAnsi"/>
          <w:u w:val="single"/>
        </w:rPr>
        <w:t>Burn</w:t>
      </w:r>
      <w:proofErr w:type="gramEnd"/>
      <w:r w:rsidRPr="007D3813">
        <w:rPr>
          <w:rFonts w:asciiTheme="minorHAnsi" w:hAnsiTheme="minorHAnsi" w:cstheme="minorHAnsi"/>
        </w:rPr>
        <w:t xml:space="preserve"> </w:t>
      </w:r>
      <w:r w:rsidR="00CB033A">
        <w:rPr>
          <w:rFonts w:asciiTheme="minorHAnsi" w:hAnsiTheme="minorHAnsi" w:cstheme="minorHAnsi"/>
        </w:rPr>
        <w:t>– t</w:t>
      </w:r>
      <w:r w:rsidR="00CB033A">
        <w:t>his tactic is typically selected for isolated sites that cannot be accessed for harvest. Crews fall MPB infested trees, buck and stack the tree onto the stump, and then burn the pile to kill all beetles. Activities start in November and continue through to March. C</w:t>
      </w:r>
      <w:r w:rsidRPr="007D3813">
        <w:rPr>
          <w:rFonts w:asciiTheme="minorHAnsi" w:hAnsiTheme="minorHAnsi" w:cstheme="minorHAnsi"/>
        </w:rPr>
        <w:t>ontract stand</w:t>
      </w:r>
      <w:r w:rsidR="000E36EF">
        <w:rPr>
          <w:rFonts w:asciiTheme="minorHAnsi" w:hAnsiTheme="minorHAnsi" w:cstheme="minorHAnsi"/>
        </w:rPr>
        <w:t>ards are captured to Appendix 1.7</w:t>
      </w:r>
      <w:r w:rsidRPr="007D3813">
        <w:rPr>
          <w:rFonts w:asciiTheme="minorHAnsi" w:hAnsiTheme="minorHAnsi" w:cstheme="minorHAnsi"/>
        </w:rPr>
        <w:t>.</w:t>
      </w:r>
    </w:p>
    <w:p w14:paraId="46C340D9" w14:textId="77777777" w:rsidR="005524CE" w:rsidRDefault="002D1ECE" w:rsidP="00C83D92">
      <w:pPr>
        <w:pStyle w:val="BodyText"/>
        <w:rPr>
          <w:rFonts w:asciiTheme="minorHAnsi" w:hAnsiTheme="minorHAnsi" w:cstheme="minorHAnsi"/>
        </w:rPr>
      </w:pPr>
      <w:r w:rsidRPr="0009013D">
        <w:rPr>
          <w:rFonts w:asciiTheme="minorHAnsi" w:hAnsiTheme="minorHAnsi" w:cstheme="minorHAnsi"/>
          <w:u w:val="single"/>
        </w:rPr>
        <w:t>Baiting</w:t>
      </w:r>
      <w:r w:rsidR="00C83D92">
        <w:rPr>
          <w:rFonts w:asciiTheme="minorHAnsi" w:hAnsiTheme="minorHAnsi" w:cstheme="minorHAnsi"/>
          <w:u w:val="single"/>
        </w:rPr>
        <w:t>/ Hold to Harvest</w:t>
      </w:r>
      <w:r>
        <w:rPr>
          <w:rFonts w:asciiTheme="minorHAnsi" w:hAnsiTheme="minorHAnsi" w:cstheme="minorHAnsi"/>
        </w:rPr>
        <w:t xml:space="preserve"> </w:t>
      </w:r>
      <w:r w:rsidR="00C22D2E">
        <w:rPr>
          <w:rFonts w:asciiTheme="minorHAnsi" w:hAnsiTheme="minorHAnsi" w:cstheme="minorHAnsi"/>
        </w:rPr>
        <w:t xml:space="preserve">– </w:t>
      </w:r>
      <w:r w:rsidR="00CB033A">
        <w:t>t</w:t>
      </w:r>
      <w:r w:rsidR="00CB033A" w:rsidRPr="00B27CAC">
        <w:t>his</w:t>
      </w:r>
      <w:r w:rsidR="00CB033A">
        <w:t xml:space="preserve"> tactic is selected</w:t>
      </w:r>
      <w:r w:rsidR="00C83D92">
        <w:t xml:space="preserve"> for areas where harvesting can</w:t>
      </w:r>
      <w:r w:rsidR="00CB033A">
        <w:t xml:space="preserve">not be completed before the next beetle flight.  Pheromone baits are hung </w:t>
      </w:r>
      <w:r>
        <w:rPr>
          <w:rFonts w:asciiTheme="minorHAnsi" w:hAnsiTheme="minorHAnsi" w:cstheme="minorHAnsi"/>
        </w:rPr>
        <w:t xml:space="preserve">to </w:t>
      </w:r>
      <w:r w:rsidR="005524CE" w:rsidRPr="007D3813">
        <w:rPr>
          <w:rFonts w:asciiTheme="minorHAnsi" w:hAnsiTheme="minorHAnsi" w:cstheme="minorHAnsi"/>
        </w:rPr>
        <w:t xml:space="preserve">attract mountain pine beetles and keep them contained </w:t>
      </w:r>
      <w:r w:rsidR="00C22D2E">
        <w:rPr>
          <w:rFonts w:asciiTheme="minorHAnsi" w:hAnsiTheme="minorHAnsi" w:cstheme="minorHAnsi"/>
        </w:rPr>
        <w:t>to a general</w:t>
      </w:r>
      <w:r w:rsidR="005524CE" w:rsidRPr="007D3813">
        <w:rPr>
          <w:rFonts w:asciiTheme="minorHAnsi" w:hAnsiTheme="minorHAnsi" w:cstheme="minorHAnsi"/>
        </w:rPr>
        <w:t xml:space="preserve"> area prior to sanitation harvesting. </w:t>
      </w:r>
      <w:r w:rsidRPr="007D3813">
        <w:rPr>
          <w:rFonts w:asciiTheme="minorHAnsi" w:hAnsiTheme="minorHAnsi" w:cstheme="minorHAnsi"/>
        </w:rPr>
        <w:t xml:space="preserve">Baits </w:t>
      </w:r>
      <w:r w:rsidR="00C83D92">
        <w:rPr>
          <w:rFonts w:asciiTheme="minorHAnsi" w:hAnsiTheme="minorHAnsi" w:cstheme="minorHAnsi"/>
        </w:rPr>
        <w:t>may</w:t>
      </w:r>
      <w:r w:rsidRPr="007D3813">
        <w:rPr>
          <w:rFonts w:asciiTheme="minorHAnsi" w:hAnsiTheme="minorHAnsi" w:cstheme="minorHAnsi"/>
        </w:rPr>
        <w:t xml:space="preserve"> also </w:t>
      </w:r>
      <w:r w:rsidR="00C83D92">
        <w:rPr>
          <w:rFonts w:asciiTheme="minorHAnsi" w:hAnsiTheme="minorHAnsi" w:cstheme="minorHAnsi"/>
        </w:rPr>
        <w:t>be placed</w:t>
      </w:r>
      <w:r w:rsidRPr="007D3813">
        <w:rPr>
          <w:rFonts w:asciiTheme="minorHAnsi" w:hAnsiTheme="minorHAnsi" w:cstheme="minorHAnsi"/>
        </w:rPr>
        <w:t xml:space="preserve"> to </w:t>
      </w:r>
      <w:r>
        <w:rPr>
          <w:rFonts w:asciiTheme="minorHAnsi" w:hAnsiTheme="minorHAnsi" w:cstheme="minorHAnsi"/>
        </w:rPr>
        <w:t xml:space="preserve">attract and </w:t>
      </w:r>
      <w:r w:rsidR="000C11DC">
        <w:rPr>
          <w:rFonts w:asciiTheme="minorHAnsi" w:hAnsiTheme="minorHAnsi" w:cstheme="minorHAnsi"/>
        </w:rPr>
        <w:t>hold</w:t>
      </w:r>
      <w:r w:rsidRPr="007D3813">
        <w:rPr>
          <w:rFonts w:asciiTheme="minorHAnsi" w:hAnsiTheme="minorHAnsi" w:cstheme="minorHAnsi"/>
        </w:rPr>
        <w:t xml:space="preserve"> </w:t>
      </w:r>
      <w:r>
        <w:rPr>
          <w:rFonts w:asciiTheme="minorHAnsi" w:hAnsiTheme="minorHAnsi" w:cstheme="minorHAnsi"/>
        </w:rPr>
        <w:t>residual</w:t>
      </w:r>
      <w:r w:rsidRPr="007D3813">
        <w:rPr>
          <w:rFonts w:asciiTheme="minorHAnsi" w:hAnsiTheme="minorHAnsi" w:cstheme="minorHAnsi"/>
        </w:rPr>
        <w:t xml:space="preserve"> beetles after an area has been logged</w:t>
      </w:r>
      <w:r>
        <w:rPr>
          <w:rFonts w:asciiTheme="minorHAnsi" w:hAnsiTheme="minorHAnsi" w:cstheme="minorHAnsi"/>
        </w:rPr>
        <w:t xml:space="preserve"> (mop-up b</w:t>
      </w:r>
      <w:r w:rsidRPr="007D3813">
        <w:rPr>
          <w:rFonts w:asciiTheme="minorHAnsi" w:hAnsiTheme="minorHAnsi" w:cstheme="minorHAnsi"/>
        </w:rPr>
        <w:t>aiting</w:t>
      </w:r>
      <w:r>
        <w:rPr>
          <w:rFonts w:asciiTheme="minorHAnsi" w:hAnsiTheme="minorHAnsi" w:cstheme="minorHAnsi"/>
        </w:rPr>
        <w:t>)</w:t>
      </w:r>
      <w:r w:rsidRPr="007D3813">
        <w:rPr>
          <w:rFonts w:asciiTheme="minorHAnsi" w:hAnsiTheme="minorHAnsi" w:cstheme="minorHAnsi"/>
        </w:rPr>
        <w:t xml:space="preserve">. </w:t>
      </w:r>
      <w:r w:rsidR="00C83D92">
        <w:rPr>
          <w:rFonts w:asciiTheme="minorHAnsi" w:hAnsiTheme="minorHAnsi" w:cstheme="minorHAnsi"/>
        </w:rPr>
        <w:t xml:space="preserve">Baits should be hung </w:t>
      </w:r>
      <w:r w:rsidR="00C22D2E">
        <w:rPr>
          <w:rFonts w:asciiTheme="minorHAnsi" w:hAnsiTheme="minorHAnsi" w:cstheme="minorHAnsi"/>
        </w:rPr>
        <w:t>in April-</w:t>
      </w:r>
      <w:r w:rsidR="005524CE" w:rsidRPr="007D3813">
        <w:rPr>
          <w:rFonts w:asciiTheme="minorHAnsi" w:hAnsiTheme="minorHAnsi" w:cstheme="minorHAnsi"/>
        </w:rPr>
        <w:t>May (before ambient temperature reaches 20</w:t>
      </w:r>
      <w:r w:rsidR="005524CE" w:rsidRPr="007D3813">
        <w:rPr>
          <w:rFonts w:asciiTheme="minorHAnsi" w:hAnsiTheme="minorHAnsi" w:cstheme="minorHAnsi"/>
          <w:vertAlign w:val="superscript"/>
        </w:rPr>
        <w:t>o</w:t>
      </w:r>
      <w:r w:rsidR="005524CE" w:rsidRPr="007D3813">
        <w:rPr>
          <w:rFonts w:asciiTheme="minorHAnsi" w:hAnsiTheme="minorHAnsi" w:cstheme="minorHAnsi"/>
        </w:rPr>
        <w:t xml:space="preserve"> C) on large, healthy, </w:t>
      </w:r>
      <w:proofErr w:type="spellStart"/>
      <w:r w:rsidR="005524CE" w:rsidRPr="007D3813">
        <w:rPr>
          <w:rFonts w:asciiTheme="minorHAnsi" w:hAnsiTheme="minorHAnsi" w:cstheme="minorHAnsi"/>
        </w:rPr>
        <w:t>uninfested</w:t>
      </w:r>
      <w:proofErr w:type="spellEnd"/>
      <w:r w:rsidR="005524CE" w:rsidRPr="007D3813">
        <w:rPr>
          <w:rFonts w:asciiTheme="minorHAnsi" w:hAnsiTheme="minorHAnsi" w:cstheme="minorHAnsi"/>
        </w:rPr>
        <w:t xml:space="preserve"> pine trees.  </w:t>
      </w:r>
    </w:p>
    <w:p w14:paraId="4B9B9D66" w14:textId="77777777" w:rsidR="004573D1" w:rsidRPr="000E65A9" w:rsidRDefault="004573D1" w:rsidP="004573D1">
      <w:pPr>
        <w:pStyle w:val="Default"/>
        <w:pBdr>
          <w:top w:val="single" w:sz="4" w:space="1" w:color="auto"/>
          <w:left w:val="single" w:sz="4" w:space="4" w:color="auto"/>
          <w:bottom w:val="single" w:sz="4" w:space="1" w:color="auto"/>
          <w:right w:val="single" w:sz="4" w:space="4" w:color="auto"/>
        </w:pBdr>
        <w:spacing w:after="120"/>
        <w:rPr>
          <w:rFonts w:asciiTheme="minorHAnsi" w:hAnsiTheme="minorHAnsi" w:cstheme="minorHAnsi"/>
          <w:sz w:val="22"/>
          <w:szCs w:val="22"/>
        </w:rPr>
      </w:pPr>
      <w:r w:rsidRPr="0068313D">
        <w:rPr>
          <w:rFonts w:asciiTheme="minorHAnsi" w:hAnsiTheme="minorHAnsi" w:cstheme="minorHAnsi"/>
          <w:i/>
          <w:sz w:val="22"/>
          <w:szCs w:val="22"/>
        </w:rPr>
        <w:t>Regarding use of Lethal Trap Trees/MSMA</w:t>
      </w:r>
      <w:r w:rsidRPr="0068313D">
        <w:rPr>
          <w:rFonts w:ascii="Calibri" w:hAnsi="Calibri" w:cs="Calibri"/>
          <w:bCs/>
          <w:i/>
          <w:sz w:val="22"/>
          <w:szCs w:val="22"/>
        </w:rPr>
        <w:t xml:space="preserve"> (monosodium methane arsenate):</w:t>
      </w:r>
      <w:r w:rsidRPr="000E65A9">
        <w:rPr>
          <w:rFonts w:ascii="Calibri" w:hAnsi="Calibri" w:cs="Calibri"/>
          <w:b/>
          <w:bCs/>
          <w:sz w:val="22"/>
          <w:szCs w:val="22"/>
        </w:rPr>
        <w:t xml:space="preserve"> </w:t>
      </w:r>
      <w:r w:rsidRPr="000E65A9">
        <w:rPr>
          <w:rFonts w:ascii="Calibri" w:hAnsi="Calibri" w:cs="Calibri"/>
          <w:bCs/>
          <w:sz w:val="22"/>
          <w:szCs w:val="22"/>
        </w:rPr>
        <w:t>historically</w:t>
      </w:r>
      <w:r w:rsidRPr="000E65A9">
        <w:rPr>
          <w:rFonts w:ascii="Calibri" w:hAnsi="Calibri" w:cs="Calibri"/>
          <w:b/>
          <w:bCs/>
          <w:sz w:val="22"/>
          <w:szCs w:val="22"/>
        </w:rPr>
        <w:t xml:space="preserve"> </w:t>
      </w:r>
      <w:r w:rsidRPr="000E65A9">
        <w:rPr>
          <w:rFonts w:asciiTheme="minorHAnsi" w:hAnsiTheme="minorHAnsi" w:cstheme="minorHAnsi"/>
          <w:sz w:val="22"/>
          <w:szCs w:val="22"/>
        </w:rPr>
        <w:t xml:space="preserve">Lethal Trap trees were used as a </w:t>
      </w:r>
      <w:r>
        <w:rPr>
          <w:rFonts w:asciiTheme="minorHAnsi" w:hAnsiTheme="minorHAnsi" w:cstheme="minorHAnsi"/>
          <w:sz w:val="22"/>
          <w:szCs w:val="22"/>
        </w:rPr>
        <w:t>treatment tactic</w:t>
      </w:r>
      <w:r w:rsidRPr="000E65A9">
        <w:rPr>
          <w:rFonts w:asciiTheme="minorHAnsi" w:hAnsiTheme="minorHAnsi" w:cstheme="minorHAnsi"/>
          <w:sz w:val="22"/>
          <w:szCs w:val="22"/>
        </w:rPr>
        <w:t xml:space="preserve">. Candidate trees were </w:t>
      </w:r>
      <w:r>
        <w:rPr>
          <w:rFonts w:asciiTheme="minorHAnsi" w:hAnsiTheme="minorHAnsi" w:cstheme="minorHAnsi"/>
          <w:sz w:val="22"/>
          <w:szCs w:val="22"/>
        </w:rPr>
        <w:t xml:space="preserve">first </w:t>
      </w:r>
      <w:r w:rsidRPr="000E65A9">
        <w:rPr>
          <w:rFonts w:asciiTheme="minorHAnsi" w:hAnsiTheme="minorHAnsi" w:cstheme="minorHAnsi"/>
          <w:sz w:val="22"/>
          <w:szCs w:val="22"/>
        </w:rPr>
        <w:t xml:space="preserve">baited to attract beetles, then within 2 weeks of beetle flight attacked trees were injected with MSMA: a systemic chemical that </w:t>
      </w:r>
      <w:proofErr w:type="spellStart"/>
      <w:r w:rsidRPr="000E65A9">
        <w:rPr>
          <w:rFonts w:asciiTheme="minorHAnsi" w:hAnsiTheme="minorHAnsi" w:cstheme="minorHAnsi"/>
          <w:sz w:val="22"/>
          <w:szCs w:val="22"/>
        </w:rPr>
        <w:t>translocates</w:t>
      </w:r>
      <w:proofErr w:type="spellEnd"/>
      <w:r w:rsidRPr="000E65A9">
        <w:rPr>
          <w:rFonts w:asciiTheme="minorHAnsi" w:hAnsiTheme="minorHAnsi" w:cstheme="minorHAnsi"/>
          <w:sz w:val="22"/>
          <w:szCs w:val="22"/>
        </w:rPr>
        <w:t xml:space="preserve"> through the </w:t>
      </w:r>
      <w:r>
        <w:rPr>
          <w:rFonts w:asciiTheme="minorHAnsi" w:hAnsiTheme="minorHAnsi" w:cstheme="minorHAnsi"/>
          <w:sz w:val="22"/>
          <w:szCs w:val="22"/>
        </w:rPr>
        <w:t>stem</w:t>
      </w:r>
      <w:r w:rsidRPr="000E65A9">
        <w:rPr>
          <w:rFonts w:asciiTheme="minorHAnsi" w:hAnsiTheme="minorHAnsi" w:cstheme="minorHAnsi"/>
          <w:sz w:val="22"/>
          <w:szCs w:val="22"/>
        </w:rPr>
        <w:t xml:space="preserve"> to kill beetle larvae.  Lethal trap trees were typically used in areas where lack of access precluded harvest, including Protected Areas </w:t>
      </w:r>
      <w:r>
        <w:rPr>
          <w:rFonts w:asciiTheme="minorHAnsi" w:hAnsiTheme="minorHAnsi" w:cstheme="minorHAnsi"/>
          <w:sz w:val="22"/>
          <w:szCs w:val="22"/>
        </w:rPr>
        <w:t>and</w:t>
      </w:r>
      <w:r w:rsidRPr="000E65A9">
        <w:rPr>
          <w:rFonts w:asciiTheme="minorHAnsi" w:hAnsiTheme="minorHAnsi" w:cstheme="minorHAnsi"/>
          <w:sz w:val="22"/>
          <w:szCs w:val="22"/>
        </w:rPr>
        <w:t xml:space="preserve"> Parks.</w:t>
      </w:r>
    </w:p>
    <w:p w14:paraId="2BF2205B" w14:textId="77777777" w:rsidR="004573D1" w:rsidRPr="000E65A9" w:rsidRDefault="004573D1" w:rsidP="004573D1">
      <w:pPr>
        <w:pBdr>
          <w:top w:val="single" w:sz="4" w:space="1" w:color="auto"/>
          <w:left w:val="single" w:sz="4" w:space="4" w:color="auto"/>
          <w:bottom w:val="single" w:sz="4" w:space="1" w:color="auto"/>
          <w:right w:val="single" w:sz="4" w:space="4" w:color="auto"/>
        </w:pBdr>
        <w:autoSpaceDE w:val="0"/>
        <w:autoSpaceDN w:val="0"/>
        <w:adjustRightInd w:val="0"/>
        <w:spacing w:after="120"/>
        <w:rPr>
          <w:color w:val="000000"/>
        </w:rPr>
      </w:pPr>
      <w:r w:rsidRPr="000E65A9">
        <w:rPr>
          <w:color w:val="000000"/>
        </w:rPr>
        <w:t xml:space="preserve">The use of MSMA ceased in </w:t>
      </w:r>
      <w:r>
        <w:rPr>
          <w:color w:val="000000"/>
        </w:rPr>
        <w:t>Skeena Stikine</w:t>
      </w:r>
      <w:r w:rsidRPr="000E65A9">
        <w:rPr>
          <w:color w:val="000000"/>
        </w:rPr>
        <w:t xml:space="preserve"> District </w:t>
      </w:r>
      <w:r>
        <w:rPr>
          <w:color w:val="000000"/>
        </w:rPr>
        <w:t>prior to</w:t>
      </w:r>
      <w:r w:rsidRPr="000E65A9">
        <w:rPr>
          <w:color w:val="000000"/>
        </w:rPr>
        <w:t xml:space="preserve"> 2004</w:t>
      </w:r>
      <w:r>
        <w:rPr>
          <w:color w:val="000000"/>
        </w:rPr>
        <w:t xml:space="preserve"> due to possible human health concerns</w:t>
      </w:r>
      <w:r w:rsidRPr="000E65A9">
        <w:rPr>
          <w:color w:val="000000"/>
        </w:rPr>
        <w:t xml:space="preserve">. A </w:t>
      </w:r>
      <w:r>
        <w:rPr>
          <w:color w:val="000000"/>
        </w:rPr>
        <w:t xml:space="preserve">FLNRO </w:t>
      </w:r>
      <w:r w:rsidRPr="000E65A9">
        <w:rPr>
          <w:color w:val="000000"/>
        </w:rPr>
        <w:t xml:space="preserve">policy developed in </w:t>
      </w:r>
      <w:r>
        <w:rPr>
          <w:color w:val="000000"/>
        </w:rPr>
        <w:t>the aftermath of a</w:t>
      </w:r>
      <w:r w:rsidRPr="000E65A9">
        <w:rPr>
          <w:color w:val="000000"/>
        </w:rPr>
        <w:t xml:space="preserve"> Forest Practices Board Audit </w:t>
      </w:r>
      <w:r>
        <w:rPr>
          <w:color w:val="000000"/>
        </w:rPr>
        <w:t>now provides</w:t>
      </w:r>
      <w:r w:rsidRPr="000E65A9">
        <w:rPr>
          <w:color w:val="000000"/>
        </w:rPr>
        <w:t xml:space="preserve"> </w:t>
      </w:r>
      <w:r>
        <w:rPr>
          <w:color w:val="000000"/>
        </w:rPr>
        <w:t xml:space="preserve">best </w:t>
      </w:r>
      <w:r w:rsidRPr="000E65A9">
        <w:rPr>
          <w:color w:val="000000"/>
        </w:rPr>
        <w:t>management practices for legacy MSMA-t</w:t>
      </w:r>
      <w:r>
        <w:rPr>
          <w:color w:val="000000"/>
        </w:rPr>
        <w:t>reated trees, including reporting expectations where</w:t>
      </w:r>
      <w:r w:rsidRPr="000E65A9">
        <w:rPr>
          <w:color w:val="000000"/>
        </w:rPr>
        <w:t xml:space="preserve"> legacy trees </w:t>
      </w:r>
      <w:r>
        <w:rPr>
          <w:color w:val="000000"/>
        </w:rPr>
        <w:t>are</w:t>
      </w:r>
      <w:r w:rsidRPr="000E65A9">
        <w:rPr>
          <w:color w:val="000000"/>
        </w:rPr>
        <w:t xml:space="preserve"> encountered</w:t>
      </w:r>
      <w:r>
        <w:rPr>
          <w:color w:val="000000"/>
        </w:rPr>
        <w:t xml:space="preserve"> (to </w:t>
      </w:r>
      <w:r w:rsidRPr="000E65A9">
        <w:rPr>
          <w:color w:val="000000"/>
        </w:rPr>
        <w:t>a provincial database that detail</w:t>
      </w:r>
      <w:r>
        <w:rPr>
          <w:color w:val="000000"/>
        </w:rPr>
        <w:t>s tree locations), and practice expectations including ensuring that</w:t>
      </w:r>
      <w:r w:rsidRPr="000E65A9">
        <w:rPr>
          <w:color w:val="000000"/>
        </w:rPr>
        <w:t xml:space="preserve"> legacy trees </w:t>
      </w:r>
      <w:r>
        <w:rPr>
          <w:color w:val="000000"/>
        </w:rPr>
        <w:t>are</w:t>
      </w:r>
      <w:r w:rsidRPr="000E65A9">
        <w:rPr>
          <w:color w:val="000000"/>
        </w:rPr>
        <w:t xml:space="preserve"> left standing and conspicuously marked. A legacy tree management brochure </w:t>
      </w:r>
      <w:r>
        <w:rPr>
          <w:color w:val="000000"/>
        </w:rPr>
        <w:t>is</w:t>
      </w:r>
      <w:r w:rsidRPr="000E65A9">
        <w:rPr>
          <w:color w:val="000000"/>
        </w:rPr>
        <w:t xml:space="preserve"> in </w:t>
      </w:r>
      <w:r w:rsidRPr="00F438DF">
        <w:rPr>
          <w:bCs/>
          <w:color w:val="000000"/>
        </w:rPr>
        <w:t>Appendix 1X</w:t>
      </w:r>
      <w:r w:rsidRPr="000E65A9">
        <w:rPr>
          <w:color w:val="000000"/>
        </w:rPr>
        <w:t xml:space="preserve">. </w:t>
      </w:r>
    </w:p>
    <w:p w14:paraId="02D015C9" w14:textId="77777777" w:rsidR="004573D1" w:rsidRPr="000E65A9" w:rsidRDefault="004573D1" w:rsidP="004573D1">
      <w:pPr>
        <w:pStyle w:val="BodyText"/>
        <w:pBdr>
          <w:top w:val="single" w:sz="4" w:space="1" w:color="auto"/>
          <w:left w:val="single" w:sz="4" w:space="4" w:color="auto"/>
          <w:bottom w:val="single" w:sz="4" w:space="1" w:color="auto"/>
          <w:right w:val="single" w:sz="4" w:space="4" w:color="auto"/>
        </w:pBdr>
        <w:rPr>
          <w:rFonts w:asciiTheme="minorHAnsi" w:hAnsiTheme="minorHAnsi" w:cstheme="minorHAnsi"/>
        </w:rPr>
      </w:pPr>
      <w:r>
        <w:rPr>
          <w:color w:val="000000"/>
        </w:rPr>
        <w:t>I</w:t>
      </w:r>
      <w:r w:rsidRPr="000E65A9">
        <w:rPr>
          <w:color w:val="000000"/>
        </w:rPr>
        <w:t>ndependent scientific investigation</w:t>
      </w:r>
      <w:r>
        <w:rPr>
          <w:color w:val="000000"/>
        </w:rPr>
        <w:t>s were conducted in 2008 and 2009 to</w:t>
      </w:r>
      <w:r w:rsidRPr="000E65A9">
        <w:rPr>
          <w:color w:val="000000"/>
        </w:rPr>
        <w:t xml:space="preserve"> </w:t>
      </w:r>
      <w:r>
        <w:rPr>
          <w:color w:val="000000"/>
        </w:rPr>
        <w:t>assess</w:t>
      </w:r>
      <w:r w:rsidRPr="000E65A9">
        <w:rPr>
          <w:color w:val="000000"/>
        </w:rPr>
        <w:t xml:space="preserve"> </w:t>
      </w:r>
      <w:r>
        <w:rPr>
          <w:color w:val="000000"/>
        </w:rPr>
        <w:t>the degree to which</w:t>
      </w:r>
      <w:r w:rsidRPr="000E65A9">
        <w:rPr>
          <w:color w:val="000000"/>
        </w:rPr>
        <w:t xml:space="preserve"> residual arsenic in MSMA-treated trees</w:t>
      </w:r>
      <w:r>
        <w:rPr>
          <w:color w:val="000000"/>
        </w:rPr>
        <w:t xml:space="preserve"> poses a risk to human health. Final reports found that residual a</w:t>
      </w:r>
      <w:r w:rsidRPr="000E65A9">
        <w:rPr>
          <w:color w:val="000000"/>
        </w:rPr>
        <w:t xml:space="preserve">rsenic </w:t>
      </w:r>
      <w:r>
        <w:rPr>
          <w:color w:val="000000"/>
        </w:rPr>
        <w:t>is</w:t>
      </w:r>
      <w:r w:rsidRPr="000E65A9">
        <w:rPr>
          <w:color w:val="000000"/>
        </w:rPr>
        <w:t xml:space="preserve"> largely confined to treated </w:t>
      </w:r>
      <w:proofErr w:type="gramStart"/>
      <w:r w:rsidRPr="000E65A9">
        <w:rPr>
          <w:color w:val="000000"/>
        </w:rPr>
        <w:t>trees</w:t>
      </w:r>
      <w:r>
        <w:rPr>
          <w:color w:val="000000"/>
        </w:rPr>
        <w:t>,</w:t>
      </w:r>
      <w:r w:rsidRPr="000E65A9">
        <w:rPr>
          <w:color w:val="000000"/>
        </w:rPr>
        <w:t xml:space="preserve"> and</w:t>
      </w:r>
      <w:proofErr w:type="gramEnd"/>
      <w:r w:rsidRPr="000E65A9">
        <w:rPr>
          <w:color w:val="000000"/>
        </w:rPr>
        <w:t xml:space="preserve"> is not migrating into surrounding soil or vegetation.</w:t>
      </w:r>
    </w:p>
    <w:p w14:paraId="03E06184" w14:textId="77777777" w:rsidR="00A25DDE" w:rsidRDefault="00A25DDE" w:rsidP="004573D1">
      <w:pPr>
        <w:pStyle w:val="BodyText3"/>
        <w:spacing w:before="120"/>
        <w:rPr>
          <w:rFonts w:asciiTheme="minorHAnsi" w:hAnsiTheme="minorHAnsi" w:cstheme="minorHAnsi"/>
        </w:rPr>
      </w:pPr>
      <w:r w:rsidRPr="0009013D">
        <w:rPr>
          <w:rFonts w:asciiTheme="minorHAnsi" w:hAnsiTheme="minorHAnsi" w:cstheme="minorHAnsi"/>
          <w:u w:val="single"/>
        </w:rPr>
        <w:t xml:space="preserve">Fall </w:t>
      </w:r>
      <w:r w:rsidR="0009013D">
        <w:rPr>
          <w:rFonts w:asciiTheme="minorHAnsi" w:hAnsiTheme="minorHAnsi" w:cstheme="minorHAnsi"/>
          <w:u w:val="single"/>
        </w:rPr>
        <w:t>and R</w:t>
      </w:r>
      <w:r w:rsidRPr="0009013D">
        <w:rPr>
          <w:rFonts w:asciiTheme="minorHAnsi" w:hAnsiTheme="minorHAnsi" w:cstheme="minorHAnsi"/>
          <w:u w:val="single"/>
        </w:rPr>
        <w:t>emove</w:t>
      </w:r>
      <w:r>
        <w:rPr>
          <w:rFonts w:asciiTheme="minorHAnsi" w:hAnsiTheme="minorHAnsi" w:cstheme="minorHAnsi"/>
        </w:rPr>
        <w:t xml:space="preserve"> (single tree extraction) – </w:t>
      </w:r>
      <w:r w:rsidR="00C83D92">
        <w:rPr>
          <w:rFonts w:asciiTheme="minorHAnsi" w:hAnsiTheme="minorHAnsi" w:cstheme="minorHAnsi"/>
        </w:rPr>
        <w:t>this tactic is</w:t>
      </w:r>
      <w:r w:rsidR="0009013D">
        <w:rPr>
          <w:rFonts w:asciiTheme="minorHAnsi" w:hAnsiTheme="minorHAnsi" w:cstheme="minorHAnsi"/>
        </w:rPr>
        <w:t xml:space="preserve"> typically </w:t>
      </w:r>
      <w:r w:rsidR="00C83D92">
        <w:rPr>
          <w:rFonts w:asciiTheme="minorHAnsi" w:hAnsiTheme="minorHAnsi" w:cstheme="minorHAnsi"/>
        </w:rPr>
        <w:t xml:space="preserve">employed </w:t>
      </w:r>
      <w:r w:rsidR="0009013D">
        <w:rPr>
          <w:rFonts w:asciiTheme="minorHAnsi" w:hAnsiTheme="minorHAnsi" w:cstheme="minorHAnsi"/>
        </w:rPr>
        <w:t>following mop-up baiting.</w:t>
      </w:r>
    </w:p>
    <w:p w14:paraId="5209BFD9" w14:textId="77777777" w:rsidR="00A25DDE" w:rsidRDefault="00A25DDE" w:rsidP="005524CE">
      <w:pPr>
        <w:pStyle w:val="BodyText3"/>
        <w:rPr>
          <w:rFonts w:asciiTheme="minorHAnsi" w:hAnsiTheme="minorHAnsi" w:cstheme="minorHAnsi"/>
        </w:rPr>
      </w:pPr>
    </w:p>
    <w:p w14:paraId="5B11CFD2" w14:textId="77777777" w:rsidR="00C83D92" w:rsidRDefault="00A25DDE" w:rsidP="003C3D9C">
      <w:pPr>
        <w:pStyle w:val="BodyText3"/>
        <w:spacing w:after="120"/>
        <w:rPr>
          <w:rFonts w:asciiTheme="minorHAnsi" w:hAnsiTheme="minorHAnsi" w:cstheme="minorHAnsi"/>
        </w:rPr>
      </w:pPr>
      <w:r w:rsidRPr="0009013D">
        <w:rPr>
          <w:rFonts w:asciiTheme="minorHAnsi" w:hAnsiTheme="minorHAnsi" w:cstheme="minorHAnsi"/>
          <w:u w:val="single"/>
        </w:rPr>
        <w:t>Harvest</w:t>
      </w:r>
      <w:r>
        <w:rPr>
          <w:rFonts w:asciiTheme="minorHAnsi" w:hAnsiTheme="minorHAnsi" w:cstheme="minorHAnsi"/>
        </w:rPr>
        <w:t xml:space="preserve"> –</w:t>
      </w:r>
      <w:r w:rsidR="00C83D92">
        <w:rPr>
          <w:rFonts w:asciiTheme="minorHAnsi" w:hAnsiTheme="minorHAnsi" w:cstheme="minorHAnsi"/>
        </w:rPr>
        <w:t xml:space="preserve"> </w:t>
      </w:r>
      <w:r>
        <w:rPr>
          <w:rFonts w:asciiTheme="minorHAnsi" w:hAnsiTheme="minorHAnsi" w:cstheme="minorHAnsi"/>
        </w:rPr>
        <w:t xml:space="preserve">primary focus </w:t>
      </w:r>
      <w:r w:rsidR="00C83D92">
        <w:rPr>
          <w:rFonts w:asciiTheme="minorHAnsi" w:hAnsiTheme="minorHAnsi" w:cstheme="minorHAnsi"/>
        </w:rPr>
        <w:t xml:space="preserve">should be </w:t>
      </w:r>
      <w:r>
        <w:rPr>
          <w:rFonts w:asciiTheme="minorHAnsi" w:hAnsiTheme="minorHAnsi" w:cstheme="minorHAnsi"/>
        </w:rPr>
        <w:t xml:space="preserve">on </w:t>
      </w:r>
      <w:r w:rsidRPr="00371F80">
        <w:rPr>
          <w:rFonts w:asciiTheme="minorHAnsi" w:hAnsiTheme="minorHAnsi" w:cstheme="minorHAnsi"/>
        </w:rPr>
        <w:t xml:space="preserve">“sanitation logging”, </w:t>
      </w:r>
      <w:proofErr w:type="gramStart"/>
      <w:r>
        <w:rPr>
          <w:rFonts w:asciiTheme="minorHAnsi" w:hAnsiTheme="minorHAnsi" w:cstheme="minorHAnsi"/>
        </w:rPr>
        <w:t>i.e.</w:t>
      </w:r>
      <w:proofErr w:type="gramEnd"/>
      <w:r>
        <w:rPr>
          <w:rFonts w:asciiTheme="minorHAnsi" w:hAnsiTheme="minorHAnsi" w:cstheme="minorHAnsi"/>
        </w:rPr>
        <w:t xml:space="preserve"> h</w:t>
      </w:r>
      <w:r w:rsidRPr="00371F80">
        <w:rPr>
          <w:rFonts w:asciiTheme="minorHAnsi" w:hAnsiTheme="minorHAnsi" w:cstheme="minorHAnsi"/>
        </w:rPr>
        <w:t xml:space="preserve">arvesting </w:t>
      </w:r>
      <w:r w:rsidR="00E80769">
        <w:rPr>
          <w:rFonts w:asciiTheme="minorHAnsi" w:hAnsiTheme="minorHAnsi" w:cstheme="minorHAnsi"/>
        </w:rPr>
        <w:t>of infested trees with the objective of</w:t>
      </w:r>
      <w:r w:rsidRPr="00371F80">
        <w:rPr>
          <w:rFonts w:asciiTheme="minorHAnsi" w:hAnsiTheme="minorHAnsi" w:cstheme="minorHAnsi"/>
        </w:rPr>
        <w:t xml:space="preserve"> dest</w:t>
      </w:r>
      <w:r>
        <w:rPr>
          <w:rFonts w:asciiTheme="minorHAnsi" w:hAnsiTheme="minorHAnsi" w:cstheme="minorHAnsi"/>
        </w:rPr>
        <w:t>roy</w:t>
      </w:r>
      <w:r w:rsidR="00E80769">
        <w:rPr>
          <w:rFonts w:asciiTheme="minorHAnsi" w:hAnsiTheme="minorHAnsi" w:cstheme="minorHAnsi"/>
        </w:rPr>
        <w:t>ing localized insect populations</w:t>
      </w:r>
      <w:r>
        <w:rPr>
          <w:rFonts w:asciiTheme="minorHAnsi" w:hAnsiTheme="minorHAnsi" w:cstheme="minorHAnsi"/>
        </w:rPr>
        <w:t xml:space="preserve">. </w:t>
      </w:r>
      <w:r w:rsidRPr="00371F80">
        <w:rPr>
          <w:rFonts w:asciiTheme="minorHAnsi" w:hAnsiTheme="minorHAnsi" w:cstheme="minorHAnsi"/>
        </w:rPr>
        <w:t>The</w:t>
      </w:r>
      <w:r>
        <w:rPr>
          <w:rFonts w:asciiTheme="minorHAnsi" w:hAnsiTheme="minorHAnsi" w:cstheme="minorHAnsi"/>
        </w:rPr>
        <w:t xml:space="preserve"> best timing for</w:t>
      </w:r>
      <w:r w:rsidRPr="00371F80">
        <w:rPr>
          <w:rFonts w:asciiTheme="minorHAnsi" w:hAnsiTheme="minorHAnsi" w:cstheme="minorHAnsi"/>
        </w:rPr>
        <w:t xml:space="preserve"> sanitation logging is after the beetle flight </w:t>
      </w:r>
      <w:r>
        <w:rPr>
          <w:rFonts w:asciiTheme="minorHAnsi" w:hAnsiTheme="minorHAnsi" w:cstheme="minorHAnsi"/>
        </w:rPr>
        <w:t>period</w:t>
      </w:r>
      <w:r w:rsidRPr="00371F80">
        <w:rPr>
          <w:rFonts w:asciiTheme="minorHAnsi" w:hAnsiTheme="minorHAnsi" w:cstheme="minorHAnsi"/>
        </w:rPr>
        <w:t xml:space="preserve"> (usually late August; later if weather is cool and wet) to late March</w:t>
      </w:r>
      <w:r>
        <w:rPr>
          <w:rFonts w:asciiTheme="minorHAnsi" w:hAnsiTheme="minorHAnsi" w:cstheme="minorHAnsi"/>
        </w:rPr>
        <w:t>, when beetles are still present in infested stems</w:t>
      </w:r>
      <w:r w:rsidR="000C11DC">
        <w:rPr>
          <w:rFonts w:asciiTheme="minorHAnsi" w:hAnsiTheme="minorHAnsi" w:cstheme="minorHAnsi"/>
        </w:rPr>
        <w:t xml:space="preserve">. </w:t>
      </w:r>
    </w:p>
    <w:p w14:paraId="555EA0B3" w14:textId="77777777" w:rsidR="000C11DC" w:rsidRPr="00371F80" w:rsidRDefault="00C83D92" w:rsidP="003C3D9C">
      <w:pPr>
        <w:pStyle w:val="BodyText3"/>
        <w:spacing w:after="120"/>
        <w:rPr>
          <w:rFonts w:asciiTheme="minorHAnsi" w:hAnsiTheme="minorHAnsi" w:cstheme="minorHAnsi"/>
        </w:rPr>
      </w:pPr>
      <w:r>
        <w:rPr>
          <w:rFonts w:asciiTheme="minorHAnsi" w:hAnsiTheme="minorHAnsi" w:cstheme="minorHAnsi"/>
        </w:rPr>
        <w:t>Also c</w:t>
      </w:r>
      <w:r w:rsidR="000C11DC">
        <w:rPr>
          <w:rFonts w:asciiTheme="minorHAnsi" w:hAnsiTheme="minorHAnsi" w:cstheme="minorHAnsi"/>
        </w:rPr>
        <w:t>onsider p</w:t>
      </w:r>
      <w:r w:rsidR="000C11DC" w:rsidRPr="00371F80">
        <w:rPr>
          <w:rFonts w:asciiTheme="minorHAnsi" w:hAnsiTheme="minorHAnsi" w:cstheme="minorHAnsi"/>
        </w:rPr>
        <w:t>re-emptive harvesting of high-risk stands</w:t>
      </w:r>
      <w:r w:rsidR="000C11DC">
        <w:rPr>
          <w:rFonts w:asciiTheme="minorHAnsi" w:hAnsiTheme="minorHAnsi" w:cstheme="minorHAnsi"/>
        </w:rPr>
        <w:t xml:space="preserve">, but not at </w:t>
      </w:r>
      <w:r w:rsidR="000C11DC" w:rsidRPr="00371F80">
        <w:rPr>
          <w:rFonts w:asciiTheme="minorHAnsi" w:hAnsiTheme="minorHAnsi" w:cstheme="minorHAnsi"/>
        </w:rPr>
        <w:t>the expense of sanitation harvesting.</w:t>
      </w:r>
      <w:r>
        <w:rPr>
          <w:rFonts w:asciiTheme="minorHAnsi" w:hAnsiTheme="minorHAnsi" w:cstheme="minorHAnsi"/>
        </w:rPr>
        <w:t xml:space="preserve"> </w:t>
      </w:r>
      <w:r w:rsidR="000C11DC" w:rsidRPr="00371F80">
        <w:rPr>
          <w:rFonts w:asciiTheme="minorHAnsi" w:hAnsiTheme="minorHAnsi" w:cstheme="minorHAnsi"/>
        </w:rPr>
        <w:t xml:space="preserve"> </w:t>
      </w:r>
    </w:p>
    <w:p w14:paraId="2A47E512" w14:textId="77777777" w:rsidR="00A25DDE" w:rsidRDefault="000C11DC" w:rsidP="003C3D9C">
      <w:pPr>
        <w:pStyle w:val="BodyText3"/>
        <w:spacing w:after="120"/>
        <w:rPr>
          <w:rFonts w:asciiTheme="minorHAnsi" w:hAnsiTheme="minorHAnsi" w:cstheme="minorHAnsi"/>
        </w:rPr>
      </w:pPr>
      <w:r w:rsidRPr="007D3813">
        <w:rPr>
          <w:rFonts w:asciiTheme="minorHAnsi" w:hAnsiTheme="minorHAnsi" w:cstheme="minorHAnsi"/>
        </w:rPr>
        <w:t xml:space="preserve">Mountain Pine Beetle </w:t>
      </w:r>
      <w:r>
        <w:rPr>
          <w:rFonts w:asciiTheme="minorHAnsi" w:hAnsiTheme="minorHAnsi" w:cstheme="minorHAnsi"/>
        </w:rPr>
        <w:t>prefer</w:t>
      </w:r>
      <w:r w:rsidR="00E80769">
        <w:rPr>
          <w:rFonts w:asciiTheme="minorHAnsi" w:hAnsiTheme="minorHAnsi" w:cstheme="minorHAnsi"/>
        </w:rPr>
        <w:t>s</w:t>
      </w:r>
      <w:r w:rsidRPr="007D3813">
        <w:rPr>
          <w:rFonts w:asciiTheme="minorHAnsi" w:hAnsiTheme="minorHAnsi" w:cstheme="minorHAnsi"/>
        </w:rPr>
        <w:t xml:space="preserve"> large</w:t>
      </w:r>
      <w:r>
        <w:rPr>
          <w:rFonts w:asciiTheme="minorHAnsi" w:hAnsiTheme="minorHAnsi" w:cstheme="minorHAnsi"/>
        </w:rPr>
        <w:t>-diameter</w:t>
      </w:r>
      <w:r w:rsidRPr="007D3813">
        <w:rPr>
          <w:rFonts w:asciiTheme="minorHAnsi" w:hAnsiTheme="minorHAnsi" w:cstheme="minorHAnsi"/>
        </w:rPr>
        <w:t xml:space="preserve"> standing </w:t>
      </w:r>
      <w:r>
        <w:rPr>
          <w:rFonts w:asciiTheme="minorHAnsi" w:hAnsiTheme="minorHAnsi" w:cstheme="minorHAnsi"/>
        </w:rPr>
        <w:t>stems over downed stems, smaller-diameter</w:t>
      </w:r>
      <w:r w:rsidRPr="007D3813">
        <w:rPr>
          <w:rFonts w:asciiTheme="minorHAnsi" w:hAnsiTheme="minorHAnsi" w:cstheme="minorHAnsi"/>
        </w:rPr>
        <w:t xml:space="preserve"> trees, stumps, or slash.  However, material originating from infested trees </w:t>
      </w:r>
      <w:r>
        <w:rPr>
          <w:rFonts w:asciiTheme="minorHAnsi" w:hAnsiTheme="minorHAnsi" w:cstheme="minorHAnsi"/>
        </w:rPr>
        <w:t>(cull logs, long butts, etc.) can be a source of beetles. And as b</w:t>
      </w:r>
      <w:r w:rsidRPr="00371F80">
        <w:rPr>
          <w:rFonts w:asciiTheme="minorHAnsi" w:hAnsiTheme="minorHAnsi" w:cstheme="minorHAnsi"/>
        </w:rPr>
        <w:t xml:space="preserve">eetles </w:t>
      </w:r>
      <w:r>
        <w:rPr>
          <w:rFonts w:asciiTheme="minorHAnsi" w:hAnsiTheme="minorHAnsi" w:cstheme="minorHAnsi"/>
        </w:rPr>
        <w:t xml:space="preserve">frequently </w:t>
      </w:r>
      <w:r w:rsidRPr="00371F80">
        <w:rPr>
          <w:rFonts w:asciiTheme="minorHAnsi" w:hAnsiTheme="minorHAnsi" w:cstheme="minorHAnsi"/>
        </w:rPr>
        <w:t xml:space="preserve">over-winter in the lower bole of </w:t>
      </w:r>
      <w:r>
        <w:rPr>
          <w:rFonts w:asciiTheme="minorHAnsi" w:hAnsiTheme="minorHAnsi" w:cstheme="minorHAnsi"/>
        </w:rPr>
        <w:t xml:space="preserve">infested </w:t>
      </w:r>
      <w:r w:rsidRPr="00371F80">
        <w:rPr>
          <w:rFonts w:asciiTheme="minorHAnsi" w:hAnsiTheme="minorHAnsi" w:cstheme="minorHAnsi"/>
        </w:rPr>
        <w:t>tree</w:t>
      </w:r>
      <w:r w:rsidR="00E80769">
        <w:rPr>
          <w:rFonts w:asciiTheme="minorHAnsi" w:hAnsiTheme="minorHAnsi" w:cstheme="minorHAnsi"/>
        </w:rPr>
        <w:t>s</w:t>
      </w:r>
      <w:r>
        <w:rPr>
          <w:rFonts w:asciiTheme="minorHAnsi" w:hAnsiTheme="minorHAnsi" w:cstheme="minorHAnsi"/>
        </w:rPr>
        <w:t xml:space="preserve">, high </w:t>
      </w:r>
      <w:r w:rsidRPr="00371F80">
        <w:rPr>
          <w:rFonts w:asciiTheme="minorHAnsi" w:hAnsiTheme="minorHAnsi" w:cstheme="minorHAnsi"/>
        </w:rPr>
        <w:t>stumps</w:t>
      </w:r>
      <w:r>
        <w:rPr>
          <w:rFonts w:asciiTheme="minorHAnsi" w:hAnsiTheme="minorHAnsi" w:cstheme="minorHAnsi"/>
        </w:rPr>
        <w:t xml:space="preserve"> left in winter-harvested areas</w:t>
      </w:r>
      <w:r w:rsidRPr="00371F80">
        <w:rPr>
          <w:rFonts w:asciiTheme="minorHAnsi" w:hAnsiTheme="minorHAnsi" w:cstheme="minorHAnsi"/>
        </w:rPr>
        <w:t xml:space="preserve"> </w:t>
      </w:r>
      <w:r>
        <w:rPr>
          <w:rFonts w:asciiTheme="minorHAnsi" w:hAnsiTheme="minorHAnsi" w:cstheme="minorHAnsi"/>
        </w:rPr>
        <w:t xml:space="preserve">may also be a source. </w:t>
      </w:r>
      <w:r w:rsidR="00EB62E0">
        <w:rPr>
          <w:rFonts w:asciiTheme="minorHAnsi" w:hAnsiTheme="minorHAnsi" w:cstheme="minorHAnsi"/>
        </w:rPr>
        <w:t>I</w:t>
      </w:r>
      <w:r w:rsidRPr="007D3813">
        <w:rPr>
          <w:rFonts w:asciiTheme="minorHAnsi" w:hAnsiTheme="minorHAnsi" w:cstheme="minorHAnsi"/>
        </w:rPr>
        <w:t xml:space="preserve">n high to extreme hazard areas, mop-up baiting should be employed </w:t>
      </w:r>
      <w:proofErr w:type="gramStart"/>
      <w:r w:rsidRPr="007D3813">
        <w:rPr>
          <w:rFonts w:asciiTheme="minorHAnsi" w:hAnsiTheme="minorHAnsi" w:cstheme="minorHAnsi"/>
        </w:rPr>
        <w:t>in order to</w:t>
      </w:r>
      <w:proofErr w:type="gramEnd"/>
      <w:r w:rsidRPr="007D3813">
        <w:rPr>
          <w:rFonts w:asciiTheme="minorHAnsi" w:hAnsiTheme="minorHAnsi" w:cstheme="minorHAnsi"/>
        </w:rPr>
        <w:t xml:space="preserve"> attract and hold residual beetles.  </w:t>
      </w:r>
    </w:p>
    <w:p w14:paraId="232BA88D" w14:textId="77777777" w:rsidR="00A25DDE" w:rsidRDefault="00A25DDE" w:rsidP="00A25DDE">
      <w:pPr>
        <w:pStyle w:val="BodyText3"/>
        <w:rPr>
          <w:rFonts w:asciiTheme="minorHAnsi" w:hAnsiTheme="minorHAnsi" w:cstheme="minorHAnsi"/>
        </w:rPr>
      </w:pPr>
      <w:r>
        <w:rPr>
          <w:rFonts w:asciiTheme="minorHAnsi" w:hAnsiTheme="minorHAnsi" w:cstheme="minorHAnsi"/>
        </w:rPr>
        <w:t xml:space="preserve">Although the flight period usually occurs </w:t>
      </w:r>
      <w:r w:rsidRPr="00371F80">
        <w:rPr>
          <w:rFonts w:asciiTheme="minorHAnsi" w:hAnsiTheme="minorHAnsi" w:cstheme="minorHAnsi"/>
        </w:rPr>
        <w:t>May to June</w:t>
      </w:r>
      <w:r>
        <w:rPr>
          <w:rFonts w:asciiTheme="minorHAnsi" w:hAnsiTheme="minorHAnsi" w:cstheme="minorHAnsi"/>
        </w:rPr>
        <w:t xml:space="preserve">, atypical weather conditions may lead to insect flight occurring outside </w:t>
      </w:r>
      <w:r w:rsidR="000C11DC">
        <w:rPr>
          <w:rFonts w:asciiTheme="minorHAnsi" w:hAnsiTheme="minorHAnsi" w:cstheme="minorHAnsi"/>
        </w:rPr>
        <w:t>this</w:t>
      </w:r>
      <w:r>
        <w:rPr>
          <w:rFonts w:asciiTheme="minorHAnsi" w:hAnsiTheme="minorHAnsi" w:cstheme="minorHAnsi"/>
        </w:rPr>
        <w:t xml:space="preserve"> window. Harvest</w:t>
      </w:r>
      <w:r w:rsidRPr="00371F80">
        <w:rPr>
          <w:rFonts w:asciiTheme="minorHAnsi" w:hAnsiTheme="minorHAnsi" w:cstheme="minorHAnsi"/>
        </w:rPr>
        <w:t xml:space="preserve"> </w:t>
      </w:r>
      <w:r>
        <w:rPr>
          <w:rFonts w:asciiTheme="minorHAnsi" w:hAnsiTheme="minorHAnsi" w:cstheme="minorHAnsi"/>
        </w:rPr>
        <w:t>and haul activities can promote beetle spread</w:t>
      </w:r>
      <w:r w:rsidRPr="00371F80">
        <w:rPr>
          <w:rFonts w:asciiTheme="minorHAnsi" w:hAnsiTheme="minorHAnsi" w:cstheme="minorHAnsi"/>
        </w:rPr>
        <w:t xml:space="preserve">.  Hot milling (milling within 24 hours after transport) is recommended in such </w:t>
      </w:r>
      <w:r>
        <w:rPr>
          <w:rFonts w:asciiTheme="minorHAnsi" w:hAnsiTheme="minorHAnsi" w:cstheme="minorHAnsi"/>
        </w:rPr>
        <w:t>situations</w:t>
      </w:r>
      <w:r w:rsidRPr="00371F80">
        <w:rPr>
          <w:rFonts w:asciiTheme="minorHAnsi" w:hAnsiTheme="minorHAnsi" w:cstheme="minorHAnsi"/>
        </w:rPr>
        <w:t xml:space="preserve">.  Holding insect infested trees in log yard inventory or in </w:t>
      </w:r>
      <w:r>
        <w:rPr>
          <w:rFonts w:asciiTheme="minorHAnsi" w:hAnsiTheme="minorHAnsi" w:cstheme="minorHAnsi"/>
        </w:rPr>
        <w:t>bush decks during</w:t>
      </w:r>
      <w:r w:rsidRPr="00371F80">
        <w:rPr>
          <w:rFonts w:asciiTheme="minorHAnsi" w:hAnsiTheme="minorHAnsi" w:cstheme="minorHAnsi"/>
        </w:rPr>
        <w:t xml:space="preserve"> the flight period is not recommended</w:t>
      </w:r>
      <w:r>
        <w:rPr>
          <w:rFonts w:asciiTheme="minorHAnsi" w:hAnsiTheme="minorHAnsi" w:cstheme="minorHAnsi"/>
        </w:rPr>
        <w:t xml:space="preserve">: </w:t>
      </w:r>
      <w:r w:rsidRPr="00371F80">
        <w:rPr>
          <w:rFonts w:asciiTheme="minorHAnsi" w:hAnsiTheme="minorHAnsi" w:cstheme="minorHAnsi"/>
        </w:rPr>
        <w:t xml:space="preserve"> beetles may emerge and infest new areas.</w:t>
      </w:r>
    </w:p>
    <w:p w14:paraId="5CEDE7DC" w14:textId="77777777" w:rsidR="00C83D92" w:rsidRDefault="00C83D92" w:rsidP="00C83D92">
      <w:pPr>
        <w:pStyle w:val="BodyText"/>
        <w:spacing w:before="120"/>
      </w:pPr>
      <w:r>
        <w:t>It is vital to protect existing non-pine over- and understorey, both to protect stand integrity and to contrib</w:t>
      </w:r>
      <w:r w:rsidR="003C3D9C">
        <w:t>ute to mid-term timber supply. Where existing spruce and balsam composition exceeds 5m</w:t>
      </w:r>
      <w:r w:rsidR="003C3D9C" w:rsidRPr="00EE0047">
        <w:rPr>
          <w:vertAlign w:val="superscript"/>
        </w:rPr>
        <w:t>2</w:t>
      </w:r>
      <w:r w:rsidR="003C3D9C">
        <w:t>/ha basal area, consider employing an over</w:t>
      </w:r>
      <w:r>
        <w:t>stor</w:t>
      </w:r>
      <w:r w:rsidR="003C3D9C">
        <w:t>ey-removal harvest strategy</w:t>
      </w:r>
      <w:r>
        <w:t>.</w:t>
      </w:r>
    </w:p>
    <w:p w14:paraId="2DE4DD6E" w14:textId="77777777" w:rsidR="005524CE" w:rsidRDefault="005524CE" w:rsidP="00F62CAE">
      <w:pPr>
        <w:autoSpaceDE w:val="0"/>
        <w:autoSpaceDN w:val="0"/>
        <w:adjustRightInd w:val="0"/>
      </w:pPr>
    </w:p>
    <w:p w14:paraId="400F9E20" w14:textId="77777777" w:rsidR="003B4ACE" w:rsidRPr="000C11DC" w:rsidRDefault="000C11DC" w:rsidP="00E80769">
      <w:pPr>
        <w:autoSpaceDE w:val="0"/>
        <w:autoSpaceDN w:val="0"/>
        <w:adjustRightInd w:val="0"/>
        <w:spacing w:after="120"/>
        <w:rPr>
          <w:b/>
          <w:i/>
        </w:rPr>
      </w:pPr>
      <w:r w:rsidRPr="000C11DC">
        <w:rPr>
          <w:b/>
          <w:i/>
        </w:rPr>
        <w:t xml:space="preserve">Tactic: </w:t>
      </w:r>
      <w:r w:rsidR="003B4ACE" w:rsidRPr="000C11DC">
        <w:rPr>
          <w:b/>
          <w:i/>
        </w:rPr>
        <w:t>Monitor past areas; evaluate effectiveness of past practices</w:t>
      </w:r>
    </w:p>
    <w:p w14:paraId="3232114F" w14:textId="77777777" w:rsidR="00E80769" w:rsidRDefault="00C22D2E" w:rsidP="009D7B8C">
      <w:pPr>
        <w:pStyle w:val="BodyText3"/>
        <w:spacing w:after="120"/>
        <w:rPr>
          <w:rFonts w:asciiTheme="minorHAnsi" w:hAnsiTheme="minorHAnsi" w:cstheme="minorHAnsi"/>
        </w:rPr>
      </w:pPr>
      <w:r w:rsidRPr="007D3813">
        <w:rPr>
          <w:rFonts w:asciiTheme="minorHAnsi" w:hAnsiTheme="minorHAnsi" w:cstheme="minorHAnsi"/>
        </w:rPr>
        <w:t xml:space="preserve">An </w:t>
      </w:r>
      <w:r w:rsidR="000C11DC">
        <w:rPr>
          <w:rFonts w:asciiTheme="minorHAnsi" w:hAnsiTheme="minorHAnsi" w:cstheme="minorHAnsi"/>
        </w:rPr>
        <w:t>essential</w:t>
      </w:r>
      <w:r w:rsidRPr="007D3813">
        <w:rPr>
          <w:rFonts w:asciiTheme="minorHAnsi" w:hAnsiTheme="minorHAnsi" w:cstheme="minorHAnsi"/>
        </w:rPr>
        <w:t xml:space="preserve"> </w:t>
      </w:r>
      <w:r w:rsidR="000C11DC">
        <w:rPr>
          <w:rFonts w:asciiTheme="minorHAnsi" w:hAnsiTheme="minorHAnsi" w:cstheme="minorHAnsi"/>
        </w:rPr>
        <w:t>element</w:t>
      </w:r>
      <w:r w:rsidRPr="007D3813">
        <w:rPr>
          <w:rFonts w:asciiTheme="minorHAnsi" w:hAnsiTheme="minorHAnsi" w:cstheme="minorHAnsi"/>
        </w:rPr>
        <w:t xml:space="preserve"> of </w:t>
      </w:r>
      <w:r w:rsidR="00E80769">
        <w:rPr>
          <w:rFonts w:asciiTheme="minorHAnsi" w:hAnsiTheme="minorHAnsi" w:cstheme="minorHAnsi"/>
        </w:rPr>
        <w:t>any</w:t>
      </w:r>
      <w:r w:rsidRPr="007D3813">
        <w:rPr>
          <w:rFonts w:asciiTheme="minorHAnsi" w:hAnsiTheme="minorHAnsi" w:cstheme="minorHAnsi"/>
        </w:rPr>
        <w:t xml:space="preserve"> strategy is </w:t>
      </w:r>
      <w:r w:rsidR="00E80769">
        <w:rPr>
          <w:rFonts w:asciiTheme="minorHAnsi" w:hAnsiTheme="minorHAnsi" w:cstheme="minorHAnsi"/>
        </w:rPr>
        <w:t xml:space="preserve">maintenance of a continuous improvement feedback loop, where </w:t>
      </w:r>
      <w:r w:rsidR="009D7B8C">
        <w:rPr>
          <w:rFonts w:asciiTheme="minorHAnsi" w:hAnsiTheme="minorHAnsi" w:cstheme="minorHAnsi"/>
        </w:rPr>
        <w:t>practices</w:t>
      </w:r>
      <w:r w:rsidR="00E80769">
        <w:rPr>
          <w:rFonts w:asciiTheme="minorHAnsi" w:hAnsiTheme="minorHAnsi" w:cstheme="minorHAnsi"/>
        </w:rPr>
        <w:t xml:space="preserve"> are</w:t>
      </w:r>
      <w:r w:rsidRPr="007D3813">
        <w:rPr>
          <w:rFonts w:asciiTheme="minorHAnsi" w:hAnsiTheme="minorHAnsi" w:cstheme="minorHAnsi"/>
        </w:rPr>
        <w:t xml:space="preserve"> </w:t>
      </w:r>
      <w:r w:rsidR="00E80769">
        <w:rPr>
          <w:rFonts w:asciiTheme="minorHAnsi" w:hAnsiTheme="minorHAnsi" w:cstheme="minorHAnsi"/>
        </w:rPr>
        <w:t xml:space="preserve">routinely </w:t>
      </w:r>
      <w:r w:rsidRPr="007D3813">
        <w:rPr>
          <w:rFonts w:asciiTheme="minorHAnsi" w:hAnsiTheme="minorHAnsi" w:cstheme="minorHAnsi"/>
        </w:rPr>
        <w:t>exa</w:t>
      </w:r>
      <w:r w:rsidR="00E80769">
        <w:rPr>
          <w:rFonts w:asciiTheme="minorHAnsi" w:hAnsiTheme="minorHAnsi" w:cstheme="minorHAnsi"/>
        </w:rPr>
        <w:t xml:space="preserve">mined for their effectiveness </w:t>
      </w:r>
      <w:r w:rsidR="00495E7D">
        <w:rPr>
          <w:rFonts w:asciiTheme="minorHAnsi" w:hAnsiTheme="minorHAnsi" w:cstheme="minorHAnsi"/>
        </w:rPr>
        <w:t>in</w:t>
      </w:r>
      <w:r w:rsidR="00E80769">
        <w:rPr>
          <w:rFonts w:asciiTheme="minorHAnsi" w:hAnsiTheme="minorHAnsi" w:cstheme="minorHAnsi"/>
        </w:rPr>
        <w:t xml:space="preserve"> delivering overarching strategies and objectives.</w:t>
      </w:r>
    </w:p>
    <w:p w14:paraId="45CEDBD1" w14:textId="77777777" w:rsidR="00C22D2E" w:rsidRPr="007D3813" w:rsidRDefault="009D7B8C" w:rsidP="00C22D2E">
      <w:pPr>
        <w:pStyle w:val="BodyText3"/>
        <w:rPr>
          <w:rFonts w:asciiTheme="minorHAnsi" w:hAnsiTheme="minorHAnsi" w:cstheme="minorHAnsi"/>
        </w:rPr>
      </w:pPr>
      <w:r>
        <w:rPr>
          <w:rFonts w:asciiTheme="minorHAnsi" w:hAnsiTheme="minorHAnsi" w:cstheme="minorHAnsi"/>
        </w:rPr>
        <w:lastRenderedPageBreak/>
        <w:t>District staff will schedule a meeting with Regional Forest Health and major licensee staff, once annually by end of February, to review efficacy of tactics and practices. Results will be captured to future iterations of the Forest Health Strategy.</w:t>
      </w:r>
    </w:p>
    <w:p w14:paraId="2BD3ABC8" w14:textId="77777777" w:rsidR="00D50002" w:rsidRDefault="00D50002">
      <w:pPr>
        <w:spacing w:after="200" w:line="276" w:lineRule="auto"/>
        <w:rPr>
          <w:rFonts w:ascii="OfficinaSans-BoldItalic" w:hAnsi="OfficinaSans-BoldItalic" w:cs="OfficinaSans-BoldItalic"/>
          <w:b/>
          <w:bCs/>
          <w:iCs/>
          <w:color w:val="000000"/>
          <w:sz w:val="20"/>
          <w:szCs w:val="20"/>
        </w:rPr>
      </w:pPr>
      <w:r>
        <w:rPr>
          <w:rFonts w:ascii="OfficinaSans-BoldItalic" w:hAnsi="OfficinaSans-BoldItalic" w:cs="OfficinaSans-BoldItalic"/>
          <w:b/>
          <w:bCs/>
          <w:iCs/>
          <w:color w:val="000000"/>
          <w:sz w:val="20"/>
          <w:szCs w:val="20"/>
        </w:rPr>
        <w:br w:type="page"/>
      </w:r>
    </w:p>
    <w:p w14:paraId="7271DCBD" w14:textId="77777777" w:rsidR="00D50002" w:rsidRPr="00A54963" w:rsidRDefault="00D50002" w:rsidP="00D50002">
      <w:pPr>
        <w:spacing w:after="120"/>
        <w:rPr>
          <w:sz w:val="24"/>
          <w:szCs w:val="24"/>
        </w:rPr>
      </w:pPr>
      <w:r w:rsidRPr="00A54963">
        <w:rPr>
          <w:rFonts w:ascii="OfficinaSans-BoldItalic" w:hAnsi="OfficinaSans-BoldItalic" w:cs="OfficinaSans-BoldItalic"/>
          <w:b/>
          <w:bCs/>
          <w:iCs/>
          <w:color w:val="000000"/>
          <w:sz w:val="24"/>
          <w:szCs w:val="24"/>
        </w:rPr>
        <w:lastRenderedPageBreak/>
        <w:t xml:space="preserve">Appendix </w:t>
      </w:r>
      <w:r w:rsidR="00A54963" w:rsidRPr="00A54963">
        <w:rPr>
          <w:rFonts w:ascii="OfficinaSans-BoldItalic" w:hAnsi="OfficinaSans-BoldItalic" w:cs="OfficinaSans-BoldItalic"/>
          <w:b/>
          <w:bCs/>
          <w:iCs/>
          <w:color w:val="000000"/>
          <w:sz w:val="24"/>
          <w:szCs w:val="24"/>
        </w:rPr>
        <w:t>1.1</w:t>
      </w:r>
      <w:r w:rsidRPr="00A54963">
        <w:rPr>
          <w:rFonts w:ascii="OfficinaSans-BoldItalic" w:hAnsi="OfficinaSans-BoldItalic" w:cs="OfficinaSans-BoldItalic"/>
          <w:b/>
          <w:bCs/>
          <w:iCs/>
          <w:color w:val="000000"/>
          <w:sz w:val="24"/>
          <w:szCs w:val="24"/>
        </w:rPr>
        <w:t xml:space="preserve">:   </w:t>
      </w:r>
      <w:r w:rsidRPr="00A54963">
        <w:rPr>
          <w:b/>
          <w:sz w:val="24"/>
          <w:szCs w:val="24"/>
        </w:rPr>
        <w:t>IBM Life Cycle, Host Susceptibility, Signs &amp; Symptoms, and Damage</w:t>
      </w:r>
    </w:p>
    <w:p w14:paraId="152E2AA3" w14:textId="77777777" w:rsidR="00D50002" w:rsidRPr="00D50002" w:rsidRDefault="00D50002" w:rsidP="00D50002">
      <w:pPr>
        <w:rPr>
          <w:b/>
          <w:u w:val="single"/>
        </w:rPr>
      </w:pPr>
      <w:r w:rsidRPr="00D50002">
        <w:rPr>
          <w:b/>
          <w:u w:val="single"/>
        </w:rPr>
        <w:t>Life Cycle</w:t>
      </w:r>
    </w:p>
    <w:p w14:paraId="272658F4" w14:textId="77777777" w:rsidR="00D50002" w:rsidRDefault="00D50002" w:rsidP="00D50002">
      <w:pPr>
        <w:pStyle w:val="BodyText3"/>
        <w:rPr>
          <w:rFonts w:asciiTheme="minorHAnsi" w:hAnsiTheme="minorHAnsi" w:cstheme="minorHAnsi"/>
        </w:rPr>
      </w:pPr>
      <w:r>
        <w:rPr>
          <w:rFonts w:asciiTheme="minorHAnsi" w:hAnsiTheme="minorHAnsi" w:cstheme="minorHAnsi"/>
        </w:rPr>
        <w:t xml:space="preserve">Per Figure 1, the </w:t>
      </w:r>
      <w:r w:rsidRPr="002928E1">
        <w:rPr>
          <w:rFonts w:asciiTheme="minorHAnsi" w:hAnsiTheme="minorHAnsi" w:cstheme="minorHAnsi"/>
        </w:rPr>
        <w:t xml:space="preserve">Mountain Pine Beetle normally </w:t>
      </w:r>
      <w:r>
        <w:rPr>
          <w:rFonts w:asciiTheme="minorHAnsi" w:hAnsiTheme="minorHAnsi" w:cstheme="minorHAnsi"/>
        </w:rPr>
        <w:t>has</w:t>
      </w:r>
      <w:r w:rsidRPr="002928E1">
        <w:rPr>
          <w:rFonts w:asciiTheme="minorHAnsi" w:hAnsiTheme="minorHAnsi" w:cstheme="minorHAnsi"/>
        </w:rPr>
        <w:t xml:space="preserve"> a one-year life cycle, laying its eggs in </w:t>
      </w:r>
      <w:proofErr w:type="spellStart"/>
      <w:r w:rsidRPr="002928E1">
        <w:rPr>
          <w:rFonts w:asciiTheme="minorHAnsi" w:hAnsiTheme="minorHAnsi" w:cstheme="minorHAnsi"/>
        </w:rPr>
        <w:t>mid summer</w:t>
      </w:r>
      <w:proofErr w:type="spellEnd"/>
      <w:r w:rsidRPr="002928E1">
        <w:rPr>
          <w:rFonts w:asciiTheme="minorHAnsi" w:hAnsiTheme="minorHAnsi" w:cstheme="minorHAnsi"/>
        </w:rPr>
        <w:t xml:space="preserve">, over-wintering as larvae, pupating in the spring and emerging as adults early in the following summer.  </w:t>
      </w:r>
    </w:p>
    <w:p w14:paraId="052F42CA" w14:textId="77777777" w:rsidR="00D50002" w:rsidRDefault="00D50002" w:rsidP="00D50002">
      <w:pPr>
        <w:pStyle w:val="BodyText3"/>
        <w:rPr>
          <w:rFonts w:asciiTheme="minorHAnsi" w:hAnsiTheme="minorHAnsi" w:cstheme="minorHAnsi"/>
        </w:rPr>
      </w:pPr>
    </w:p>
    <w:p w14:paraId="0121F110" w14:textId="77777777" w:rsidR="00D50002" w:rsidRPr="002928E1" w:rsidRDefault="00D50002" w:rsidP="00D50002">
      <w:pPr>
        <w:pStyle w:val="BodyText3"/>
        <w:rPr>
          <w:rFonts w:asciiTheme="minorHAnsi" w:hAnsiTheme="minorHAnsi" w:cstheme="minorHAnsi"/>
        </w:rPr>
      </w:pPr>
      <w:r w:rsidRPr="002928E1">
        <w:rPr>
          <w:rFonts w:asciiTheme="minorHAnsi" w:hAnsiTheme="minorHAnsi" w:cstheme="minorHAnsi"/>
        </w:rPr>
        <w:t xml:space="preserve">In what is called a 2-year cycle–but should more properly be called a </w:t>
      </w:r>
      <w:r w:rsidRPr="002928E1">
        <w:rPr>
          <w:rFonts w:asciiTheme="minorHAnsi" w:hAnsiTheme="minorHAnsi" w:cstheme="minorHAnsi"/>
          <w:i/>
        </w:rPr>
        <w:t>2-summer</w:t>
      </w:r>
      <w:r w:rsidRPr="002928E1">
        <w:rPr>
          <w:rFonts w:asciiTheme="minorHAnsi" w:hAnsiTheme="minorHAnsi" w:cstheme="minorHAnsi"/>
        </w:rPr>
        <w:t xml:space="preserve"> cycle– all life stages are delayed (usually because of cool weather) by 4 to 6 weeks.  In these cases, the main beetle flight does not take place until much later than normal.  </w:t>
      </w:r>
    </w:p>
    <w:p w14:paraId="0E29B6B3" w14:textId="77777777" w:rsidR="00D50002" w:rsidRPr="002928E1" w:rsidRDefault="00D50002" w:rsidP="00D50002">
      <w:pPr>
        <w:pStyle w:val="BodyText3"/>
        <w:rPr>
          <w:rFonts w:asciiTheme="minorHAnsi" w:hAnsiTheme="minorHAnsi" w:cstheme="minorHAnsi"/>
        </w:rPr>
      </w:pPr>
    </w:p>
    <w:p w14:paraId="7152BA3B" w14:textId="77777777" w:rsidR="00D50002" w:rsidRDefault="00D50002" w:rsidP="00D50002">
      <w:pPr>
        <w:pStyle w:val="BodyText3"/>
        <w:rPr>
          <w:rFonts w:asciiTheme="minorHAnsi" w:hAnsiTheme="minorHAnsi" w:cstheme="minorHAnsi"/>
        </w:rPr>
      </w:pPr>
      <w:r w:rsidRPr="002928E1">
        <w:rPr>
          <w:rFonts w:asciiTheme="minorHAnsi" w:hAnsiTheme="minorHAnsi" w:cstheme="minorHAnsi"/>
        </w:rPr>
        <w:t xml:space="preserve">Occasionally, it is possible to have staggered two-year populations in the same area, and also possible to have one-year cycle beetles mixed in with two </w:t>
      </w:r>
      <w:proofErr w:type="gramStart"/>
      <w:r w:rsidRPr="002928E1">
        <w:rPr>
          <w:rFonts w:asciiTheme="minorHAnsi" w:hAnsiTheme="minorHAnsi" w:cstheme="minorHAnsi"/>
        </w:rPr>
        <w:t>year</w:t>
      </w:r>
      <w:proofErr w:type="gramEnd"/>
      <w:r w:rsidRPr="002928E1">
        <w:rPr>
          <w:rFonts w:asciiTheme="minorHAnsi" w:hAnsiTheme="minorHAnsi" w:cstheme="minorHAnsi"/>
        </w:rPr>
        <w:t xml:space="preserve">.  </w:t>
      </w:r>
    </w:p>
    <w:p w14:paraId="0DBF6089" w14:textId="77777777" w:rsidR="00D50002" w:rsidRDefault="00D50002" w:rsidP="00D50002">
      <w:pPr>
        <w:pStyle w:val="BodyText3"/>
        <w:rPr>
          <w:rFonts w:asciiTheme="minorHAnsi" w:hAnsiTheme="minorHAnsi" w:cstheme="minorHAnsi"/>
        </w:rPr>
      </w:pPr>
    </w:p>
    <w:p w14:paraId="01E723A4" w14:textId="77777777" w:rsidR="00D50002" w:rsidRPr="002928E1" w:rsidRDefault="00D50002" w:rsidP="00D50002">
      <w:pPr>
        <w:pStyle w:val="BodyText3"/>
        <w:rPr>
          <w:rFonts w:asciiTheme="minorHAnsi" w:hAnsiTheme="minorHAnsi" w:cstheme="minorHAnsi"/>
        </w:rPr>
      </w:pPr>
      <w:r>
        <w:rPr>
          <w:rFonts w:asciiTheme="minorHAnsi" w:hAnsiTheme="minorHAnsi" w:cstheme="minorHAnsi"/>
        </w:rPr>
        <w:t>Figure 1: IBM Life Cycle</w:t>
      </w:r>
    </w:p>
    <w:p w14:paraId="1B4F0314" w14:textId="77777777" w:rsidR="00D50002" w:rsidRDefault="00D50002" w:rsidP="00D50002">
      <w:r>
        <w:rPr>
          <w:noProof/>
          <w:lang w:eastAsia="en-CA"/>
        </w:rPr>
        <w:drawing>
          <wp:inline distT="0" distB="0" distL="0" distR="0" wp14:anchorId="4A682263" wp14:editId="17FC1F29">
            <wp:extent cx="6864305" cy="18605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880007" cy="1864806"/>
                    </a:xfrm>
                    <a:prstGeom prst="rect">
                      <a:avLst/>
                    </a:prstGeom>
                  </pic:spPr>
                </pic:pic>
              </a:graphicData>
            </a:graphic>
          </wp:inline>
        </w:drawing>
      </w:r>
    </w:p>
    <w:p w14:paraId="4135C818" w14:textId="77777777" w:rsidR="00D50002" w:rsidRDefault="00D50002" w:rsidP="00D50002">
      <w:pPr>
        <w:spacing w:after="120"/>
      </w:pPr>
    </w:p>
    <w:p w14:paraId="474A298B" w14:textId="77777777" w:rsidR="00D50002" w:rsidRDefault="00D50002" w:rsidP="00F62CAE">
      <w:pPr>
        <w:autoSpaceDE w:val="0"/>
        <w:autoSpaceDN w:val="0"/>
        <w:adjustRightInd w:val="0"/>
        <w:rPr>
          <w:b/>
          <w:u w:val="single"/>
        </w:rPr>
      </w:pPr>
    </w:p>
    <w:p w14:paraId="032897C3" w14:textId="77777777" w:rsidR="00317C10" w:rsidRDefault="00317C10" w:rsidP="00F62CAE">
      <w:pPr>
        <w:autoSpaceDE w:val="0"/>
        <w:autoSpaceDN w:val="0"/>
        <w:adjustRightInd w:val="0"/>
        <w:rPr>
          <w:b/>
          <w:sz w:val="24"/>
          <w:szCs w:val="24"/>
          <w:u w:val="single"/>
        </w:rPr>
      </w:pPr>
    </w:p>
    <w:p w14:paraId="4752B449" w14:textId="77777777" w:rsidR="00317C10" w:rsidRDefault="00317C10" w:rsidP="00F62CAE">
      <w:pPr>
        <w:autoSpaceDE w:val="0"/>
        <w:autoSpaceDN w:val="0"/>
        <w:adjustRightInd w:val="0"/>
        <w:rPr>
          <w:b/>
          <w:sz w:val="24"/>
          <w:szCs w:val="24"/>
          <w:u w:val="single"/>
        </w:rPr>
      </w:pPr>
    </w:p>
    <w:p w14:paraId="4ADB20F3" w14:textId="77777777" w:rsidR="00317C10" w:rsidRDefault="00317C10" w:rsidP="00F62CAE">
      <w:pPr>
        <w:autoSpaceDE w:val="0"/>
        <w:autoSpaceDN w:val="0"/>
        <w:adjustRightInd w:val="0"/>
        <w:rPr>
          <w:b/>
          <w:sz w:val="24"/>
          <w:szCs w:val="24"/>
          <w:u w:val="single"/>
        </w:rPr>
      </w:pPr>
    </w:p>
    <w:p w14:paraId="538BDF3F" w14:textId="77777777" w:rsidR="00317C10" w:rsidRDefault="00317C10" w:rsidP="00F62CAE">
      <w:pPr>
        <w:autoSpaceDE w:val="0"/>
        <w:autoSpaceDN w:val="0"/>
        <w:adjustRightInd w:val="0"/>
        <w:rPr>
          <w:b/>
          <w:sz w:val="24"/>
          <w:szCs w:val="24"/>
          <w:u w:val="single"/>
        </w:rPr>
      </w:pPr>
    </w:p>
    <w:p w14:paraId="38004CFA" w14:textId="77777777" w:rsidR="00317C10" w:rsidRDefault="00317C10" w:rsidP="00F62CAE">
      <w:pPr>
        <w:autoSpaceDE w:val="0"/>
        <w:autoSpaceDN w:val="0"/>
        <w:adjustRightInd w:val="0"/>
        <w:rPr>
          <w:b/>
          <w:sz w:val="24"/>
          <w:szCs w:val="24"/>
          <w:u w:val="single"/>
        </w:rPr>
      </w:pPr>
    </w:p>
    <w:p w14:paraId="7E95EB88" w14:textId="77777777" w:rsidR="000E36EF" w:rsidRDefault="000E36EF">
      <w:pPr>
        <w:spacing w:after="200" w:line="276" w:lineRule="auto"/>
        <w:rPr>
          <w:b/>
          <w:sz w:val="24"/>
          <w:szCs w:val="24"/>
          <w:u w:val="single"/>
        </w:rPr>
      </w:pPr>
      <w:r>
        <w:rPr>
          <w:b/>
          <w:sz w:val="24"/>
          <w:szCs w:val="24"/>
          <w:u w:val="single"/>
        </w:rPr>
        <w:br w:type="page"/>
      </w:r>
    </w:p>
    <w:p w14:paraId="5879C301" w14:textId="77777777" w:rsidR="00C22D2E" w:rsidRPr="00A54963" w:rsidRDefault="00A54963" w:rsidP="00F62CAE">
      <w:pPr>
        <w:autoSpaceDE w:val="0"/>
        <w:autoSpaceDN w:val="0"/>
        <w:adjustRightInd w:val="0"/>
        <w:rPr>
          <w:b/>
          <w:sz w:val="24"/>
          <w:szCs w:val="24"/>
          <w:u w:val="single"/>
        </w:rPr>
      </w:pPr>
      <w:r w:rsidRPr="00A54963">
        <w:rPr>
          <w:b/>
          <w:sz w:val="24"/>
          <w:szCs w:val="24"/>
          <w:u w:val="single"/>
        </w:rPr>
        <w:lastRenderedPageBreak/>
        <w:t xml:space="preserve">Appendix 1.2:   </w:t>
      </w:r>
      <w:r w:rsidR="00D50002" w:rsidRPr="00A54963">
        <w:rPr>
          <w:b/>
          <w:sz w:val="24"/>
          <w:szCs w:val="24"/>
          <w:u w:val="single"/>
        </w:rPr>
        <w:t>Host Susceptibility, Signs &amp; Symptoms, and Damage</w:t>
      </w:r>
    </w:p>
    <w:p w14:paraId="523AEE48" w14:textId="77777777" w:rsidR="00D50002" w:rsidRDefault="00D50002" w:rsidP="00F62CAE">
      <w:pPr>
        <w:autoSpaceDE w:val="0"/>
        <w:autoSpaceDN w:val="0"/>
        <w:adjustRightInd w:val="0"/>
        <w:rPr>
          <w:b/>
          <w:u w:val="single"/>
        </w:rPr>
      </w:pPr>
    </w:p>
    <w:p w14:paraId="39D40FBB" w14:textId="77777777" w:rsidR="000E36EF" w:rsidRDefault="00A54963" w:rsidP="00F62CAE">
      <w:pPr>
        <w:autoSpaceDE w:val="0"/>
        <w:autoSpaceDN w:val="0"/>
        <w:adjustRightInd w:val="0"/>
        <w:rPr>
          <w:rFonts w:ascii="OfficinaSans-BoldItalic" w:hAnsi="OfficinaSans-BoldItalic" w:cs="OfficinaSans-BoldItalic"/>
          <w:bCs/>
          <w:iCs/>
          <w:color w:val="000000"/>
          <w:sz w:val="20"/>
          <w:szCs w:val="20"/>
        </w:rPr>
      </w:pPr>
      <w:proofErr w:type="gramStart"/>
      <w:r w:rsidRPr="00A54963">
        <w:rPr>
          <w:rFonts w:ascii="OfficinaSans-BoldItalic" w:hAnsi="OfficinaSans-BoldItalic" w:cs="OfficinaSans-BoldItalic"/>
          <w:bCs/>
          <w:iCs/>
          <w:color w:val="000000"/>
          <w:sz w:val="20"/>
          <w:szCs w:val="20"/>
        </w:rPr>
        <w:t>(</w:t>
      </w:r>
      <w:r w:rsidR="000E36EF">
        <w:rPr>
          <w:rFonts w:ascii="OfficinaSans-BoldItalic" w:hAnsi="OfficinaSans-BoldItalic" w:cs="OfficinaSans-BoldItalic"/>
          <w:bCs/>
          <w:iCs/>
          <w:color w:val="000000"/>
          <w:sz w:val="20"/>
          <w:szCs w:val="20"/>
        </w:rPr>
        <w:t xml:space="preserve">  </w:t>
      </w:r>
      <w:r w:rsidR="00D50002" w:rsidRPr="00A54963">
        <w:rPr>
          <w:rFonts w:ascii="OfficinaSans-BoldItalic" w:hAnsi="OfficinaSans-BoldItalic" w:cs="OfficinaSans-BoldItalic"/>
          <w:bCs/>
          <w:iCs/>
          <w:color w:val="000000"/>
          <w:sz w:val="20"/>
          <w:szCs w:val="20"/>
        </w:rPr>
        <w:t>a</w:t>
      </w:r>
      <w:proofErr w:type="gramEnd"/>
      <w:r w:rsidR="00D50002" w:rsidRPr="00A54963">
        <w:rPr>
          <w:rFonts w:ascii="OfficinaSans-BoldItalic" w:hAnsi="OfficinaSans-BoldItalic" w:cs="OfficinaSans-BoldItalic"/>
          <w:bCs/>
          <w:iCs/>
          <w:color w:val="000000"/>
          <w:sz w:val="20"/>
          <w:szCs w:val="20"/>
        </w:rPr>
        <w:t xml:space="preserve"> scan of the </w:t>
      </w:r>
      <w:r w:rsidRPr="00A54963">
        <w:rPr>
          <w:rFonts w:ascii="OfficinaSans-BoldItalic" w:hAnsi="OfficinaSans-BoldItalic" w:cs="OfficinaSans-BoldItalic"/>
          <w:bCs/>
          <w:iCs/>
          <w:color w:val="000000"/>
          <w:sz w:val="20"/>
          <w:szCs w:val="20"/>
        </w:rPr>
        <w:t xml:space="preserve">IBM page from </w:t>
      </w:r>
      <w:r>
        <w:rPr>
          <w:rFonts w:ascii="OfficinaSans-BoldItalic" w:hAnsi="OfficinaSans-BoldItalic" w:cs="OfficinaSans-BoldItalic"/>
          <w:bCs/>
          <w:iCs/>
          <w:color w:val="000000"/>
          <w:sz w:val="20"/>
          <w:szCs w:val="20"/>
        </w:rPr>
        <w:t>“</w:t>
      </w:r>
      <w:r w:rsidRPr="00A54963">
        <w:rPr>
          <w:rFonts w:ascii="OfficinaSans-BoldItalic" w:hAnsi="OfficinaSans-BoldItalic" w:cs="OfficinaSans-BoldItalic"/>
          <w:bCs/>
          <w:iCs/>
          <w:color w:val="000000"/>
          <w:sz w:val="20"/>
          <w:szCs w:val="20"/>
        </w:rPr>
        <w:t>Field Guide to Forest Damage in British Columbia” will be placed here</w:t>
      </w:r>
      <w:r w:rsidR="000E36EF">
        <w:rPr>
          <w:rFonts w:ascii="OfficinaSans-BoldItalic" w:hAnsi="OfficinaSans-BoldItalic" w:cs="OfficinaSans-BoldItalic"/>
          <w:bCs/>
          <w:iCs/>
          <w:color w:val="000000"/>
          <w:sz w:val="20"/>
          <w:szCs w:val="20"/>
        </w:rPr>
        <w:t>. Also available at:</w:t>
      </w:r>
    </w:p>
    <w:p w14:paraId="176C4F07" w14:textId="77777777" w:rsidR="00D50002" w:rsidRDefault="000E36EF" w:rsidP="00F62CAE">
      <w:pPr>
        <w:autoSpaceDE w:val="0"/>
        <w:autoSpaceDN w:val="0"/>
        <w:adjustRightInd w:val="0"/>
        <w:rPr>
          <w:rFonts w:ascii="OfficinaSans-BoldItalic" w:hAnsi="OfficinaSans-BoldItalic" w:cs="OfficinaSans-BoldItalic"/>
          <w:bCs/>
          <w:iCs/>
          <w:color w:val="000000"/>
          <w:sz w:val="20"/>
          <w:szCs w:val="20"/>
        </w:rPr>
      </w:pPr>
      <w:r>
        <w:rPr>
          <w:rFonts w:ascii="OfficinaSans-BoldItalic" w:hAnsi="OfficinaSans-BoldItalic" w:cs="OfficinaSans-BoldItalic"/>
          <w:bCs/>
          <w:iCs/>
          <w:color w:val="000000"/>
          <w:sz w:val="20"/>
          <w:szCs w:val="20"/>
        </w:rPr>
        <w:br/>
      </w:r>
      <w:proofErr w:type="gramStart"/>
      <w:r w:rsidRPr="000E36EF">
        <w:rPr>
          <w:rFonts w:ascii="OfficinaSans-BoldItalic" w:hAnsi="OfficinaSans-BoldItalic" w:cs="OfficinaSans-BoldItalic"/>
          <w:bCs/>
          <w:iCs/>
          <w:color w:val="000000"/>
          <w:sz w:val="20"/>
          <w:szCs w:val="20"/>
        </w:rPr>
        <w:t>G:\!Workgrp</w:t>
      </w:r>
      <w:proofErr w:type="gramEnd"/>
      <w:r w:rsidRPr="000E36EF">
        <w:rPr>
          <w:rFonts w:ascii="OfficinaSans-BoldItalic" w:hAnsi="OfficinaSans-BoldItalic" w:cs="OfficinaSans-BoldItalic"/>
          <w:bCs/>
          <w:iCs/>
          <w:color w:val="000000"/>
          <w:sz w:val="20"/>
          <w:szCs w:val="20"/>
        </w:rPr>
        <w:t xml:space="preserve">\Stewardship\Operations\Forest Health\DSS Forest Health\2014-2015\2015 Forest Health Strategy\4_Forest Health </w:t>
      </w:r>
      <w:proofErr w:type="spellStart"/>
      <w:r w:rsidRPr="000E36EF">
        <w:rPr>
          <w:rFonts w:ascii="OfficinaSans-BoldItalic" w:hAnsi="OfficinaSans-BoldItalic" w:cs="OfficinaSans-BoldItalic"/>
          <w:bCs/>
          <w:iCs/>
          <w:color w:val="000000"/>
          <w:sz w:val="20"/>
          <w:szCs w:val="20"/>
        </w:rPr>
        <w:t>Agents_Descr-etc</w:t>
      </w:r>
      <w:proofErr w:type="spellEnd"/>
      <w:r w:rsidRPr="000E36EF">
        <w:rPr>
          <w:rFonts w:ascii="OfficinaSans-BoldItalic" w:hAnsi="OfficinaSans-BoldItalic" w:cs="OfficinaSans-BoldItalic"/>
          <w:bCs/>
          <w:iCs/>
          <w:color w:val="000000"/>
          <w:sz w:val="20"/>
          <w:szCs w:val="20"/>
        </w:rPr>
        <w:t>\1 Mtn Pine Beetle\Appendix Items</w:t>
      </w:r>
      <w:r>
        <w:rPr>
          <w:rFonts w:ascii="OfficinaSans-BoldItalic" w:hAnsi="OfficinaSans-BoldItalic" w:cs="OfficinaSans-BoldItalic"/>
          <w:bCs/>
          <w:iCs/>
          <w:color w:val="000000"/>
          <w:sz w:val="20"/>
          <w:szCs w:val="20"/>
        </w:rPr>
        <w:t xml:space="preserve">\ </w:t>
      </w:r>
      <w:r w:rsidRPr="000E36EF">
        <w:rPr>
          <w:rFonts w:ascii="OfficinaSans-BoldItalic" w:hAnsi="OfficinaSans-BoldItalic" w:cs="OfficinaSans-BoldItalic"/>
          <w:bCs/>
          <w:iCs/>
          <w:color w:val="000000"/>
          <w:sz w:val="20"/>
          <w:szCs w:val="20"/>
        </w:rPr>
        <w:t>2_IBM_FieldGuideScan</w:t>
      </w:r>
      <w:r>
        <w:rPr>
          <w:rFonts w:ascii="OfficinaSans-BoldItalic" w:hAnsi="OfficinaSans-BoldItalic" w:cs="OfficinaSans-BoldItalic"/>
          <w:bCs/>
          <w:iCs/>
          <w:color w:val="000000"/>
          <w:sz w:val="20"/>
          <w:szCs w:val="20"/>
        </w:rPr>
        <w:t xml:space="preserve">.pdf     </w:t>
      </w:r>
      <w:r w:rsidR="00317C10">
        <w:rPr>
          <w:rFonts w:ascii="OfficinaSans-BoldItalic" w:hAnsi="OfficinaSans-BoldItalic" w:cs="OfficinaSans-BoldItalic"/>
          <w:bCs/>
          <w:iCs/>
          <w:color w:val="000000"/>
          <w:sz w:val="20"/>
          <w:szCs w:val="20"/>
        </w:rPr>
        <w:t>)</w:t>
      </w:r>
    </w:p>
    <w:p w14:paraId="31208E12" w14:textId="77777777" w:rsidR="00A54963" w:rsidRDefault="00A54963" w:rsidP="00F62CAE">
      <w:pPr>
        <w:autoSpaceDE w:val="0"/>
        <w:autoSpaceDN w:val="0"/>
        <w:adjustRightInd w:val="0"/>
        <w:rPr>
          <w:rFonts w:ascii="OfficinaSans-BoldItalic" w:hAnsi="OfficinaSans-BoldItalic" w:cs="OfficinaSans-BoldItalic"/>
          <w:bCs/>
          <w:iCs/>
          <w:color w:val="000000"/>
          <w:sz w:val="20"/>
          <w:szCs w:val="20"/>
        </w:rPr>
      </w:pPr>
    </w:p>
    <w:p w14:paraId="48F709CD" w14:textId="77777777" w:rsidR="00A54963" w:rsidRDefault="00A54963" w:rsidP="00F62CAE">
      <w:pPr>
        <w:autoSpaceDE w:val="0"/>
        <w:autoSpaceDN w:val="0"/>
        <w:adjustRightInd w:val="0"/>
        <w:rPr>
          <w:rFonts w:ascii="OfficinaSans-BoldItalic" w:hAnsi="OfficinaSans-BoldItalic" w:cs="OfficinaSans-BoldItalic"/>
          <w:bCs/>
          <w:iCs/>
          <w:color w:val="000000"/>
          <w:sz w:val="20"/>
          <w:szCs w:val="20"/>
        </w:rPr>
      </w:pPr>
    </w:p>
    <w:p w14:paraId="483FDF54" w14:textId="77777777" w:rsidR="00A54963" w:rsidRDefault="00A54963">
      <w:pPr>
        <w:spacing w:after="200" w:line="276" w:lineRule="auto"/>
        <w:rPr>
          <w:b/>
        </w:rPr>
      </w:pPr>
      <w:r>
        <w:rPr>
          <w:b/>
        </w:rPr>
        <w:br w:type="page"/>
      </w:r>
    </w:p>
    <w:p w14:paraId="55677BE5" w14:textId="77777777" w:rsidR="00A54963" w:rsidRPr="00A54963" w:rsidRDefault="00A54963" w:rsidP="00A54963">
      <w:pPr>
        <w:rPr>
          <w:b/>
          <w:sz w:val="24"/>
          <w:szCs w:val="24"/>
        </w:rPr>
      </w:pPr>
      <w:r w:rsidRPr="00A54963">
        <w:rPr>
          <w:b/>
          <w:sz w:val="24"/>
          <w:szCs w:val="24"/>
        </w:rPr>
        <w:lastRenderedPageBreak/>
        <w:t>Appendix 1.3:  Mountain Pine Beetle Hazard Rating Documentation</w:t>
      </w:r>
    </w:p>
    <w:p w14:paraId="7E08ECFC" w14:textId="77777777" w:rsidR="00A54963" w:rsidRDefault="00A54963" w:rsidP="00A54963"/>
    <w:p w14:paraId="377875DC" w14:textId="77777777" w:rsidR="000E36EF" w:rsidRPr="009D3746" w:rsidRDefault="000E36EF" w:rsidP="000E36EF">
      <w:pPr>
        <w:autoSpaceDE w:val="0"/>
        <w:autoSpaceDN w:val="0"/>
        <w:adjustRightInd w:val="0"/>
        <w:rPr>
          <w:rFonts w:asciiTheme="minorHAnsi" w:hAnsiTheme="minorHAnsi" w:cstheme="minorHAnsi"/>
          <w:bCs/>
          <w:iCs/>
          <w:color w:val="000000"/>
          <w:sz w:val="24"/>
          <w:szCs w:val="24"/>
        </w:rPr>
      </w:pPr>
      <w:r w:rsidRPr="009D3746">
        <w:rPr>
          <w:rFonts w:asciiTheme="minorHAnsi" w:hAnsiTheme="minorHAnsi" w:cstheme="minorHAnsi"/>
          <w:sz w:val="24"/>
          <w:szCs w:val="24"/>
        </w:rPr>
        <w:t>(Double-click within box to expand)</w:t>
      </w:r>
    </w:p>
    <w:p w14:paraId="234E4B92" w14:textId="77777777" w:rsidR="00A54963" w:rsidRDefault="00A54963" w:rsidP="00F62CAE">
      <w:pPr>
        <w:autoSpaceDE w:val="0"/>
        <w:autoSpaceDN w:val="0"/>
        <w:adjustRightInd w:val="0"/>
        <w:rPr>
          <w:rFonts w:ascii="OfficinaSans-BoldItalic" w:hAnsi="OfficinaSans-BoldItalic" w:cs="OfficinaSans-BoldItalic"/>
          <w:bCs/>
          <w:iCs/>
          <w:color w:val="000000"/>
          <w:sz w:val="20"/>
          <w:szCs w:val="20"/>
        </w:rPr>
      </w:pPr>
    </w:p>
    <w:p w14:paraId="0DB5E0EE" w14:textId="77777777" w:rsidR="000E36EF" w:rsidRDefault="000E36EF" w:rsidP="00F62CAE">
      <w:pPr>
        <w:autoSpaceDE w:val="0"/>
        <w:autoSpaceDN w:val="0"/>
        <w:adjustRightInd w:val="0"/>
        <w:rPr>
          <w:rFonts w:ascii="OfficinaSans-BoldItalic" w:hAnsi="OfficinaSans-BoldItalic" w:cs="OfficinaSans-BoldItalic"/>
          <w:bCs/>
          <w:iCs/>
          <w:color w:val="000000"/>
          <w:sz w:val="20"/>
          <w:szCs w:val="20"/>
        </w:rPr>
      </w:pPr>
      <w:r w:rsidRPr="000E36EF">
        <w:rPr>
          <w:rFonts w:ascii="OfficinaSans-BoldItalic" w:hAnsi="OfficinaSans-BoldItalic" w:cs="OfficinaSans-BoldItalic"/>
          <w:bCs/>
          <w:iCs/>
          <w:color w:val="000000"/>
          <w:sz w:val="20"/>
          <w:szCs w:val="20"/>
        </w:rPr>
        <w:object w:dxaOrig="5976" w:dyaOrig="12419" w14:anchorId="3E4430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5pt;height:621pt" o:ole="" o:bordertopcolor="this" o:borderleftcolor="this" o:borderbottomcolor="this" o:borderrightcolor="this">
            <v:imagedata r:id="rId20" o:title=""/>
            <w10:bordertop type="single" width="12"/>
            <w10:borderleft type="single" width="12"/>
            <w10:borderbottom type="single" width="12"/>
            <w10:borderright type="single" width="12"/>
          </v:shape>
          <o:OLEObject Type="Embed" ProgID="Word.Document.12" ShapeID="_x0000_i1025" DrawAspect="Content" ObjectID="_1749452699" r:id="rId21">
            <o:FieldCodes>\s</o:FieldCodes>
          </o:OLEObject>
        </w:object>
      </w:r>
    </w:p>
    <w:p w14:paraId="1582C97B" w14:textId="77777777" w:rsidR="00A54963" w:rsidRDefault="00A54963">
      <w:pPr>
        <w:spacing w:after="200" w:line="276" w:lineRule="auto"/>
        <w:rPr>
          <w:rFonts w:ascii="OfficinaSans-BoldItalic" w:hAnsi="OfficinaSans-BoldItalic" w:cs="OfficinaSans-BoldItalic"/>
          <w:bCs/>
          <w:iCs/>
          <w:color w:val="000000"/>
          <w:sz w:val="20"/>
          <w:szCs w:val="20"/>
        </w:rPr>
      </w:pPr>
      <w:r>
        <w:rPr>
          <w:rFonts w:ascii="OfficinaSans-BoldItalic" w:hAnsi="OfficinaSans-BoldItalic" w:cs="OfficinaSans-BoldItalic"/>
          <w:bCs/>
          <w:iCs/>
          <w:color w:val="000000"/>
          <w:sz w:val="20"/>
          <w:szCs w:val="20"/>
        </w:rPr>
        <w:br w:type="page"/>
      </w:r>
    </w:p>
    <w:p w14:paraId="55781DF1" w14:textId="77777777" w:rsidR="00317C10" w:rsidRDefault="00A54963" w:rsidP="00F62CAE">
      <w:pPr>
        <w:autoSpaceDE w:val="0"/>
        <w:autoSpaceDN w:val="0"/>
        <w:adjustRightInd w:val="0"/>
        <w:rPr>
          <w:rFonts w:asciiTheme="minorHAnsi" w:hAnsiTheme="minorHAnsi" w:cstheme="minorHAnsi"/>
          <w:b/>
          <w:bCs/>
          <w:iCs/>
          <w:color w:val="000000"/>
          <w:sz w:val="24"/>
          <w:szCs w:val="24"/>
        </w:rPr>
      </w:pPr>
      <w:r w:rsidRPr="00A54963">
        <w:rPr>
          <w:rFonts w:asciiTheme="minorHAnsi" w:hAnsiTheme="minorHAnsi" w:cstheme="minorHAnsi"/>
          <w:b/>
          <w:bCs/>
          <w:iCs/>
          <w:color w:val="000000"/>
          <w:sz w:val="24"/>
          <w:szCs w:val="24"/>
        </w:rPr>
        <w:lastRenderedPageBreak/>
        <w:t xml:space="preserve">Appendix 1.4:   </w:t>
      </w:r>
      <w:r w:rsidR="00317C10">
        <w:rPr>
          <w:rFonts w:asciiTheme="minorHAnsi" w:hAnsiTheme="minorHAnsi" w:cstheme="minorHAnsi"/>
          <w:b/>
          <w:bCs/>
          <w:iCs/>
          <w:color w:val="000000"/>
          <w:sz w:val="24"/>
          <w:szCs w:val="24"/>
        </w:rPr>
        <w:t>2015 IBM Beetle Management Unit Strategy Analysis</w:t>
      </w:r>
    </w:p>
    <w:p w14:paraId="7C219178" w14:textId="77777777" w:rsidR="00317C10" w:rsidRDefault="00317C10" w:rsidP="00F62CAE">
      <w:pPr>
        <w:autoSpaceDE w:val="0"/>
        <w:autoSpaceDN w:val="0"/>
        <w:adjustRightInd w:val="0"/>
        <w:rPr>
          <w:rFonts w:asciiTheme="minorHAnsi" w:hAnsiTheme="minorHAnsi" w:cstheme="minorHAnsi"/>
          <w:b/>
          <w:bCs/>
          <w:iCs/>
          <w:color w:val="000000"/>
          <w:sz w:val="24"/>
          <w:szCs w:val="24"/>
        </w:rPr>
      </w:pPr>
    </w:p>
    <w:p w14:paraId="2ED6B084" w14:textId="77777777" w:rsidR="00317C10" w:rsidRDefault="00317C10" w:rsidP="00F62CAE">
      <w:pPr>
        <w:autoSpaceDE w:val="0"/>
        <w:autoSpaceDN w:val="0"/>
        <w:adjustRightInd w:val="0"/>
        <w:rPr>
          <w:rFonts w:asciiTheme="minorHAnsi" w:hAnsiTheme="minorHAnsi" w:cstheme="minorHAnsi"/>
          <w:b/>
          <w:bCs/>
          <w:iCs/>
          <w:color w:val="000000"/>
          <w:sz w:val="24"/>
          <w:szCs w:val="24"/>
        </w:rPr>
      </w:pPr>
      <w:proofErr w:type="gramStart"/>
      <w:r w:rsidRPr="00A54963">
        <w:rPr>
          <w:rFonts w:ascii="OfficinaSans-BoldItalic" w:hAnsi="OfficinaSans-BoldItalic" w:cs="OfficinaSans-BoldItalic"/>
          <w:bCs/>
          <w:iCs/>
          <w:color w:val="000000"/>
          <w:sz w:val="20"/>
          <w:szCs w:val="20"/>
        </w:rPr>
        <w:t>(</w:t>
      </w:r>
      <w:r w:rsidR="000E36EF">
        <w:rPr>
          <w:rFonts w:ascii="OfficinaSans-BoldItalic" w:hAnsi="OfficinaSans-BoldItalic" w:cs="OfficinaSans-BoldItalic"/>
          <w:bCs/>
          <w:iCs/>
          <w:color w:val="000000"/>
          <w:sz w:val="20"/>
          <w:szCs w:val="20"/>
        </w:rPr>
        <w:t xml:space="preserve">  </w:t>
      </w:r>
      <w:proofErr w:type="gramEnd"/>
      <w:r w:rsidR="000E36EF">
        <w:rPr>
          <w:rFonts w:ascii="OfficinaSans-BoldItalic" w:hAnsi="OfficinaSans-BoldItalic" w:cs="OfficinaSans-BoldItalic"/>
          <w:bCs/>
          <w:iCs/>
          <w:color w:val="000000"/>
          <w:sz w:val="20"/>
          <w:szCs w:val="20"/>
        </w:rPr>
        <w:t xml:space="preserve"> </w:t>
      </w:r>
      <w:r>
        <w:rPr>
          <w:rFonts w:ascii="OfficinaSans-BoldItalic" w:hAnsi="OfficinaSans-BoldItalic" w:cs="OfficinaSans-BoldItalic"/>
          <w:bCs/>
          <w:iCs/>
          <w:color w:val="000000"/>
          <w:sz w:val="20"/>
          <w:szCs w:val="20"/>
        </w:rPr>
        <w:t>a copy of the Excel –based BMU Strategy Analysis will be placed here. Also available at:</w:t>
      </w:r>
      <w:r>
        <w:rPr>
          <w:rFonts w:ascii="OfficinaSans-BoldItalic" w:hAnsi="OfficinaSans-BoldItalic" w:cs="OfficinaSans-BoldItalic"/>
          <w:bCs/>
          <w:iCs/>
          <w:color w:val="000000"/>
          <w:sz w:val="20"/>
          <w:szCs w:val="20"/>
        </w:rPr>
        <w:br/>
      </w:r>
      <w:r>
        <w:rPr>
          <w:rFonts w:ascii="OfficinaSans-BoldItalic" w:hAnsi="OfficinaSans-BoldItalic" w:cs="OfficinaSans-BoldItalic"/>
          <w:bCs/>
          <w:iCs/>
          <w:color w:val="000000"/>
          <w:sz w:val="20"/>
          <w:szCs w:val="20"/>
        </w:rPr>
        <w:br/>
      </w:r>
      <w:proofErr w:type="gramStart"/>
      <w:r w:rsidRPr="00317C10">
        <w:rPr>
          <w:rFonts w:ascii="OfficinaSans-BoldItalic" w:hAnsi="OfficinaSans-BoldItalic" w:cs="OfficinaSans-BoldItalic"/>
          <w:bCs/>
          <w:iCs/>
          <w:color w:val="000000"/>
          <w:sz w:val="20"/>
          <w:szCs w:val="20"/>
        </w:rPr>
        <w:t>G:\!Workgrp</w:t>
      </w:r>
      <w:proofErr w:type="gramEnd"/>
      <w:r w:rsidRPr="00317C10">
        <w:rPr>
          <w:rFonts w:ascii="OfficinaSans-BoldItalic" w:hAnsi="OfficinaSans-BoldItalic" w:cs="OfficinaSans-BoldItalic"/>
          <w:bCs/>
          <w:iCs/>
          <w:color w:val="000000"/>
          <w:sz w:val="20"/>
          <w:szCs w:val="20"/>
        </w:rPr>
        <w:t xml:space="preserve">\Stewardship\Operations\Forest Health\DSS Forest Health\2014-2015\2015 Forest Health Strategy\4_Forest Health </w:t>
      </w:r>
      <w:proofErr w:type="spellStart"/>
      <w:r w:rsidRPr="00317C10">
        <w:rPr>
          <w:rFonts w:ascii="OfficinaSans-BoldItalic" w:hAnsi="OfficinaSans-BoldItalic" w:cs="OfficinaSans-BoldItalic"/>
          <w:bCs/>
          <w:iCs/>
          <w:color w:val="000000"/>
          <w:sz w:val="20"/>
          <w:szCs w:val="20"/>
        </w:rPr>
        <w:t>Agents_Descr-etc</w:t>
      </w:r>
      <w:proofErr w:type="spellEnd"/>
      <w:r w:rsidRPr="00317C10">
        <w:rPr>
          <w:rFonts w:ascii="OfficinaSans-BoldItalic" w:hAnsi="OfficinaSans-BoldItalic" w:cs="OfficinaSans-BoldItalic"/>
          <w:bCs/>
          <w:iCs/>
          <w:color w:val="000000"/>
          <w:sz w:val="20"/>
          <w:szCs w:val="20"/>
        </w:rPr>
        <w:t>\1 Mtn Pine Beetle\Appendix Items</w:t>
      </w:r>
      <w:r>
        <w:rPr>
          <w:rFonts w:ascii="OfficinaSans-BoldItalic" w:hAnsi="OfficinaSans-BoldItalic" w:cs="OfficinaSans-BoldItalic"/>
          <w:bCs/>
          <w:iCs/>
          <w:color w:val="000000"/>
          <w:sz w:val="20"/>
          <w:szCs w:val="20"/>
        </w:rPr>
        <w:t>\</w:t>
      </w:r>
      <w:r w:rsidRPr="00317C10">
        <w:rPr>
          <w:rFonts w:ascii="OfficinaSans-BoldItalic" w:hAnsi="OfficinaSans-BoldItalic" w:cs="OfficinaSans-BoldItalic"/>
          <w:bCs/>
          <w:iCs/>
          <w:color w:val="000000"/>
          <w:sz w:val="20"/>
          <w:szCs w:val="20"/>
        </w:rPr>
        <w:t>2015_BMU_Strategy_Analysis</w:t>
      </w:r>
      <w:r>
        <w:rPr>
          <w:rFonts w:ascii="OfficinaSans-BoldItalic" w:hAnsi="OfficinaSans-BoldItalic" w:cs="OfficinaSans-BoldItalic"/>
          <w:bCs/>
          <w:iCs/>
          <w:color w:val="000000"/>
          <w:sz w:val="20"/>
          <w:szCs w:val="20"/>
        </w:rPr>
        <w:t>.xlsx</w:t>
      </w:r>
      <w:r w:rsidR="000E36EF">
        <w:rPr>
          <w:rFonts w:ascii="OfficinaSans-BoldItalic" w:hAnsi="OfficinaSans-BoldItalic" w:cs="OfficinaSans-BoldItalic"/>
          <w:bCs/>
          <w:iCs/>
          <w:color w:val="000000"/>
          <w:sz w:val="20"/>
          <w:szCs w:val="20"/>
        </w:rPr>
        <w:t xml:space="preserve">    </w:t>
      </w:r>
      <w:r>
        <w:rPr>
          <w:rFonts w:ascii="OfficinaSans-BoldItalic" w:hAnsi="OfficinaSans-BoldItalic" w:cs="OfficinaSans-BoldItalic"/>
          <w:bCs/>
          <w:iCs/>
          <w:color w:val="000000"/>
          <w:sz w:val="20"/>
          <w:szCs w:val="20"/>
        </w:rPr>
        <w:t>)</w:t>
      </w:r>
    </w:p>
    <w:p w14:paraId="7D3E7E9B" w14:textId="77777777" w:rsidR="00317C10" w:rsidRDefault="00317C10" w:rsidP="00F62CAE">
      <w:pPr>
        <w:autoSpaceDE w:val="0"/>
        <w:autoSpaceDN w:val="0"/>
        <w:adjustRightInd w:val="0"/>
        <w:rPr>
          <w:rFonts w:asciiTheme="minorHAnsi" w:hAnsiTheme="minorHAnsi" w:cstheme="minorHAnsi"/>
          <w:b/>
          <w:bCs/>
          <w:iCs/>
          <w:color w:val="000000"/>
          <w:sz w:val="24"/>
          <w:szCs w:val="24"/>
        </w:rPr>
      </w:pPr>
    </w:p>
    <w:p w14:paraId="618C0B86" w14:textId="77777777" w:rsidR="00317C10" w:rsidRDefault="00317C10" w:rsidP="00F62CAE">
      <w:pPr>
        <w:autoSpaceDE w:val="0"/>
        <w:autoSpaceDN w:val="0"/>
        <w:adjustRightInd w:val="0"/>
        <w:rPr>
          <w:rFonts w:asciiTheme="minorHAnsi" w:hAnsiTheme="minorHAnsi" w:cstheme="minorHAnsi"/>
          <w:b/>
          <w:bCs/>
          <w:iCs/>
          <w:color w:val="000000"/>
          <w:sz w:val="24"/>
          <w:szCs w:val="24"/>
        </w:rPr>
      </w:pPr>
    </w:p>
    <w:p w14:paraId="54A30066" w14:textId="77777777" w:rsidR="00317C10" w:rsidRDefault="00317C10">
      <w:pPr>
        <w:spacing w:after="200" w:line="276" w:lineRule="auto"/>
        <w:rPr>
          <w:rFonts w:asciiTheme="minorHAnsi" w:hAnsiTheme="minorHAnsi" w:cstheme="minorHAnsi"/>
          <w:b/>
          <w:bCs/>
          <w:iCs/>
          <w:color w:val="000000"/>
          <w:sz w:val="24"/>
          <w:szCs w:val="24"/>
        </w:rPr>
      </w:pPr>
      <w:r>
        <w:rPr>
          <w:rFonts w:asciiTheme="minorHAnsi" w:hAnsiTheme="minorHAnsi" w:cstheme="minorHAnsi"/>
          <w:b/>
          <w:bCs/>
          <w:iCs/>
          <w:color w:val="000000"/>
          <w:sz w:val="24"/>
          <w:szCs w:val="24"/>
        </w:rPr>
        <w:br w:type="page"/>
      </w:r>
    </w:p>
    <w:p w14:paraId="0C533867" w14:textId="77777777" w:rsidR="00A54963" w:rsidRDefault="00317C10" w:rsidP="00F62CAE">
      <w:pPr>
        <w:autoSpaceDE w:val="0"/>
        <w:autoSpaceDN w:val="0"/>
        <w:adjustRightInd w:val="0"/>
        <w:rPr>
          <w:rFonts w:asciiTheme="minorHAnsi" w:hAnsiTheme="minorHAnsi" w:cstheme="minorHAnsi"/>
          <w:b/>
          <w:sz w:val="24"/>
          <w:szCs w:val="24"/>
        </w:rPr>
      </w:pPr>
      <w:r>
        <w:rPr>
          <w:rFonts w:asciiTheme="minorHAnsi" w:hAnsiTheme="minorHAnsi" w:cstheme="minorHAnsi"/>
          <w:b/>
          <w:bCs/>
          <w:iCs/>
          <w:color w:val="000000"/>
          <w:sz w:val="24"/>
          <w:szCs w:val="24"/>
        </w:rPr>
        <w:lastRenderedPageBreak/>
        <w:t xml:space="preserve">Appendix 1.5:  Contract </w:t>
      </w:r>
      <w:r w:rsidR="00A54963" w:rsidRPr="00A54963">
        <w:rPr>
          <w:rFonts w:asciiTheme="minorHAnsi" w:hAnsiTheme="minorHAnsi" w:cstheme="minorHAnsi"/>
          <w:b/>
          <w:bCs/>
          <w:iCs/>
          <w:color w:val="000000"/>
          <w:sz w:val="24"/>
          <w:szCs w:val="24"/>
        </w:rPr>
        <w:t xml:space="preserve">Specifications for </w:t>
      </w:r>
      <w:r w:rsidR="00A54963" w:rsidRPr="00A54963">
        <w:rPr>
          <w:rFonts w:asciiTheme="minorHAnsi" w:hAnsiTheme="minorHAnsi" w:cstheme="minorHAnsi"/>
          <w:b/>
          <w:sz w:val="24"/>
          <w:szCs w:val="24"/>
        </w:rPr>
        <w:t>Detailed Overview Pine Beetle Detection Surveys</w:t>
      </w:r>
    </w:p>
    <w:p w14:paraId="6FA777BE" w14:textId="77777777" w:rsidR="009D3746" w:rsidRDefault="009D3746" w:rsidP="00F62CAE">
      <w:pPr>
        <w:autoSpaceDE w:val="0"/>
        <w:autoSpaceDN w:val="0"/>
        <w:adjustRightInd w:val="0"/>
        <w:rPr>
          <w:rFonts w:asciiTheme="minorHAnsi" w:hAnsiTheme="minorHAnsi" w:cstheme="minorHAnsi"/>
          <w:b/>
          <w:sz w:val="24"/>
          <w:szCs w:val="24"/>
        </w:rPr>
      </w:pPr>
    </w:p>
    <w:p w14:paraId="06A9BA4C" w14:textId="77777777" w:rsidR="009D3746" w:rsidRPr="009D3746" w:rsidRDefault="009D3746" w:rsidP="00F62CAE">
      <w:pPr>
        <w:autoSpaceDE w:val="0"/>
        <w:autoSpaceDN w:val="0"/>
        <w:adjustRightInd w:val="0"/>
        <w:rPr>
          <w:rFonts w:asciiTheme="minorHAnsi" w:hAnsiTheme="minorHAnsi" w:cstheme="minorHAnsi"/>
          <w:bCs/>
          <w:iCs/>
          <w:color w:val="000000"/>
          <w:sz w:val="24"/>
          <w:szCs w:val="24"/>
        </w:rPr>
      </w:pPr>
      <w:r w:rsidRPr="009D3746">
        <w:rPr>
          <w:rFonts w:asciiTheme="minorHAnsi" w:hAnsiTheme="minorHAnsi" w:cstheme="minorHAnsi"/>
          <w:sz w:val="24"/>
          <w:szCs w:val="24"/>
        </w:rPr>
        <w:t>(Double-click within box to expand)</w:t>
      </w:r>
    </w:p>
    <w:p w14:paraId="385CBC44" w14:textId="77777777" w:rsidR="00A54963" w:rsidRPr="00A54963" w:rsidRDefault="00A54963" w:rsidP="00F62CAE">
      <w:pPr>
        <w:autoSpaceDE w:val="0"/>
        <w:autoSpaceDN w:val="0"/>
        <w:adjustRightInd w:val="0"/>
        <w:rPr>
          <w:rFonts w:asciiTheme="minorHAnsi" w:hAnsiTheme="minorHAnsi" w:cstheme="minorHAnsi"/>
          <w:b/>
          <w:bCs/>
          <w:iCs/>
          <w:color w:val="000000"/>
          <w:sz w:val="24"/>
          <w:szCs w:val="24"/>
        </w:rPr>
      </w:pPr>
    </w:p>
    <w:bookmarkStart w:id="10" w:name="_MON_1491310030"/>
    <w:bookmarkEnd w:id="10"/>
    <w:p w14:paraId="58AF618E" w14:textId="77777777" w:rsidR="00A54963" w:rsidRDefault="009D3746" w:rsidP="00F62CAE">
      <w:pPr>
        <w:autoSpaceDE w:val="0"/>
        <w:autoSpaceDN w:val="0"/>
        <w:adjustRightInd w:val="0"/>
        <w:rPr>
          <w:rFonts w:ascii="OfficinaSans-BoldItalic" w:hAnsi="OfficinaSans-BoldItalic" w:cs="OfficinaSans-BoldItalic"/>
          <w:bCs/>
          <w:iCs/>
          <w:color w:val="000000"/>
          <w:sz w:val="20"/>
          <w:szCs w:val="20"/>
        </w:rPr>
      </w:pPr>
      <w:r w:rsidRPr="00A54963">
        <w:rPr>
          <w:rFonts w:ascii="OfficinaSans-BoldItalic" w:hAnsi="OfficinaSans-BoldItalic" w:cs="OfficinaSans-BoldItalic"/>
          <w:bCs/>
          <w:iCs/>
          <w:color w:val="000000"/>
          <w:sz w:val="20"/>
          <w:szCs w:val="20"/>
        </w:rPr>
        <w:object w:dxaOrig="5616" w:dyaOrig="11119" w14:anchorId="590B3874">
          <v:shape id="_x0000_i1026" type="#_x0000_t75" style="width:280.5pt;height:555.75pt" o:ole="" o:bordertopcolor="this" o:borderleftcolor="this" o:borderbottomcolor="this" o:borderrightcolor="this">
            <v:imagedata r:id="rId22" o:title=""/>
            <w10:bordertop type="single" width="12"/>
            <w10:borderleft type="single" width="12"/>
            <w10:borderbottom type="single" width="12"/>
            <w10:borderright type="single" width="12"/>
          </v:shape>
          <o:OLEObject Type="Embed" ProgID="Word.Document.12" ShapeID="_x0000_i1026" DrawAspect="Content" ObjectID="_1749452700" r:id="rId23">
            <o:FieldCodes>\s</o:FieldCodes>
          </o:OLEObject>
        </w:object>
      </w:r>
    </w:p>
    <w:p w14:paraId="5B3E7128" w14:textId="77777777" w:rsidR="009D3746" w:rsidRDefault="009D3746" w:rsidP="00F62CAE">
      <w:pPr>
        <w:autoSpaceDE w:val="0"/>
        <w:autoSpaceDN w:val="0"/>
        <w:adjustRightInd w:val="0"/>
        <w:rPr>
          <w:rFonts w:ascii="OfficinaSans-BoldItalic" w:hAnsi="OfficinaSans-BoldItalic" w:cs="OfficinaSans-BoldItalic"/>
          <w:bCs/>
          <w:iCs/>
          <w:color w:val="000000"/>
          <w:sz w:val="20"/>
          <w:szCs w:val="20"/>
        </w:rPr>
      </w:pPr>
    </w:p>
    <w:p w14:paraId="0587ECF1" w14:textId="77777777" w:rsidR="009D3746" w:rsidRDefault="009D3746">
      <w:pPr>
        <w:spacing w:after="200" w:line="276" w:lineRule="auto"/>
        <w:rPr>
          <w:rFonts w:ascii="OfficinaSans-BoldItalic" w:hAnsi="OfficinaSans-BoldItalic" w:cs="OfficinaSans-BoldItalic"/>
          <w:bCs/>
          <w:iCs/>
          <w:color w:val="000000"/>
          <w:sz w:val="20"/>
          <w:szCs w:val="20"/>
        </w:rPr>
      </w:pPr>
      <w:r>
        <w:rPr>
          <w:rFonts w:ascii="OfficinaSans-BoldItalic" w:hAnsi="OfficinaSans-BoldItalic" w:cs="OfficinaSans-BoldItalic"/>
          <w:bCs/>
          <w:iCs/>
          <w:color w:val="000000"/>
          <w:sz w:val="20"/>
          <w:szCs w:val="20"/>
        </w:rPr>
        <w:br w:type="page"/>
      </w:r>
    </w:p>
    <w:p w14:paraId="4A99921F" w14:textId="77777777" w:rsidR="009D3746" w:rsidRDefault="009D3746" w:rsidP="009D3746">
      <w:pPr>
        <w:autoSpaceDE w:val="0"/>
        <w:autoSpaceDN w:val="0"/>
        <w:adjustRightInd w:val="0"/>
        <w:rPr>
          <w:rFonts w:asciiTheme="minorHAnsi" w:hAnsiTheme="minorHAnsi" w:cstheme="minorHAnsi"/>
          <w:b/>
          <w:bCs/>
          <w:iCs/>
          <w:color w:val="000000"/>
          <w:sz w:val="24"/>
          <w:szCs w:val="24"/>
        </w:rPr>
      </w:pPr>
      <w:r>
        <w:rPr>
          <w:rFonts w:asciiTheme="minorHAnsi" w:hAnsiTheme="minorHAnsi" w:cstheme="minorHAnsi"/>
          <w:b/>
          <w:bCs/>
          <w:iCs/>
          <w:color w:val="000000"/>
          <w:sz w:val="24"/>
          <w:szCs w:val="24"/>
        </w:rPr>
        <w:lastRenderedPageBreak/>
        <w:t>Appendix 1.</w:t>
      </w:r>
      <w:r w:rsidR="000E36EF">
        <w:rPr>
          <w:rFonts w:asciiTheme="minorHAnsi" w:hAnsiTheme="minorHAnsi" w:cstheme="minorHAnsi"/>
          <w:b/>
          <w:bCs/>
          <w:iCs/>
          <w:color w:val="000000"/>
          <w:sz w:val="24"/>
          <w:szCs w:val="24"/>
        </w:rPr>
        <w:t>6</w:t>
      </w:r>
      <w:r w:rsidRPr="00A54963">
        <w:rPr>
          <w:rFonts w:asciiTheme="minorHAnsi" w:hAnsiTheme="minorHAnsi" w:cstheme="minorHAnsi"/>
          <w:b/>
          <w:bCs/>
          <w:iCs/>
          <w:color w:val="000000"/>
          <w:sz w:val="24"/>
          <w:szCs w:val="24"/>
        </w:rPr>
        <w:t xml:space="preserve">:   </w:t>
      </w:r>
      <w:r>
        <w:rPr>
          <w:rFonts w:asciiTheme="minorHAnsi" w:hAnsiTheme="minorHAnsi" w:cstheme="minorHAnsi"/>
          <w:b/>
          <w:bCs/>
          <w:iCs/>
          <w:color w:val="000000"/>
          <w:sz w:val="24"/>
          <w:szCs w:val="24"/>
        </w:rPr>
        <w:t>Contract Specifications</w:t>
      </w:r>
      <w:r w:rsidR="00317C10">
        <w:rPr>
          <w:rFonts w:asciiTheme="minorHAnsi" w:hAnsiTheme="minorHAnsi" w:cstheme="minorHAnsi"/>
          <w:b/>
          <w:bCs/>
          <w:iCs/>
          <w:color w:val="000000"/>
          <w:sz w:val="24"/>
          <w:szCs w:val="24"/>
        </w:rPr>
        <w:t xml:space="preserve"> for IBM Ground Probing</w:t>
      </w:r>
    </w:p>
    <w:p w14:paraId="00878E6D" w14:textId="77777777" w:rsidR="009D3746" w:rsidRDefault="009D3746" w:rsidP="009D3746">
      <w:pPr>
        <w:autoSpaceDE w:val="0"/>
        <w:autoSpaceDN w:val="0"/>
        <w:adjustRightInd w:val="0"/>
        <w:rPr>
          <w:rFonts w:asciiTheme="minorHAnsi" w:hAnsiTheme="minorHAnsi" w:cstheme="minorHAnsi"/>
          <w:b/>
          <w:bCs/>
          <w:iCs/>
          <w:color w:val="000000"/>
          <w:sz w:val="24"/>
          <w:szCs w:val="24"/>
        </w:rPr>
      </w:pPr>
    </w:p>
    <w:p w14:paraId="6B6F92EF" w14:textId="77777777" w:rsidR="009D3746" w:rsidRPr="009D3746" w:rsidRDefault="009D3746" w:rsidP="009D3746">
      <w:pPr>
        <w:autoSpaceDE w:val="0"/>
        <w:autoSpaceDN w:val="0"/>
        <w:adjustRightInd w:val="0"/>
        <w:rPr>
          <w:rFonts w:asciiTheme="minorHAnsi" w:hAnsiTheme="minorHAnsi" w:cstheme="minorHAnsi"/>
          <w:bCs/>
          <w:iCs/>
          <w:color w:val="000000"/>
          <w:sz w:val="24"/>
          <w:szCs w:val="24"/>
        </w:rPr>
      </w:pPr>
      <w:r w:rsidRPr="009D3746">
        <w:rPr>
          <w:rFonts w:asciiTheme="minorHAnsi" w:hAnsiTheme="minorHAnsi" w:cstheme="minorHAnsi"/>
          <w:sz w:val="24"/>
          <w:szCs w:val="24"/>
        </w:rPr>
        <w:t>(Double-click within box to expand)</w:t>
      </w:r>
    </w:p>
    <w:p w14:paraId="3264C287" w14:textId="77777777" w:rsidR="009D3746" w:rsidRDefault="009D3746" w:rsidP="009D3746">
      <w:pPr>
        <w:autoSpaceDE w:val="0"/>
        <w:autoSpaceDN w:val="0"/>
        <w:adjustRightInd w:val="0"/>
        <w:rPr>
          <w:rFonts w:asciiTheme="minorHAnsi" w:hAnsiTheme="minorHAnsi" w:cstheme="minorHAnsi"/>
          <w:b/>
          <w:bCs/>
          <w:iCs/>
          <w:color w:val="000000"/>
          <w:sz w:val="24"/>
          <w:szCs w:val="24"/>
        </w:rPr>
      </w:pPr>
    </w:p>
    <w:p w14:paraId="5E87830B" w14:textId="77777777" w:rsidR="009D3746" w:rsidRDefault="009D3746" w:rsidP="009D3746">
      <w:pPr>
        <w:autoSpaceDE w:val="0"/>
        <w:autoSpaceDN w:val="0"/>
        <w:adjustRightInd w:val="0"/>
        <w:rPr>
          <w:rFonts w:asciiTheme="minorHAnsi" w:hAnsiTheme="minorHAnsi" w:cstheme="minorHAnsi"/>
          <w:b/>
          <w:sz w:val="24"/>
          <w:szCs w:val="24"/>
        </w:rPr>
      </w:pPr>
      <w:r w:rsidRPr="009D3746">
        <w:rPr>
          <w:rFonts w:asciiTheme="minorHAnsi" w:hAnsiTheme="minorHAnsi" w:cstheme="minorHAnsi"/>
          <w:b/>
          <w:sz w:val="24"/>
          <w:szCs w:val="24"/>
        </w:rPr>
        <w:object w:dxaOrig="5700" w:dyaOrig="11542" w14:anchorId="1E81A66A">
          <v:shape id="_x0000_i1027" type="#_x0000_t75" style="width:285pt;height:576.75pt" o:ole="" o:bordertopcolor="this" o:borderleftcolor="this" o:borderbottomcolor="this" o:borderrightcolor="this">
            <v:imagedata r:id="rId24" o:title=""/>
            <w10:bordertop type="single" width="12"/>
            <w10:borderleft type="single" width="12"/>
            <w10:borderbottom type="single" width="12"/>
            <w10:borderright type="single" width="12"/>
          </v:shape>
          <o:OLEObject Type="Embed" ProgID="Word.Document.12" ShapeID="_x0000_i1027" DrawAspect="Content" ObjectID="_1749452701" r:id="rId25">
            <o:FieldCodes>\s</o:FieldCodes>
          </o:OLEObject>
        </w:object>
      </w:r>
    </w:p>
    <w:p w14:paraId="0FBB1A36" w14:textId="77777777" w:rsidR="009D3746" w:rsidRDefault="009D3746" w:rsidP="00F62CAE">
      <w:pPr>
        <w:autoSpaceDE w:val="0"/>
        <w:autoSpaceDN w:val="0"/>
        <w:adjustRightInd w:val="0"/>
        <w:rPr>
          <w:rFonts w:ascii="OfficinaSans-BoldItalic" w:hAnsi="OfficinaSans-BoldItalic" w:cs="OfficinaSans-BoldItalic"/>
          <w:bCs/>
          <w:iCs/>
          <w:color w:val="000000"/>
          <w:sz w:val="20"/>
          <w:szCs w:val="20"/>
        </w:rPr>
      </w:pPr>
    </w:p>
    <w:p w14:paraId="17E93B99" w14:textId="77777777" w:rsidR="009D3746" w:rsidRDefault="009D3746">
      <w:pPr>
        <w:spacing w:after="200" w:line="276" w:lineRule="auto"/>
        <w:rPr>
          <w:rFonts w:ascii="OfficinaSans-BoldItalic" w:hAnsi="OfficinaSans-BoldItalic" w:cs="OfficinaSans-BoldItalic"/>
          <w:bCs/>
          <w:iCs/>
          <w:color w:val="000000"/>
          <w:sz w:val="20"/>
          <w:szCs w:val="20"/>
        </w:rPr>
      </w:pPr>
      <w:r>
        <w:rPr>
          <w:rFonts w:ascii="OfficinaSans-BoldItalic" w:hAnsi="OfficinaSans-BoldItalic" w:cs="OfficinaSans-BoldItalic"/>
          <w:bCs/>
          <w:iCs/>
          <w:color w:val="000000"/>
          <w:sz w:val="20"/>
          <w:szCs w:val="20"/>
        </w:rPr>
        <w:br w:type="page"/>
      </w:r>
    </w:p>
    <w:p w14:paraId="69A015FA" w14:textId="77777777" w:rsidR="009D3746" w:rsidRDefault="000E36EF" w:rsidP="009D3746">
      <w:pPr>
        <w:autoSpaceDE w:val="0"/>
        <w:autoSpaceDN w:val="0"/>
        <w:adjustRightInd w:val="0"/>
        <w:spacing w:after="120"/>
        <w:rPr>
          <w:rFonts w:asciiTheme="minorHAnsi" w:hAnsiTheme="minorHAnsi" w:cstheme="minorHAnsi"/>
          <w:sz w:val="24"/>
          <w:szCs w:val="24"/>
        </w:rPr>
      </w:pPr>
      <w:r>
        <w:rPr>
          <w:rFonts w:asciiTheme="minorHAnsi" w:hAnsiTheme="minorHAnsi" w:cstheme="minorHAnsi"/>
          <w:b/>
          <w:bCs/>
          <w:iCs/>
          <w:color w:val="000000"/>
          <w:sz w:val="24"/>
          <w:szCs w:val="24"/>
        </w:rPr>
        <w:lastRenderedPageBreak/>
        <w:t>Appendix 1.7</w:t>
      </w:r>
      <w:r w:rsidR="009D3746" w:rsidRPr="00A54963">
        <w:rPr>
          <w:rFonts w:asciiTheme="minorHAnsi" w:hAnsiTheme="minorHAnsi" w:cstheme="minorHAnsi"/>
          <w:b/>
          <w:bCs/>
          <w:iCs/>
          <w:color w:val="000000"/>
          <w:sz w:val="24"/>
          <w:szCs w:val="24"/>
        </w:rPr>
        <w:t xml:space="preserve">:   </w:t>
      </w:r>
      <w:r w:rsidR="009D3746">
        <w:rPr>
          <w:rFonts w:asciiTheme="minorHAnsi" w:hAnsiTheme="minorHAnsi" w:cstheme="minorHAnsi"/>
          <w:b/>
          <w:bCs/>
          <w:iCs/>
          <w:color w:val="000000"/>
          <w:sz w:val="24"/>
          <w:szCs w:val="24"/>
        </w:rPr>
        <w:t>Fall &amp; Burn Contract Specifications</w:t>
      </w:r>
      <w:proofErr w:type="gramStart"/>
      <w:r w:rsidR="009D3746">
        <w:rPr>
          <w:rFonts w:asciiTheme="minorHAnsi" w:hAnsiTheme="minorHAnsi" w:cstheme="minorHAnsi"/>
          <w:b/>
          <w:bCs/>
          <w:iCs/>
          <w:color w:val="000000"/>
          <w:sz w:val="24"/>
          <w:szCs w:val="24"/>
        </w:rPr>
        <w:t xml:space="preserve">   </w:t>
      </w:r>
      <w:r w:rsidR="009D3746" w:rsidRPr="009D3746">
        <w:rPr>
          <w:rFonts w:asciiTheme="minorHAnsi" w:hAnsiTheme="minorHAnsi" w:cstheme="minorHAnsi"/>
          <w:sz w:val="24"/>
          <w:szCs w:val="24"/>
        </w:rPr>
        <w:t>(</w:t>
      </w:r>
      <w:proofErr w:type="gramEnd"/>
      <w:r w:rsidR="009D3746" w:rsidRPr="009D3746">
        <w:rPr>
          <w:rFonts w:asciiTheme="minorHAnsi" w:hAnsiTheme="minorHAnsi" w:cstheme="minorHAnsi"/>
          <w:sz w:val="24"/>
          <w:szCs w:val="24"/>
        </w:rPr>
        <w:t>Double-click within box to expand)</w:t>
      </w:r>
    </w:p>
    <w:p w14:paraId="3D77F6E8" w14:textId="77777777" w:rsidR="009D3746" w:rsidRDefault="009D3746" w:rsidP="00F62CAE">
      <w:pPr>
        <w:autoSpaceDE w:val="0"/>
        <w:autoSpaceDN w:val="0"/>
        <w:adjustRightInd w:val="0"/>
        <w:rPr>
          <w:rFonts w:ascii="OfficinaSans-BoldItalic" w:hAnsi="OfficinaSans-BoldItalic" w:cs="OfficinaSans-BoldItalic"/>
          <w:bCs/>
          <w:iCs/>
          <w:color w:val="000000"/>
          <w:sz w:val="20"/>
          <w:szCs w:val="20"/>
        </w:rPr>
      </w:pPr>
      <w:r w:rsidRPr="009D3746">
        <w:rPr>
          <w:rFonts w:ascii="OfficinaSans-BoldItalic" w:hAnsi="OfficinaSans-BoldItalic" w:cs="OfficinaSans-BoldItalic"/>
          <w:bCs/>
          <w:iCs/>
          <w:color w:val="000000"/>
          <w:sz w:val="20"/>
          <w:szCs w:val="20"/>
        </w:rPr>
        <w:object w:dxaOrig="10095" w:dyaOrig="13882" w14:anchorId="6ED9F60A">
          <v:shape id="_x0000_i1028" type="#_x0000_t75" style="width:504.75pt;height:693.75pt" o:ole="" o:bordertopcolor="this" o:borderleftcolor="this" o:borderbottomcolor="this" o:borderrightcolor="this">
            <v:imagedata r:id="rId26" o:title=""/>
            <w10:bordertop type="single" width="12"/>
            <w10:borderleft type="single" width="12"/>
            <w10:borderbottom type="single" width="12"/>
            <w10:borderright type="single" width="12"/>
          </v:shape>
          <o:OLEObject Type="Embed" ProgID="Word.Document.12" ShapeID="_x0000_i1028" DrawAspect="Content" ObjectID="_1749452702" r:id="rId27">
            <o:FieldCodes>\s</o:FieldCodes>
          </o:OLEObject>
        </w:object>
      </w:r>
    </w:p>
    <w:p w14:paraId="3E47E904" w14:textId="77777777" w:rsidR="004573D1" w:rsidRDefault="004573D1" w:rsidP="00F62CAE">
      <w:pPr>
        <w:autoSpaceDE w:val="0"/>
        <w:autoSpaceDN w:val="0"/>
        <w:adjustRightInd w:val="0"/>
        <w:rPr>
          <w:rFonts w:asciiTheme="minorHAnsi" w:hAnsiTheme="minorHAnsi" w:cstheme="minorHAnsi"/>
          <w:b/>
          <w:bCs/>
          <w:iCs/>
          <w:color w:val="000000"/>
          <w:sz w:val="24"/>
          <w:szCs w:val="24"/>
        </w:rPr>
      </w:pPr>
      <w:r>
        <w:rPr>
          <w:rFonts w:asciiTheme="minorHAnsi" w:hAnsiTheme="minorHAnsi" w:cstheme="minorHAnsi"/>
          <w:b/>
          <w:bCs/>
          <w:iCs/>
          <w:color w:val="000000"/>
          <w:sz w:val="24"/>
          <w:szCs w:val="24"/>
        </w:rPr>
        <w:lastRenderedPageBreak/>
        <w:t>Appendix 1.8</w:t>
      </w:r>
      <w:r w:rsidRPr="00A54963">
        <w:rPr>
          <w:rFonts w:asciiTheme="minorHAnsi" w:hAnsiTheme="minorHAnsi" w:cstheme="minorHAnsi"/>
          <w:b/>
          <w:bCs/>
          <w:iCs/>
          <w:color w:val="000000"/>
          <w:sz w:val="24"/>
          <w:szCs w:val="24"/>
        </w:rPr>
        <w:t xml:space="preserve">:   </w:t>
      </w:r>
      <w:r>
        <w:rPr>
          <w:rFonts w:asciiTheme="minorHAnsi" w:hAnsiTheme="minorHAnsi" w:cstheme="minorHAnsi"/>
          <w:b/>
          <w:bCs/>
          <w:iCs/>
          <w:color w:val="000000"/>
          <w:sz w:val="24"/>
          <w:szCs w:val="24"/>
        </w:rPr>
        <w:t>MSMA Legacy Trees Brochure</w:t>
      </w:r>
    </w:p>
    <w:p w14:paraId="67C303E9" w14:textId="77777777" w:rsidR="004573D1" w:rsidRDefault="004573D1" w:rsidP="00F62CAE">
      <w:pPr>
        <w:autoSpaceDE w:val="0"/>
        <w:autoSpaceDN w:val="0"/>
        <w:adjustRightInd w:val="0"/>
        <w:rPr>
          <w:rFonts w:asciiTheme="minorHAnsi" w:hAnsiTheme="minorHAnsi" w:cstheme="minorHAnsi"/>
          <w:b/>
          <w:bCs/>
          <w:iCs/>
          <w:color w:val="000000"/>
          <w:sz w:val="24"/>
          <w:szCs w:val="24"/>
        </w:rPr>
      </w:pPr>
    </w:p>
    <w:p w14:paraId="3F79EA18" w14:textId="77777777" w:rsidR="004573D1" w:rsidRDefault="004573D1" w:rsidP="00F62CAE">
      <w:pPr>
        <w:autoSpaceDE w:val="0"/>
        <w:autoSpaceDN w:val="0"/>
        <w:adjustRightInd w:val="0"/>
        <w:rPr>
          <w:rFonts w:asciiTheme="minorHAnsi" w:hAnsiTheme="minorHAnsi" w:cstheme="minorHAnsi"/>
          <w:b/>
          <w:bCs/>
          <w:iCs/>
          <w:color w:val="000000"/>
          <w:sz w:val="24"/>
          <w:szCs w:val="24"/>
        </w:rPr>
      </w:pPr>
      <w:r>
        <w:rPr>
          <w:rFonts w:asciiTheme="minorHAnsi" w:hAnsiTheme="minorHAnsi" w:cstheme="minorHAnsi"/>
          <w:b/>
          <w:bCs/>
          <w:iCs/>
          <w:noProof/>
          <w:color w:val="000000"/>
          <w:sz w:val="24"/>
          <w:szCs w:val="24"/>
          <w:lang w:eastAsia="en-CA"/>
        </w:rPr>
        <w:drawing>
          <wp:inline distT="0" distB="0" distL="0" distR="0" wp14:anchorId="3AC0CD0D" wp14:editId="11874976">
            <wp:extent cx="4655820" cy="76733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55820" cy="7673340"/>
                    </a:xfrm>
                    <a:prstGeom prst="rect">
                      <a:avLst/>
                    </a:prstGeom>
                    <a:noFill/>
                    <a:ln>
                      <a:noFill/>
                    </a:ln>
                  </pic:spPr>
                </pic:pic>
              </a:graphicData>
            </a:graphic>
          </wp:inline>
        </w:drawing>
      </w:r>
    </w:p>
    <w:p w14:paraId="43167C80" w14:textId="77777777" w:rsidR="004573D1" w:rsidRDefault="004573D1" w:rsidP="00F62CAE">
      <w:pPr>
        <w:autoSpaceDE w:val="0"/>
        <w:autoSpaceDN w:val="0"/>
        <w:adjustRightInd w:val="0"/>
        <w:rPr>
          <w:rFonts w:ascii="OfficinaSans-BoldItalic" w:hAnsi="OfficinaSans-BoldItalic" w:cs="OfficinaSans-BoldItalic"/>
          <w:bCs/>
          <w:iCs/>
          <w:color w:val="000000"/>
          <w:sz w:val="20"/>
          <w:szCs w:val="20"/>
        </w:rPr>
      </w:pPr>
      <w:r>
        <w:rPr>
          <w:rFonts w:asciiTheme="minorHAnsi" w:hAnsiTheme="minorHAnsi" w:cstheme="minorHAnsi"/>
          <w:b/>
          <w:bCs/>
          <w:iCs/>
          <w:noProof/>
          <w:color w:val="000000"/>
          <w:sz w:val="24"/>
          <w:szCs w:val="24"/>
          <w:lang w:eastAsia="en-CA"/>
        </w:rPr>
        <w:lastRenderedPageBreak/>
        <w:drawing>
          <wp:inline distT="0" distB="0" distL="0" distR="0" wp14:anchorId="0E19F043" wp14:editId="1422FD41">
            <wp:extent cx="4655820" cy="76733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55820" cy="7673340"/>
                    </a:xfrm>
                    <a:prstGeom prst="rect">
                      <a:avLst/>
                    </a:prstGeom>
                    <a:noFill/>
                    <a:ln>
                      <a:noFill/>
                    </a:ln>
                  </pic:spPr>
                </pic:pic>
              </a:graphicData>
            </a:graphic>
          </wp:inline>
        </w:drawing>
      </w:r>
      <w:r>
        <w:rPr>
          <w:rFonts w:asciiTheme="minorHAnsi" w:hAnsiTheme="minorHAnsi" w:cstheme="minorHAnsi"/>
          <w:b/>
          <w:bCs/>
          <w:iCs/>
          <w:color w:val="000000"/>
          <w:sz w:val="24"/>
          <w:szCs w:val="24"/>
        </w:rPr>
        <w:t xml:space="preserve">   </w:t>
      </w:r>
    </w:p>
    <w:sectPr w:rsidR="004573D1" w:rsidSect="00D50002">
      <w:footerReference w:type="default" r:id="rId3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F724C" w14:textId="77777777" w:rsidR="00A54963" w:rsidRDefault="00A54963" w:rsidP="00C319C7">
      <w:r>
        <w:separator/>
      </w:r>
    </w:p>
  </w:endnote>
  <w:endnote w:type="continuationSeparator" w:id="0">
    <w:p w14:paraId="7E94BE99" w14:textId="77777777" w:rsidR="00A54963" w:rsidRDefault="00A54963" w:rsidP="00C3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OfficinaSans-BoldItalic">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517341"/>
      <w:docPartObj>
        <w:docPartGallery w:val="Page Numbers (Bottom of Page)"/>
        <w:docPartUnique/>
      </w:docPartObj>
    </w:sdtPr>
    <w:sdtEndPr>
      <w:rPr>
        <w:noProof/>
      </w:rPr>
    </w:sdtEndPr>
    <w:sdtContent>
      <w:p w14:paraId="3F9AED2E" w14:textId="77777777" w:rsidR="00030A3B" w:rsidRDefault="00030A3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589DA79" w14:textId="77777777" w:rsidR="00DA1791" w:rsidRDefault="00DA1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A61F5" w14:textId="77777777" w:rsidR="00A54963" w:rsidRDefault="00A54963" w:rsidP="00C319C7">
      <w:r>
        <w:separator/>
      </w:r>
    </w:p>
  </w:footnote>
  <w:footnote w:type="continuationSeparator" w:id="0">
    <w:p w14:paraId="7B52B273" w14:textId="77777777" w:rsidR="00A54963" w:rsidRDefault="00A54963" w:rsidP="00C319C7">
      <w:r>
        <w:continuationSeparator/>
      </w:r>
    </w:p>
  </w:footnote>
  <w:footnote w:id="1">
    <w:p w14:paraId="581BD143" w14:textId="77777777" w:rsidR="00A54963" w:rsidRPr="00C96145" w:rsidRDefault="00A54963" w:rsidP="00D7076C">
      <w:pPr>
        <w:pStyle w:val="FootnoteText"/>
        <w:spacing w:after="120" w:line="240" w:lineRule="auto"/>
        <w:rPr>
          <w:rFonts w:asciiTheme="minorHAnsi" w:hAnsiTheme="minorHAnsi" w:cstheme="minorHAnsi"/>
          <w:sz w:val="16"/>
          <w:szCs w:val="16"/>
          <w:lang w:val="en-CA"/>
        </w:rPr>
      </w:pPr>
      <w:r w:rsidRPr="00C96145">
        <w:rPr>
          <w:rStyle w:val="FootnoteReference"/>
          <w:rFonts w:asciiTheme="minorHAnsi" w:hAnsiTheme="minorHAnsi" w:cstheme="minorHAnsi"/>
          <w:sz w:val="16"/>
          <w:szCs w:val="16"/>
        </w:rPr>
        <w:footnoteRef/>
      </w:r>
      <w:r w:rsidRPr="00C96145">
        <w:rPr>
          <w:rFonts w:asciiTheme="minorHAnsi" w:hAnsiTheme="minorHAnsi" w:cstheme="minorHAnsi"/>
          <w:sz w:val="16"/>
          <w:szCs w:val="16"/>
        </w:rPr>
        <w:t xml:space="preserve"> Per 2013 </w:t>
      </w:r>
      <w:r w:rsidRPr="00C96145">
        <w:rPr>
          <w:rFonts w:asciiTheme="minorHAnsi" w:hAnsiTheme="minorHAnsi" w:cstheme="minorHAnsi"/>
          <w:sz w:val="16"/>
          <w:szCs w:val="16"/>
          <w:lang w:val="en-CA"/>
        </w:rPr>
        <w:t xml:space="preserve">BC </w:t>
      </w:r>
      <w:r>
        <w:rPr>
          <w:rFonts w:asciiTheme="minorHAnsi" w:hAnsiTheme="minorHAnsi" w:cstheme="minorHAnsi"/>
          <w:sz w:val="16"/>
          <w:szCs w:val="16"/>
          <w:lang w:val="en-CA"/>
        </w:rPr>
        <w:t xml:space="preserve">Provincial-Scale </w:t>
      </w:r>
      <w:r w:rsidRPr="00C96145">
        <w:rPr>
          <w:rFonts w:asciiTheme="minorHAnsi" w:hAnsiTheme="minorHAnsi" w:cstheme="minorHAnsi"/>
          <w:sz w:val="16"/>
          <w:szCs w:val="16"/>
          <w:lang w:val="en-CA"/>
        </w:rPr>
        <w:t>Mountain Pine Beetle (BCMPB) Model predictions</w:t>
      </w:r>
    </w:p>
  </w:footnote>
  <w:footnote w:id="2">
    <w:p w14:paraId="3E37D334" w14:textId="77777777" w:rsidR="00A54963" w:rsidRPr="00C96145" w:rsidRDefault="00A54963" w:rsidP="00D7076C">
      <w:pPr>
        <w:pStyle w:val="FootnoteText"/>
        <w:spacing w:after="120" w:line="240" w:lineRule="auto"/>
        <w:rPr>
          <w:rFonts w:asciiTheme="minorHAnsi" w:hAnsiTheme="minorHAnsi" w:cstheme="minorHAnsi"/>
          <w:sz w:val="16"/>
          <w:szCs w:val="16"/>
          <w:lang w:val="en-CA"/>
        </w:rPr>
      </w:pPr>
      <w:r w:rsidRPr="00C96145">
        <w:rPr>
          <w:rStyle w:val="FootnoteReference"/>
          <w:rFonts w:asciiTheme="minorHAnsi" w:hAnsiTheme="minorHAnsi" w:cstheme="minorHAnsi"/>
          <w:sz w:val="16"/>
          <w:szCs w:val="16"/>
        </w:rPr>
        <w:footnoteRef/>
      </w:r>
      <w:r w:rsidRPr="00C96145">
        <w:rPr>
          <w:rFonts w:asciiTheme="minorHAnsi" w:hAnsiTheme="minorHAnsi" w:cstheme="minorHAnsi"/>
          <w:sz w:val="16"/>
          <w:szCs w:val="16"/>
        </w:rPr>
        <w:t xml:space="preserve"> Appendix 1X provides modelling logic and geoprocessing steps used to derive hazard mapping.</w:t>
      </w:r>
    </w:p>
  </w:footnote>
  <w:footnote w:id="3">
    <w:p w14:paraId="7EAE56E4" w14:textId="77777777" w:rsidR="00A54963" w:rsidRPr="00D7076C" w:rsidRDefault="00A54963" w:rsidP="0027214C">
      <w:pPr>
        <w:pStyle w:val="FootnoteText"/>
        <w:spacing w:after="120" w:line="240" w:lineRule="auto"/>
        <w:rPr>
          <w:lang w:val="en-CA"/>
        </w:rPr>
      </w:pPr>
      <w:r w:rsidRPr="00C96145">
        <w:rPr>
          <w:rStyle w:val="FootnoteReference"/>
          <w:rFonts w:asciiTheme="minorHAnsi" w:hAnsiTheme="minorHAnsi" w:cstheme="minorHAnsi"/>
          <w:sz w:val="16"/>
          <w:szCs w:val="16"/>
        </w:rPr>
        <w:footnoteRef/>
      </w:r>
      <w:r>
        <w:rPr>
          <w:rFonts w:asciiTheme="minorHAnsi" w:hAnsiTheme="minorHAnsi" w:cstheme="minorHAnsi"/>
          <w:sz w:val="16"/>
          <w:szCs w:val="16"/>
        </w:rPr>
        <w:t xml:space="preserve"> P</w:t>
      </w:r>
      <w:r w:rsidRPr="00C96145">
        <w:rPr>
          <w:rFonts w:asciiTheme="minorHAnsi" w:hAnsiTheme="minorHAnsi" w:cstheme="minorHAnsi"/>
          <w:sz w:val="16"/>
          <w:szCs w:val="16"/>
        </w:rPr>
        <w:t>A</w:t>
      </w:r>
      <w:r>
        <w:rPr>
          <w:rFonts w:asciiTheme="minorHAnsi" w:hAnsiTheme="minorHAnsi" w:cstheme="minorHAnsi"/>
          <w:sz w:val="16"/>
          <w:szCs w:val="16"/>
        </w:rPr>
        <w:t>O</w:t>
      </w:r>
      <w:r w:rsidRPr="00C96145">
        <w:rPr>
          <w:rFonts w:asciiTheme="minorHAnsi" w:hAnsiTheme="minorHAnsi" w:cstheme="minorHAnsi"/>
          <w:sz w:val="16"/>
          <w:szCs w:val="16"/>
        </w:rPr>
        <w:t>S yields mapped polygons that are assigned a Severity Rating of Trace (&lt;1% recently killed), Light (1-10%), Moderate (11-29%), Severe (30-49%), and Very Severe (50% +). To produce Table XX, a single mortality figure was first selected to represent each Severity class (1% for Trace, 5% for Light, 20% fir Moderate, 40% for Severe, and 75% for Very Severe). The figures provided represent the sum of [(selected mortality fi</w:t>
      </w:r>
      <w:r>
        <w:rPr>
          <w:rFonts w:asciiTheme="minorHAnsi" w:hAnsiTheme="minorHAnsi" w:cstheme="minorHAnsi"/>
          <w:sz w:val="16"/>
          <w:szCs w:val="16"/>
        </w:rPr>
        <w:t>gure for a Severity class) x (P</w:t>
      </w:r>
      <w:r w:rsidRPr="00C96145">
        <w:rPr>
          <w:rFonts w:asciiTheme="minorHAnsi" w:hAnsiTheme="minorHAnsi" w:cstheme="minorHAnsi"/>
          <w:sz w:val="16"/>
          <w:szCs w:val="16"/>
        </w:rPr>
        <w:t>A</w:t>
      </w:r>
      <w:r>
        <w:rPr>
          <w:rFonts w:asciiTheme="minorHAnsi" w:hAnsiTheme="minorHAnsi" w:cstheme="minorHAnsi"/>
          <w:sz w:val="16"/>
          <w:szCs w:val="16"/>
        </w:rPr>
        <w:t>O</w:t>
      </w:r>
      <w:r w:rsidRPr="00C96145">
        <w:rPr>
          <w:rFonts w:asciiTheme="minorHAnsi" w:hAnsiTheme="minorHAnsi" w:cstheme="minorHAnsi"/>
          <w:sz w:val="16"/>
          <w:szCs w:val="16"/>
        </w:rPr>
        <w:t>S Severity class area)].</w:t>
      </w:r>
    </w:p>
  </w:footnote>
  <w:footnote w:id="4">
    <w:p w14:paraId="01486357" w14:textId="77777777" w:rsidR="00A54963" w:rsidRPr="00520718" w:rsidRDefault="00A54963">
      <w:pPr>
        <w:pStyle w:val="FootnoteText"/>
        <w:rPr>
          <w:rFonts w:asciiTheme="minorHAnsi" w:hAnsiTheme="minorHAnsi" w:cstheme="minorHAnsi"/>
          <w:lang w:val="en-CA"/>
        </w:rPr>
      </w:pPr>
      <w:r w:rsidRPr="00520718">
        <w:rPr>
          <w:rStyle w:val="FootnoteReference"/>
          <w:rFonts w:asciiTheme="minorHAnsi" w:hAnsiTheme="minorHAnsi" w:cstheme="minorHAnsi"/>
        </w:rPr>
        <w:footnoteRef/>
      </w:r>
      <w:r w:rsidRPr="00520718">
        <w:rPr>
          <w:rFonts w:asciiTheme="minorHAnsi" w:hAnsiTheme="minorHAnsi" w:cstheme="minorHAnsi"/>
        </w:rPr>
        <w:t xml:space="preserve"> Guidance for Provincial Bark Beetle Management Technical Implementation Guidelines (PBBMTIG), Spring 2003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2F72"/>
    <w:multiLevelType w:val="hybridMultilevel"/>
    <w:tmpl w:val="0CD226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22F7360"/>
    <w:multiLevelType w:val="hybridMultilevel"/>
    <w:tmpl w:val="183AC74E"/>
    <w:lvl w:ilvl="0" w:tplc="10090003">
      <w:start w:val="1"/>
      <w:numFmt w:val="bullet"/>
      <w:lvlText w:val="o"/>
      <w:lvlJc w:val="left"/>
      <w:pPr>
        <w:tabs>
          <w:tab w:val="num" w:pos="720"/>
        </w:tabs>
        <w:ind w:left="720" w:hanging="360"/>
      </w:pPr>
      <w:rPr>
        <w:rFonts w:ascii="Courier New" w:hAnsi="Courier New" w:cs="Courier New" w:hint="default"/>
      </w:rPr>
    </w:lvl>
    <w:lvl w:ilvl="1" w:tplc="A706FF3C">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15CEA"/>
    <w:multiLevelType w:val="hybridMultilevel"/>
    <w:tmpl w:val="83A277A8"/>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3" w15:restartNumberingAfterBreak="0">
    <w:nsid w:val="0D442DD6"/>
    <w:multiLevelType w:val="multilevel"/>
    <w:tmpl w:val="436E349E"/>
    <w:lvl w:ilvl="0">
      <w:start w:val="1"/>
      <w:numFmt w:val="decimal"/>
      <w:pStyle w:val="Heading1"/>
      <w:suff w:val="space"/>
      <w:lvlText w:val="Chapter %1"/>
      <w:lvlJc w:val="left"/>
      <w:pPr>
        <w:ind w:left="1440" w:hanging="1440"/>
      </w:pPr>
      <w:rPr>
        <w:rFonts w:ascii="Arial" w:hAnsi="Arial" w:hint="default"/>
        <w:b/>
        <w:i w:val="0"/>
        <w:sz w:val="2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12F50538"/>
    <w:multiLevelType w:val="hybridMultilevel"/>
    <w:tmpl w:val="E55226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3596FE7"/>
    <w:multiLevelType w:val="hybridMultilevel"/>
    <w:tmpl w:val="F3B2789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9E8CD926">
      <w:numFmt w:val="bullet"/>
      <w:lvlText w:val="-"/>
      <w:lvlJc w:val="left"/>
      <w:pPr>
        <w:ind w:left="3600" w:hanging="360"/>
      </w:pPr>
      <w:rPr>
        <w:rFonts w:ascii="Calibri" w:eastAsiaTheme="minorHAnsi" w:hAnsi="Calibri" w:cs="Calibri"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9F70CD"/>
    <w:multiLevelType w:val="hybridMultilevel"/>
    <w:tmpl w:val="898E9AEE"/>
    <w:lvl w:ilvl="0" w:tplc="10090003">
      <w:start w:val="1"/>
      <w:numFmt w:val="bullet"/>
      <w:lvlText w:val="o"/>
      <w:lvlJc w:val="left"/>
      <w:pPr>
        <w:ind w:left="360" w:hanging="360"/>
      </w:pPr>
      <w:rPr>
        <w:rFonts w:ascii="Courier New" w:hAnsi="Courier New" w:cs="Courier New" w:hint="default"/>
      </w:rPr>
    </w:lvl>
    <w:lvl w:ilvl="1" w:tplc="10090019">
      <w:start w:val="1"/>
      <w:numFmt w:val="decimal"/>
      <w:lvlText w:val="%2."/>
      <w:lvlJc w:val="left"/>
      <w:pPr>
        <w:tabs>
          <w:tab w:val="num" w:pos="720"/>
        </w:tabs>
        <w:ind w:left="720" w:hanging="360"/>
      </w:pPr>
      <w:rPr>
        <w:rFonts w:cs="Times New Roman"/>
      </w:rPr>
    </w:lvl>
    <w:lvl w:ilvl="2" w:tplc="1009001B">
      <w:start w:val="1"/>
      <w:numFmt w:val="decimal"/>
      <w:lvlText w:val="%3."/>
      <w:lvlJc w:val="left"/>
      <w:pPr>
        <w:tabs>
          <w:tab w:val="num" w:pos="1440"/>
        </w:tabs>
        <w:ind w:left="1440" w:hanging="360"/>
      </w:pPr>
      <w:rPr>
        <w:rFonts w:cs="Times New Roman"/>
      </w:rPr>
    </w:lvl>
    <w:lvl w:ilvl="3" w:tplc="1009000F">
      <w:start w:val="1"/>
      <w:numFmt w:val="decimal"/>
      <w:lvlText w:val="%4."/>
      <w:lvlJc w:val="left"/>
      <w:pPr>
        <w:tabs>
          <w:tab w:val="num" w:pos="2160"/>
        </w:tabs>
        <w:ind w:left="2160" w:hanging="360"/>
      </w:pPr>
      <w:rPr>
        <w:rFonts w:cs="Times New Roman"/>
      </w:rPr>
    </w:lvl>
    <w:lvl w:ilvl="4" w:tplc="10090019">
      <w:start w:val="1"/>
      <w:numFmt w:val="decimal"/>
      <w:lvlText w:val="%5."/>
      <w:lvlJc w:val="left"/>
      <w:pPr>
        <w:tabs>
          <w:tab w:val="num" w:pos="2880"/>
        </w:tabs>
        <w:ind w:left="2880" w:hanging="360"/>
      </w:pPr>
      <w:rPr>
        <w:rFonts w:cs="Times New Roman"/>
      </w:rPr>
    </w:lvl>
    <w:lvl w:ilvl="5" w:tplc="1009001B">
      <w:start w:val="1"/>
      <w:numFmt w:val="decimal"/>
      <w:lvlText w:val="%6."/>
      <w:lvlJc w:val="left"/>
      <w:pPr>
        <w:tabs>
          <w:tab w:val="num" w:pos="3600"/>
        </w:tabs>
        <w:ind w:left="3600" w:hanging="360"/>
      </w:pPr>
      <w:rPr>
        <w:rFonts w:cs="Times New Roman"/>
      </w:rPr>
    </w:lvl>
    <w:lvl w:ilvl="6" w:tplc="1009000F">
      <w:start w:val="1"/>
      <w:numFmt w:val="decimal"/>
      <w:lvlText w:val="%7."/>
      <w:lvlJc w:val="left"/>
      <w:pPr>
        <w:tabs>
          <w:tab w:val="num" w:pos="4320"/>
        </w:tabs>
        <w:ind w:left="4320" w:hanging="360"/>
      </w:pPr>
      <w:rPr>
        <w:rFonts w:cs="Times New Roman"/>
      </w:rPr>
    </w:lvl>
    <w:lvl w:ilvl="7" w:tplc="10090019">
      <w:start w:val="1"/>
      <w:numFmt w:val="decimal"/>
      <w:lvlText w:val="%8."/>
      <w:lvlJc w:val="left"/>
      <w:pPr>
        <w:tabs>
          <w:tab w:val="num" w:pos="5040"/>
        </w:tabs>
        <w:ind w:left="5040" w:hanging="360"/>
      </w:pPr>
      <w:rPr>
        <w:rFonts w:cs="Times New Roman"/>
      </w:rPr>
    </w:lvl>
    <w:lvl w:ilvl="8" w:tplc="1009001B">
      <w:start w:val="1"/>
      <w:numFmt w:val="decimal"/>
      <w:lvlText w:val="%9."/>
      <w:lvlJc w:val="left"/>
      <w:pPr>
        <w:tabs>
          <w:tab w:val="num" w:pos="5760"/>
        </w:tabs>
        <w:ind w:left="5760" w:hanging="360"/>
      </w:pPr>
      <w:rPr>
        <w:rFonts w:cs="Times New Roman"/>
      </w:rPr>
    </w:lvl>
  </w:abstractNum>
  <w:abstractNum w:abstractNumId="7" w15:restartNumberingAfterBreak="0">
    <w:nsid w:val="17263F6D"/>
    <w:multiLevelType w:val="hybridMultilevel"/>
    <w:tmpl w:val="9BC2E24E"/>
    <w:lvl w:ilvl="0" w:tplc="10090011">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24DB135D"/>
    <w:multiLevelType w:val="hybridMultilevel"/>
    <w:tmpl w:val="DB0034D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9E335E7"/>
    <w:multiLevelType w:val="hybridMultilevel"/>
    <w:tmpl w:val="29922DD0"/>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C98547B"/>
    <w:multiLevelType w:val="hybridMultilevel"/>
    <w:tmpl w:val="7ABAA3CC"/>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4845343D"/>
    <w:multiLevelType w:val="hybridMultilevel"/>
    <w:tmpl w:val="7CC4F194"/>
    <w:lvl w:ilvl="0" w:tplc="018CC89C">
      <w:start w:val="1"/>
      <w:numFmt w:val="decimal"/>
      <w:lvlText w:val="%1."/>
      <w:lvlJc w:val="left"/>
      <w:pPr>
        <w:ind w:left="360" w:hanging="360"/>
      </w:pPr>
      <w:rPr>
        <w:rFonts w:cs="Times New Roman"/>
      </w:rPr>
    </w:lvl>
    <w:lvl w:ilvl="1" w:tplc="10090019">
      <w:start w:val="1"/>
      <w:numFmt w:val="decimal"/>
      <w:lvlText w:val="%2."/>
      <w:lvlJc w:val="left"/>
      <w:pPr>
        <w:tabs>
          <w:tab w:val="num" w:pos="720"/>
        </w:tabs>
        <w:ind w:left="720" w:hanging="360"/>
      </w:pPr>
      <w:rPr>
        <w:rFonts w:cs="Times New Roman"/>
      </w:rPr>
    </w:lvl>
    <w:lvl w:ilvl="2" w:tplc="1009001B">
      <w:start w:val="1"/>
      <w:numFmt w:val="decimal"/>
      <w:lvlText w:val="%3."/>
      <w:lvlJc w:val="left"/>
      <w:pPr>
        <w:tabs>
          <w:tab w:val="num" w:pos="1440"/>
        </w:tabs>
        <w:ind w:left="1440" w:hanging="360"/>
      </w:pPr>
      <w:rPr>
        <w:rFonts w:cs="Times New Roman"/>
      </w:rPr>
    </w:lvl>
    <w:lvl w:ilvl="3" w:tplc="1009000F">
      <w:start w:val="1"/>
      <w:numFmt w:val="decimal"/>
      <w:lvlText w:val="%4."/>
      <w:lvlJc w:val="left"/>
      <w:pPr>
        <w:tabs>
          <w:tab w:val="num" w:pos="2160"/>
        </w:tabs>
        <w:ind w:left="2160" w:hanging="360"/>
      </w:pPr>
      <w:rPr>
        <w:rFonts w:cs="Times New Roman"/>
      </w:rPr>
    </w:lvl>
    <w:lvl w:ilvl="4" w:tplc="10090019">
      <w:start w:val="1"/>
      <w:numFmt w:val="decimal"/>
      <w:lvlText w:val="%5."/>
      <w:lvlJc w:val="left"/>
      <w:pPr>
        <w:tabs>
          <w:tab w:val="num" w:pos="2880"/>
        </w:tabs>
        <w:ind w:left="2880" w:hanging="360"/>
      </w:pPr>
      <w:rPr>
        <w:rFonts w:cs="Times New Roman"/>
      </w:rPr>
    </w:lvl>
    <w:lvl w:ilvl="5" w:tplc="1009001B">
      <w:start w:val="1"/>
      <w:numFmt w:val="decimal"/>
      <w:lvlText w:val="%6."/>
      <w:lvlJc w:val="left"/>
      <w:pPr>
        <w:tabs>
          <w:tab w:val="num" w:pos="3600"/>
        </w:tabs>
        <w:ind w:left="3600" w:hanging="360"/>
      </w:pPr>
      <w:rPr>
        <w:rFonts w:cs="Times New Roman"/>
      </w:rPr>
    </w:lvl>
    <w:lvl w:ilvl="6" w:tplc="1009000F">
      <w:start w:val="1"/>
      <w:numFmt w:val="decimal"/>
      <w:lvlText w:val="%7."/>
      <w:lvlJc w:val="left"/>
      <w:pPr>
        <w:tabs>
          <w:tab w:val="num" w:pos="4320"/>
        </w:tabs>
        <w:ind w:left="4320" w:hanging="360"/>
      </w:pPr>
      <w:rPr>
        <w:rFonts w:cs="Times New Roman"/>
      </w:rPr>
    </w:lvl>
    <w:lvl w:ilvl="7" w:tplc="10090019">
      <w:start w:val="1"/>
      <w:numFmt w:val="decimal"/>
      <w:lvlText w:val="%8."/>
      <w:lvlJc w:val="left"/>
      <w:pPr>
        <w:tabs>
          <w:tab w:val="num" w:pos="5040"/>
        </w:tabs>
        <w:ind w:left="5040" w:hanging="360"/>
      </w:pPr>
      <w:rPr>
        <w:rFonts w:cs="Times New Roman"/>
      </w:rPr>
    </w:lvl>
    <w:lvl w:ilvl="8" w:tplc="1009001B">
      <w:start w:val="1"/>
      <w:numFmt w:val="decimal"/>
      <w:lvlText w:val="%9."/>
      <w:lvlJc w:val="left"/>
      <w:pPr>
        <w:tabs>
          <w:tab w:val="num" w:pos="5760"/>
        </w:tabs>
        <w:ind w:left="5760" w:hanging="360"/>
      </w:pPr>
      <w:rPr>
        <w:rFonts w:cs="Times New Roman"/>
      </w:rPr>
    </w:lvl>
  </w:abstractNum>
  <w:abstractNum w:abstractNumId="12" w15:restartNumberingAfterBreak="0">
    <w:nsid w:val="65930A3D"/>
    <w:multiLevelType w:val="hybridMultilevel"/>
    <w:tmpl w:val="B73AB9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72AE5554"/>
    <w:multiLevelType w:val="hybridMultilevel"/>
    <w:tmpl w:val="69F8B1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4135984"/>
    <w:multiLevelType w:val="hybridMultilevel"/>
    <w:tmpl w:val="E0DE27C8"/>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5" w15:restartNumberingAfterBreak="0">
    <w:nsid w:val="7B193AFB"/>
    <w:multiLevelType w:val="hybridMultilevel"/>
    <w:tmpl w:val="BA502B9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16cid:durableId="1525561203">
    <w:abstractNumId w:val="0"/>
  </w:num>
  <w:num w:numId="2" w16cid:durableId="1001616638">
    <w:abstractNumId w:val="4"/>
  </w:num>
  <w:num w:numId="3" w16cid:durableId="1785880471">
    <w:abstractNumId w:val="12"/>
  </w:num>
  <w:num w:numId="4" w16cid:durableId="1038048589">
    <w:abstractNumId w:val="3"/>
  </w:num>
  <w:num w:numId="5" w16cid:durableId="279844065">
    <w:abstractNumId w:val="7"/>
  </w:num>
  <w:num w:numId="6" w16cid:durableId="8676543">
    <w:abstractNumId w:val="11"/>
  </w:num>
  <w:num w:numId="7" w16cid:durableId="40791591">
    <w:abstractNumId w:val="13"/>
  </w:num>
  <w:num w:numId="8" w16cid:durableId="1806507735">
    <w:abstractNumId w:val="5"/>
  </w:num>
  <w:num w:numId="9" w16cid:durableId="497501533">
    <w:abstractNumId w:val="10"/>
  </w:num>
  <w:num w:numId="10" w16cid:durableId="1006246870">
    <w:abstractNumId w:val="8"/>
  </w:num>
  <w:num w:numId="11" w16cid:durableId="1553616204">
    <w:abstractNumId w:val="6"/>
  </w:num>
  <w:num w:numId="12" w16cid:durableId="1358583581">
    <w:abstractNumId w:val="14"/>
  </w:num>
  <w:num w:numId="13" w16cid:durableId="1002046545">
    <w:abstractNumId w:val="9"/>
  </w:num>
  <w:num w:numId="14" w16cid:durableId="879517202">
    <w:abstractNumId w:val="2"/>
  </w:num>
  <w:num w:numId="15" w16cid:durableId="1607737145">
    <w:abstractNumId w:val="15"/>
  </w:num>
  <w:num w:numId="16" w16cid:durableId="143644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1E9"/>
    <w:rsid w:val="00003193"/>
    <w:rsid w:val="00003C72"/>
    <w:rsid w:val="00007E78"/>
    <w:rsid w:val="00013A10"/>
    <w:rsid w:val="00030A3B"/>
    <w:rsid w:val="00056238"/>
    <w:rsid w:val="00056424"/>
    <w:rsid w:val="00072C17"/>
    <w:rsid w:val="0009013D"/>
    <w:rsid w:val="000B1EAB"/>
    <w:rsid w:val="000C11DC"/>
    <w:rsid w:val="000D550B"/>
    <w:rsid w:val="000E36EF"/>
    <w:rsid w:val="00130698"/>
    <w:rsid w:val="0018355F"/>
    <w:rsid w:val="001D52EF"/>
    <w:rsid w:val="001F1A8A"/>
    <w:rsid w:val="002002B6"/>
    <w:rsid w:val="0021682C"/>
    <w:rsid w:val="002563CE"/>
    <w:rsid w:val="0027214C"/>
    <w:rsid w:val="0029081E"/>
    <w:rsid w:val="00296367"/>
    <w:rsid w:val="00297008"/>
    <w:rsid w:val="002A5AEA"/>
    <w:rsid w:val="002B5B2C"/>
    <w:rsid w:val="002D1ECE"/>
    <w:rsid w:val="002E549C"/>
    <w:rsid w:val="002E7FA1"/>
    <w:rsid w:val="002F35A9"/>
    <w:rsid w:val="00305242"/>
    <w:rsid w:val="00311269"/>
    <w:rsid w:val="003134E8"/>
    <w:rsid w:val="00317C10"/>
    <w:rsid w:val="00371F80"/>
    <w:rsid w:val="003970F1"/>
    <w:rsid w:val="003B4ACE"/>
    <w:rsid w:val="003C3D9C"/>
    <w:rsid w:val="003D7466"/>
    <w:rsid w:val="00405CAD"/>
    <w:rsid w:val="0041571E"/>
    <w:rsid w:val="00420F85"/>
    <w:rsid w:val="004223F5"/>
    <w:rsid w:val="004232A2"/>
    <w:rsid w:val="00423872"/>
    <w:rsid w:val="00445646"/>
    <w:rsid w:val="004512DE"/>
    <w:rsid w:val="004573D1"/>
    <w:rsid w:val="004733F3"/>
    <w:rsid w:val="00475F9B"/>
    <w:rsid w:val="004767BB"/>
    <w:rsid w:val="00495E7D"/>
    <w:rsid w:val="004A63C7"/>
    <w:rsid w:val="004D5100"/>
    <w:rsid w:val="00513554"/>
    <w:rsid w:val="00520718"/>
    <w:rsid w:val="005238F5"/>
    <w:rsid w:val="00524EF4"/>
    <w:rsid w:val="00536DB5"/>
    <w:rsid w:val="00550C3B"/>
    <w:rsid w:val="005524CE"/>
    <w:rsid w:val="00582EFA"/>
    <w:rsid w:val="005C52FA"/>
    <w:rsid w:val="005F7A3A"/>
    <w:rsid w:val="00652D28"/>
    <w:rsid w:val="00661A67"/>
    <w:rsid w:val="006933F3"/>
    <w:rsid w:val="006B31E9"/>
    <w:rsid w:val="006B488C"/>
    <w:rsid w:val="006D693A"/>
    <w:rsid w:val="006F7694"/>
    <w:rsid w:val="00710A35"/>
    <w:rsid w:val="00751A2C"/>
    <w:rsid w:val="00751EBA"/>
    <w:rsid w:val="00756D34"/>
    <w:rsid w:val="007618BE"/>
    <w:rsid w:val="00766EE8"/>
    <w:rsid w:val="0077641D"/>
    <w:rsid w:val="0078354E"/>
    <w:rsid w:val="00783A98"/>
    <w:rsid w:val="007A5FC3"/>
    <w:rsid w:val="007A698C"/>
    <w:rsid w:val="007B0127"/>
    <w:rsid w:val="007C1218"/>
    <w:rsid w:val="007D3813"/>
    <w:rsid w:val="007F6068"/>
    <w:rsid w:val="00833132"/>
    <w:rsid w:val="008B29F4"/>
    <w:rsid w:val="008B53B7"/>
    <w:rsid w:val="008D6C74"/>
    <w:rsid w:val="00904F1D"/>
    <w:rsid w:val="009115CE"/>
    <w:rsid w:val="009247F9"/>
    <w:rsid w:val="0094302E"/>
    <w:rsid w:val="00965410"/>
    <w:rsid w:val="0097590A"/>
    <w:rsid w:val="009B5186"/>
    <w:rsid w:val="009C2024"/>
    <w:rsid w:val="009C53E5"/>
    <w:rsid w:val="009D03C7"/>
    <w:rsid w:val="009D3746"/>
    <w:rsid w:val="009D7B8C"/>
    <w:rsid w:val="009E46B4"/>
    <w:rsid w:val="00A0518D"/>
    <w:rsid w:val="00A06916"/>
    <w:rsid w:val="00A25DDE"/>
    <w:rsid w:val="00A3461C"/>
    <w:rsid w:val="00A54963"/>
    <w:rsid w:val="00A576FC"/>
    <w:rsid w:val="00A7095D"/>
    <w:rsid w:val="00A853E1"/>
    <w:rsid w:val="00A93710"/>
    <w:rsid w:val="00AA3FDA"/>
    <w:rsid w:val="00AA5838"/>
    <w:rsid w:val="00AD39CF"/>
    <w:rsid w:val="00AE3514"/>
    <w:rsid w:val="00AF20A8"/>
    <w:rsid w:val="00AF7A8E"/>
    <w:rsid w:val="00B13AD1"/>
    <w:rsid w:val="00B35474"/>
    <w:rsid w:val="00B36884"/>
    <w:rsid w:val="00B37A07"/>
    <w:rsid w:val="00B462E3"/>
    <w:rsid w:val="00B50824"/>
    <w:rsid w:val="00B74926"/>
    <w:rsid w:val="00B84D67"/>
    <w:rsid w:val="00BB0065"/>
    <w:rsid w:val="00BB46C0"/>
    <w:rsid w:val="00BB5873"/>
    <w:rsid w:val="00BD2F6F"/>
    <w:rsid w:val="00BE22FC"/>
    <w:rsid w:val="00BF5636"/>
    <w:rsid w:val="00C03045"/>
    <w:rsid w:val="00C22D2E"/>
    <w:rsid w:val="00C319C7"/>
    <w:rsid w:val="00C33471"/>
    <w:rsid w:val="00C62093"/>
    <w:rsid w:val="00C621B4"/>
    <w:rsid w:val="00C63CC9"/>
    <w:rsid w:val="00C731AE"/>
    <w:rsid w:val="00C83D92"/>
    <w:rsid w:val="00C96145"/>
    <w:rsid w:val="00CB033A"/>
    <w:rsid w:val="00CC72D3"/>
    <w:rsid w:val="00CD0843"/>
    <w:rsid w:val="00D0416E"/>
    <w:rsid w:val="00D3446B"/>
    <w:rsid w:val="00D50002"/>
    <w:rsid w:val="00D6163A"/>
    <w:rsid w:val="00D61E4A"/>
    <w:rsid w:val="00D7076C"/>
    <w:rsid w:val="00D722A8"/>
    <w:rsid w:val="00D728DA"/>
    <w:rsid w:val="00D91654"/>
    <w:rsid w:val="00DA1791"/>
    <w:rsid w:val="00DA3CF9"/>
    <w:rsid w:val="00DA3D03"/>
    <w:rsid w:val="00DA3F10"/>
    <w:rsid w:val="00DB385B"/>
    <w:rsid w:val="00DC0773"/>
    <w:rsid w:val="00DE094C"/>
    <w:rsid w:val="00DE28AF"/>
    <w:rsid w:val="00DE385A"/>
    <w:rsid w:val="00DE6F14"/>
    <w:rsid w:val="00E0363D"/>
    <w:rsid w:val="00E0714B"/>
    <w:rsid w:val="00E1634A"/>
    <w:rsid w:val="00E52FCC"/>
    <w:rsid w:val="00E60AEC"/>
    <w:rsid w:val="00E80769"/>
    <w:rsid w:val="00E9486E"/>
    <w:rsid w:val="00EB62E0"/>
    <w:rsid w:val="00ED3864"/>
    <w:rsid w:val="00ED555D"/>
    <w:rsid w:val="00F371BF"/>
    <w:rsid w:val="00F4264C"/>
    <w:rsid w:val="00F62CAE"/>
    <w:rsid w:val="00F6301A"/>
    <w:rsid w:val="00FE06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651552A"/>
  <w15:docId w15:val="{F387E771-6A55-4319-9434-5B727DC1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1E9"/>
    <w:pPr>
      <w:spacing w:after="0" w:line="240" w:lineRule="auto"/>
    </w:pPr>
    <w:rPr>
      <w:rFonts w:ascii="Calibri" w:hAnsi="Calibri" w:cs="Calibri"/>
    </w:rPr>
  </w:style>
  <w:style w:type="paragraph" w:styleId="Heading1">
    <w:name w:val="heading 1"/>
    <w:basedOn w:val="Normal"/>
    <w:next w:val="BodyText"/>
    <w:link w:val="Heading1Char"/>
    <w:qFormat/>
    <w:rsid w:val="00C62093"/>
    <w:pPr>
      <w:keepNext/>
      <w:keepLines/>
      <w:numPr>
        <w:numId w:val="4"/>
      </w:numPr>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eastAsia="en-CA"/>
    </w:rPr>
  </w:style>
  <w:style w:type="paragraph" w:styleId="Heading2">
    <w:name w:val="heading 2"/>
    <w:basedOn w:val="Normal"/>
    <w:next w:val="BodyText"/>
    <w:link w:val="Heading2Char"/>
    <w:qFormat/>
    <w:rsid w:val="00C62093"/>
    <w:pPr>
      <w:keepNext/>
      <w:keepLines/>
      <w:numPr>
        <w:ilvl w:val="1"/>
        <w:numId w:val="4"/>
      </w:numPr>
      <w:spacing w:after="180" w:line="240" w:lineRule="atLeast"/>
      <w:jc w:val="center"/>
      <w:outlineLvl w:val="1"/>
    </w:pPr>
    <w:rPr>
      <w:rFonts w:ascii="Garamond" w:eastAsia="Times New Roman" w:hAnsi="Garamond" w:cs="Times New Roman"/>
      <w:b/>
      <w:caps/>
      <w:spacing w:val="10"/>
      <w:kern w:val="20"/>
      <w:sz w:val="18"/>
      <w:szCs w:val="20"/>
      <w:lang w:val="en-GB" w:eastAsia="en-CA"/>
    </w:rPr>
  </w:style>
  <w:style w:type="paragraph" w:styleId="Heading3">
    <w:name w:val="heading 3"/>
    <w:basedOn w:val="Normal"/>
    <w:next w:val="BodyText"/>
    <w:link w:val="Heading3Char"/>
    <w:qFormat/>
    <w:rsid w:val="00C62093"/>
    <w:pPr>
      <w:keepNext/>
      <w:keepLines/>
      <w:numPr>
        <w:ilvl w:val="2"/>
        <w:numId w:val="4"/>
      </w:numPr>
      <w:spacing w:before="240" w:after="180" w:line="240" w:lineRule="atLeast"/>
      <w:outlineLvl w:val="2"/>
    </w:pPr>
    <w:rPr>
      <w:rFonts w:ascii="Garamond" w:eastAsia="Times New Roman" w:hAnsi="Garamond" w:cs="Times New Roman"/>
      <w:caps/>
      <w:kern w:val="20"/>
      <w:sz w:val="20"/>
      <w:szCs w:val="20"/>
      <w:lang w:val="en-GB" w:eastAsia="en-CA"/>
    </w:rPr>
  </w:style>
  <w:style w:type="paragraph" w:styleId="Heading4">
    <w:name w:val="heading 4"/>
    <w:basedOn w:val="Normal"/>
    <w:next w:val="BodyText"/>
    <w:link w:val="Heading4Char"/>
    <w:qFormat/>
    <w:rsid w:val="00C62093"/>
    <w:pPr>
      <w:keepNext/>
      <w:keepLines/>
      <w:numPr>
        <w:ilvl w:val="3"/>
        <w:numId w:val="4"/>
      </w:numPr>
      <w:spacing w:before="240" w:after="240" w:line="240" w:lineRule="atLeast"/>
      <w:outlineLvl w:val="3"/>
    </w:pPr>
    <w:rPr>
      <w:rFonts w:ascii="Garamond" w:eastAsia="Times New Roman" w:hAnsi="Garamond" w:cs="Times New Roman"/>
      <w:i/>
      <w:spacing w:val="5"/>
      <w:kern w:val="20"/>
      <w:sz w:val="24"/>
      <w:szCs w:val="20"/>
      <w:lang w:val="en-GB" w:eastAsia="en-CA"/>
    </w:rPr>
  </w:style>
  <w:style w:type="paragraph" w:styleId="Heading5">
    <w:name w:val="heading 5"/>
    <w:basedOn w:val="Normal"/>
    <w:next w:val="BodyText"/>
    <w:link w:val="Heading5Char"/>
    <w:qFormat/>
    <w:rsid w:val="00C62093"/>
    <w:pPr>
      <w:keepNext/>
      <w:keepLines/>
      <w:numPr>
        <w:ilvl w:val="4"/>
        <w:numId w:val="4"/>
      </w:numPr>
      <w:spacing w:line="240" w:lineRule="atLeast"/>
      <w:outlineLvl w:val="4"/>
    </w:pPr>
    <w:rPr>
      <w:rFonts w:ascii="Garamond" w:eastAsia="Times New Roman" w:hAnsi="Garamond" w:cs="Times New Roman"/>
      <w:b/>
      <w:kern w:val="20"/>
      <w:szCs w:val="20"/>
      <w:lang w:val="en-GB" w:eastAsia="en-CA"/>
    </w:rPr>
  </w:style>
  <w:style w:type="paragraph" w:styleId="Heading6">
    <w:name w:val="heading 6"/>
    <w:basedOn w:val="Normal"/>
    <w:next w:val="BodyText"/>
    <w:link w:val="Heading6Char"/>
    <w:qFormat/>
    <w:rsid w:val="00C62093"/>
    <w:pPr>
      <w:keepNext/>
      <w:keepLines/>
      <w:numPr>
        <w:ilvl w:val="5"/>
        <w:numId w:val="4"/>
      </w:numPr>
      <w:spacing w:line="240" w:lineRule="atLeast"/>
      <w:outlineLvl w:val="5"/>
    </w:pPr>
    <w:rPr>
      <w:rFonts w:ascii="Garamond" w:eastAsia="Times New Roman" w:hAnsi="Garamond" w:cs="Times New Roman"/>
      <w:i/>
      <w:spacing w:val="5"/>
      <w:kern w:val="20"/>
      <w:szCs w:val="20"/>
      <w:lang w:val="en-GB" w:eastAsia="en-CA"/>
    </w:rPr>
  </w:style>
  <w:style w:type="paragraph" w:styleId="Heading7">
    <w:name w:val="heading 7"/>
    <w:basedOn w:val="Normal"/>
    <w:next w:val="BodyText"/>
    <w:link w:val="Heading7Char"/>
    <w:qFormat/>
    <w:rsid w:val="00C62093"/>
    <w:pPr>
      <w:keepNext/>
      <w:keepLines/>
      <w:numPr>
        <w:ilvl w:val="6"/>
        <w:numId w:val="4"/>
      </w:numPr>
      <w:spacing w:line="240" w:lineRule="atLeast"/>
      <w:outlineLvl w:val="6"/>
    </w:pPr>
    <w:rPr>
      <w:rFonts w:ascii="Garamond" w:eastAsia="Times New Roman" w:hAnsi="Garamond" w:cs="Times New Roman"/>
      <w:smallCaps/>
      <w:kern w:val="20"/>
      <w:szCs w:val="20"/>
      <w:lang w:val="en-GB" w:eastAsia="en-CA"/>
    </w:rPr>
  </w:style>
  <w:style w:type="paragraph" w:styleId="Heading8">
    <w:name w:val="heading 8"/>
    <w:basedOn w:val="Normal"/>
    <w:next w:val="BodyText"/>
    <w:link w:val="Heading8Char"/>
    <w:qFormat/>
    <w:rsid w:val="00C62093"/>
    <w:pPr>
      <w:keepNext/>
      <w:keepLines/>
      <w:numPr>
        <w:ilvl w:val="7"/>
        <w:numId w:val="4"/>
      </w:numPr>
      <w:spacing w:line="240" w:lineRule="atLeast"/>
      <w:outlineLvl w:val="7"/>
    </w:pPr>
    <w:rPr>
      <w:rFonts w:ascii="Garamond" w:eastAsia="Times New Roman" w:hAnsi="Garamond" w:cs="Times New Roman"/>
      <w:i/>
      <w:spacing w:val="5"/>
      <w:kern w:val="20"/>
      <w:szCs w:val="20"/>
      <w:lang w:val="en-GB" w:eastAsia="en-CA"/>
    </w:rPr>
  </w:style>
  <w:style w:type="paragraph" w:styleId="Heading9">
    <w:name w:val="heading 9"/>
    <w:basedOn w:val="Normal"/>
    <w:next w:val="BodyText"/>
    <w:link w:val="Heading9Char"/>
    <w:qFormat/>
    <w:rsid w:val="00C62093"/>
    <w:pPr>
      <w:keepNext/>
      <w:keepLines/>
      <w:numPr>
        <w:ilvl w:val="8"/>
        <w:numId w:val="4"/>
      </w:numPr>
      <w:spacing w:line="240" w:lineRule="atLeast"/>
      <w:outlineLvl w:val="8"/>
    </w:pPr>
    <w:rPr>
      <w:rFonts w:ascii="Garamond" w:eastAsia="Times New Roman" w:hAnsi="Garamond" w:cs="Times New Roman"/>
      <w:spacing w:val="-5"/>
      <w:kern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C319C7"/>
    <w:pPr>
      <w:keepLines/>
      <w:spacing w:after="240" w:line="200" w:lineRule="atLeast"/>
      <w:jc w:val="both"/>
    </w:pPr>
    <w:rPr>
      <w:rFonts w:ascii="Garamond" w:eastAsia="Times New Roman" w:hAnsi="Garamond" w:cs="Times New Roman"/>
      <w:sz w:val="18"/>
      <w:szCs w:val="20"/>
      <w:lang w:val="en-GB" w:eastAsia="en-CA"/>
    </w:rPr>
  </w:style>
  <w:style w:type="character" w:customStyle="1" w:styleId="FootnoteTextChar">
    <w:name w:val="Footnote Text Char"/>
    <w:basedOn w:val="DefaultParagraphFont"/>
    <w:link w:val="FootnoteText"/>
    <w:semiHidden/>
    <w:rsid w:val="00C319C7"/>
    <w:rPr>
      <w:rFonts w:ascii="Garamond" w:eastAsia="Times New Roman" w:hAnsi="Garamond" w:cs="Times New Roman"/>
      <w:sz w:val="18"/>
      <w:szCs w:val="20"/>
      <w:lang w:val="en-GB" w:eastAsia="en-CA"/>
    </w:rPr>
  </w:style>
  <w:style w:type="character" w:styleId="FootnoteReference">
    <w:name w:val="footnote reference"/>
    <w:semiHidden/>
    <w:rsid w:val="00C319C7"/>
    <w:rPr>
      <w:vertAlign w:val="superscript"/>
    </w:rPr>
  </w:style>
  <w:style w:type="paragraph" w:styleId="BodyText3">
    <w:name w:val="Body Text 3"/>
    <w:basedOn w:val="Normal"/>
    <w:link w:val="BodyText3Char"/>
    <w:semiHidden/>
    <w:rsid w:val="00C319C7"/>
    <w:rPr>
      <w:rFonts w:ascii="Garamond" w:eastAsia="Times New Roman" w:hAnsi="Garamond" w:cs="Times New Roman"/>
      <w:szCs w:val="20"/>
      <w:lang w:val="en-GB" w:eastAsia="en-CA"/>
    </w:rPr>
  </w:style>
  <w:style w:type="character" w:customStyle="1" w:styleId="BodyText3Char">
    <w:name w:val="Body Text 3 Char"/>
    <w:basedOn w:val="DefaultParagraphFont"/>
    <w:link w:val="BodyText3"/>
    <w:semiHidden/>
    <w:rsid w:val="00C319C7"/>
    <w:rPr>
      <w:rFonts w:ascii="Garamond" w:eastAsia="Times New Roman" w:hAnsi="Garamond" w:cs="Times New Roman"/>
      <w:szCs w:val="20"/>
      <w:lang w:val="en-GB" w:eastAsia="en-CA"/>
    </w:rPr>
  </w:style>
  <w:style w:type="paragraph" w:customStyle="1" w:styleId="Default">
    <w:name w:val="Default"/>
    <w:rsid w:val="00E60AE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7214C"/>
    <w:rPr>
      <w:rFonts w:ascii="Tahoma" w:hAnsi="Tahoma" w:cs="Tahoma"/>
      <w:sz w:val="16"/>
      <w:szCs w:val="16"/>
    </w:rPr>
  </w:style>
  <w:style w:type="character" w:customStyle="1" w:styleId="BalloonTextChar">
    <w:name w:val="Balloon Text Char"/>
    <w:basedOn w:val="DefaultParagraphFont"/>
    <w:link w:val="BalloonText"/>
    <w:uiPriority w:val="99"/>
    <w:semiHidden/>
    <w:rsid w:val="0027214C"/>
    <w:rPr>
      <w:rFonts w:ascii="Tahoma" w:hAnsi="Tahoma" w:cs="Tahoma"/>
      <w:sz w:val="16"/>
      <w:szCs w:val="16"/>
    </w:rPr>
  </w:style>
  <w:style w:type="table" w:styleId="TableGrid">
    <w:name w:val="Table Grid"/>
    <w:basedOn w:val="TableNormal"/>
    <w:uiPriority w:val="59"/>
    <w:rsid w:val="00272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47F9"/>
    <w:pPr>
      <w:ind w:left="720"/>
      <w:contextualSpacing/>
    </w:pPr>
  </w:style>
  <w:style w:type="paragraph" w:customStyle="1" w:styleId="CM24">
    <w:name w:val="CM24"/>
    <w:basedOn w:val="Normal"/>
    <w:next w:val="Normal"/>
    <w:uiPriority w:val="99"/>
    <w:rsid w:val="00C62093"/>
    <w:pPr>
      <w:widowControl w:val="0"/>
      <w:autoSpaceDE w:val="0"/>
      <w:autoSpaceDN w:val="0"/>
      <w:adjustRightInd w:val="0"/>
      <w:spacing w:after="265"/>
      <w:jc w:val="both"/>
    </w:pPr>
    <w:rPr>
      <w:rFonts w:ascii="Trebuchet MS" w:eastAsiaTheme="minorEastAsia" w:hAnsi="Trebuchet MS" w:cstheme="minorBidi"/>
      <w:sz w:val="24"/>
      <w:szCs w:val="24"/>
      <w:lang w:eastAsia="en-CA"/>
    </w:rPr>
  </w:style>
  <w:style w:type="character" w:customStyle="1" w:styleId="Heading1Char">
    <w:name w:val="Heading 1 Char"/>
    <w:basedOn w:val="DefaultParagraphFont"/>
    <w:link w:val="Heading1"/>
    <w:rsid w:val="00C62093"/>
    <w:rPr>
      <w:rFonts w:ascii="Garamond" w:eastAsia="Times New Roman" w:hAnsi="Garamond" w:cs="Times New Roman"/>
      <w:b/>
      <w:caps/>
      <w:spacing w:val="20"/>
      <w:kern w:val="16"/>
      <w:sz w:val="18"/>
      <w:szCs w:val="20"/>
      <w:lang w:val="en-GB" w:eastAsia="en-CA"/>
    </w:rPr>
  </w:style>
  <w:style w:type="character" w:customStyle="1" w:styleId="Heading2Char">
    <w:name w:val="Heading 2 Char"/>
    <w:basedOn w:val="DefaultParagraphFont"/>
    <w:link w:val="Heading2"/>
    <w:rsid w:val="00C62093"/>
    <w:rPr>
      <w:rFonts w:ascii="Garamond" w:eastAsia="Times New Roman" w:hAnsi="Garamond" w:cs="Times New Roman"/>
      <w:b/>
      <w:caps/>
      <w:spacing w:val="10"/>
      <w:kern w:val="20"/>
      <w:sz w:val="18"/>
      <w:szCs w:val="20"/>
      <w:lang w:val="en-GB" w:eastAsia="en-CA"/>
    </w:rPr>
  </w:style>
  <w:style w:type="character" w:customStyle="1" w:styleId="Heading3Char">
    <w:name w:val="Heading 3 Char"/>
    <w:basedOn w:val="DefaultParagraphFont"/>
    <w:link w:val="Heading3"/>
    <w:rsid w:val="00C62093"/>
    <w:rPr>
      <w:rFonts w:ascii="Garamond" w:eastAsia="Times New Roman" w:hAnsi="Garamond" w:cs="Times New Roman"/>
      <w:caps/>
      <w:kern w:val="20"/>
      <w:sz w:val="20"/>
      <w:szCs w:val="20"/>
      <w:lang w:val="en-GB" w:eastAsia="en-CA"/>
    </w:rPr>
  </w:style>
  <w:style w:type="character" w:customStyle="1" w:styleId="Heading4Char">
    <w:name w:val="Heading 4 Char"/>
    <w:basedOn w:val="DefaultParagraphFont"/>
    <w:link w:val="Heading4"/>
    <w:rsid w:val="00C62093"/>
    <w:rPr>
      <w:rFonts w:ascii="Garamond" w:eastAsia="Times New Roman" w:hAnsi="Garamond" w:cs="Times New Roman"/>
      <w:i/>
      <w:spacing w:val="5"/>
      <w:kern w:val="20"/>
      <w:sz w:val="24"/>
      <w:szCs w:val="20"/>
      <w:lang w:val="en-GB" w:eastAsia="en-CA"/>
    </w:rPr>
  </w:style>
  <w:style w:type="character" w:customStyle="1" w:styleId="Heading5Char">
    <w:name w:val="Heading 5 Char"/>
    <w:basedOn w:val="DefaultParagraphFont"/>
    <w:link w:val="Heading5"/>
    <w:rsid w:val="00C62093"/>
    <w:rPr>
      <w:rFonts w:ascii="Garamond" w:eastAsia="Times New Roman" w:hAnsi="Garamond" w:cs="Times New Roman"/>
      <w:b/>
      <w:kern w:val="20"/>
      <w:szCs w:val="20"/>
      <w:lang w:val="en-GB" w:eastAsia="en-CA"/>
    </w:rPr>
  </w:style>
  <w:style w:type="character" w:customStyle="1" w:styleId="Heading6Char">
    <w:name w:val="Heading 6 Char"/>
    <w:basedOn w:val="DefaultParagraphFont"/>
    <w:link w:val="Heading6"/>
    <w:rsid w:val="00C62093"/>
    <w:rPr>
      <w:rFonts w:ascii="Garamond" w:eastAsia="Times New Roman" w:hAnsi="Garamond" w:cs="Times New Roman"/>
      <w:i/>
      <w:spacing w:val="5"/>
      <w:kern w:val="20"/>
      <w:szCs w:val="20"/>
      <w:lang w:val="en-GB" w:eastAsia="en-CA"/>
    </w:rPr>
  </w:style>
  <w:style w:type="character" w:customStyle="1" w:styleId="Heading7Char">
    <w:name w:val="Heading 7 Char"/>
    <w:basedOn w:val="DefaultParagraphFont"/>
    <w:link w:val="Heading7"/>
    <w:rsid w:val="00C62093"/>
    <w:rPr>
      <w:rFonts w:ascii="Garamond" w:eastAsia="Times New Roman" w:hAnsi="Garamond" w:cs="Times New Roman"/>
      <w:smallCaps/>
      <w:kern w:val="20"/>
      <w:szCs w:val="20"/>
      <w:lang w:val="en-GB" w:eastAsia="en-CA"/>
    </w:rPr>
  </w:style>
  <w:style w:type="character" w:customStyle="1" w:styleId="Heading8Char">
    <w:name w:val="Heading 8 Char"/>
    <w:basedOn w:val="DefaultParagraphFont"/>
    <w:link w:val="Heading8"/>
    <w:rsid w:val="00C62093"/>
    <w:rPr>
      <w:rFonts w:ascii="Garamond" w:eastAsia="Times New Roman" w:hAnsi="Garamond" w:cs="Times New Roman"/>
      <w:i/>
      <w:spacing w:val="5"/>
      <w:kern w:val="20"/>
      <w:szCs w:val="20"/>
      <w:lang w:val="en-GB" w:eastAsia="en-CA"/>
    </w:rPr>
  </w:style>
  <w:style w:type="character" w:customStyle="1" w:styleId="Heading9Char">
    <w:name w:val="Heading 9 Char"/>
    <w:basedOn w:val="DefaultParagraphFont"/>
    <w:link w:val="Heading9"/>
    <w:rsid w:val="00C62093"/>
    <w:rPr>
      <w:rFonts w:ascii="Garamond" w:eastAsia="Times New Roman" w:hAnsi="Garamond" w:cs="Times New Roman"/>
      <w:spacing w:val="-5"/>
      <w:kern w:val="20"/>
      <w:szCs w:val="20"/>
      <w:lang w:val="en-GB" w:eastAsia="en-CA"/>
    </w:rPr>
  </w:style>
  <w:style w:type="paragraph" w:styleId="BodyText">
    <w:name w:val="Body Text"/>
    <w:basedOn w:val="Normal"/>
    <w:link w:val="BodyTextChar"/>
    <w:uiPriority w:val="99"/>
    <w:unhideWhenUsed/>
    <w:rsid w:val="00C62093"/>
    <w:pPr>
      <w:spacing w:after="120"/>
    </w:pPr>
  </w:style>
  <w:style w:type="character" w:customStyle="1" w:styleId="BodyTextChar">
    <w:name w:val="Body Text Char"/>
    <w:basedOn w:val="DefaultParagraphFont"/>
    <w:link w:val="BodyText"/>
    <w:uiPriority w:val="99"/>
    <w:rsid w:val="00C62093"/>
    <w:rPr>
      <w:rFonts w:ascii="Calibri" w:hAnsi="Calibri" w:cs="Calibri"/>
    </w:rPr>
  </w:style>
  <w:style w:type="character" w:styleId="Hyperlink">
    <w:name w:val="Hyperlink"/>
    <w:basedOn w:val="DefaultParagraphFont"/>
    <w:uiPriority w:val="99"/>
    <w:unhideWhenUsed/>
    <w:rsid w:val="003970F1"/>
    <w:rPr>
      <w:color w:val="0000FF"/>
      <w:u w:val="single"/>
    </w:rPr>
  </w:style>
  <w:style w:type="character" w:styleId="FollowedHyperlink">
    <w:name w:val="FollowedHyperlink"/>
    <w:basedOn w:val="DefaultParagraphFont"/>
    <w:uiPriority w:val="99"/>
    <w:semiHidden/>
    <w:unhideWhenUsed/>
    <w:rsid w:val="00475F9B"/>
    <w:rPr>
      <w:color w:val="800080" w:themeColor="followedHyperlink"/>
      <w:u w:val="single"/>
    </w:rPr>
  </w:style>
  <w:style w:type="paragraph" w:styleId="Caption">
    <w:name w:val="caption"/>
    <w:basedOn w:val="Normal"/>
    <w:next w:val="BodyText"/>
    <w:qFormat/>
    <w:rsid w:val="004A63C7"/>
    <w:pPr>
      <w:keepNext/>
      <w:spacing w:before="60" w:after="240" w:line="200" w:lineRule="atLeast"/>
      <w:ind w:left="1920" w:hanging="120"/>
    </w:pPr>
    <w:rPr>
      <w:rFonts w:ascii="Garamond" w:eastAsia="Times New Roman" w:hAnsi="Garamond" w:cs="Times New Roman"/>
      <w:i/>
      <w:spacing w:val="5"/>
      <w:sz w:val="20"/>
      <w:szCs w:val="20"/>
      <w:lang w:val="en-GB" w:eastAsia="en-CA"/>
    </w:rPr>
  </w:style>
  <w:style w:type="paragraph" w:styleId="Header">
    <w:name w:val="header"/>
    <w:basedOn w:val="Normal"/>
    <w:link w:val="HeaderChar"/>
    <w:uiPriority w:val="99"/>
    <w:unhideWhenUsed/>
    <w:rsid w:val="00DA1791"/>
    <w:pPr>
      <w:tabs>
        <w:tab w:val="center" w:pos="4680"/>
        <w:tab w:val="right" w:pos="9360"/>
      </w:tabs>
    </w:pPr>
  </w:style>
  <w:style w:type="character" w:customStyle="1" w:styleId="HeaderChar">
    <w:name w:val="Header Char"/>
    <w:basedOn w:val="DefaultParagraphFont"/>
    <w:link w:val="Header"/>
    <w:uiPriority w:val="99"/>
    <w:rsid w:val="00DA1791"/>
    <w:rPr>
      <w:rFonts w:ascii="Calibri" w:hAnsi="Calibri" w:cs="Calibri"/>
    </w:rPr>
  </w:style>
  <w:style w:type="paragraph" w:styleId="Footer">
    <w:name w:val="footer"/>
    <w:basedOn w:val="Normal"/>
    <w:link w:val="FooterChar"/>
    <w:uiPriority w:val="99"/>
    <w:unhideWhenUsed/>
    <w:rsid w:val="00DA1791"/>
    <w:pPr>
      <w:tabs>
        <w:tab w:val="center" w:pos="4680"/>
        <w:tab w:val="right" w:pos="9360"/>
      </w:tabs>
    </w:pPr>
  </w:style>
  <w:style w:type="character" w:customStyle="1" w:styleId="FooterChar">
    <w:name w:val="Footer Char"/>
    <w:basedOn w:val="DefaultParagraphFont"/>
    <w:link w:val="Footer"/>
    <w:uiPriority w:val="99"/>
    <w:rsid w:val="00DA179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267204">
      <w:bodyDiv w:val="1"/>
      <w:marLeft w:val="0"/>
      <w:marRight w:val="0"/>
      <w:marTop w:val="0"/>
      <w:marBottom w:val="0"/>
      <w:divBdr>
        <w:top w:val="none" w:sz="0" w:space="0" w:color="auto"/>
        <w:left w:val="none" w:sz="0" w:space="0" w:color="auto"/>
        <w:bottom w:val="none" w:sz="0" w:space="0" w:color="auto"/>
        <w:right w:val="none" w:sz="0" w:space="0" w:color="auto"/>
      </w:divBdr>
    </w:div>
    <w:div w:id="705911457">
      <w:bodyDiv w:val="1"/>
      <w:marLeft w:val="0"/>
      <w:marRight w:val="0"/>
      <w:marTop w:val="0"/>
      <w:marBottom w:val="0"/>
      <w:divBdr>
        <w:top w:val="none" w:sz="0" w:space="0" w:color="auto"/>
        <w:left w:val="none" w:sz="0" w:space="0" w:color="auto"/>
        <w:bottom w:val="none" w:sz="0" w:space="0" w:color="auto"/>
        <w:right w:val="none" w:sz="0" w:space="0" w:color="auto"/>
      </w:divBdr>
    </w:div>
    <w:div w:id="838425430">
      <w:bodyDiv w:val="1"/>
      <w:marLeft w:val="0"/>
      <w:marRight w:val="0"/>
      <w:marTop w:val="0"/>
      <w:marBottom w:val="0"/>
      <w:divBdr>
        <w:top w:val="none" w:sz="0" w:space="0" w:color="auto"/>
        <w:left w:val="none" w:sz="0" w:space="0" w:color="auto"/>
        <w:bottom w:val="none" w:sz="0" w:space="0" w:color="auto"/>
        <w:right w:val="none" w:sz="0" w:space="0" w:color="auto"/>
      </w:divBdr>
    </w:div>
    <w:div w:id="1129013252">
      <w:bodyDiv w:val="1"/>
      <w:marLeft w:val="0"/>
      <w:marRight w:val="0"/>
      <w:marTop w:val="0"/>
      <w:marBottom w:val="0"/>
      <w:divBdr>
        <w:top w:val="none" w:sz="0" w:space="0" w:color="auto"/>
        <w:left w:val="none" w:sz="0" w:space="0" w:color="auto"/>
        <w:bottom w:val="none" w:sz="0" w:space="0" w:color="auto"/>
        <w:right w:val="none" w:sz="0" w:space="0" w:color="auto"/>
      </w:divBdr>
    </w:div>
    <w:div w:id="1130898582">
      <w:bodyDiv w:val="1"/>
      <w:marLeft w:val="0"/>
      <w:marRight w:val="0"/>
      <w:marTop w:val="0"/>
      <w:marBottom w:val="0"/>
      <w:divBdr>
        <w:top w:val="none" w:sz="0" w:space="0" w:color="auto"/>
        <w:left w:val="none" w:sz="0" w:space="0" w:color="auto"/>
        <w:bottom w:val="none" w:sz="0" w:space="0" w:color="auto"/>
        <w:right w:val="none" w:sz="0" w:space="0" w:color="auto"/>
      </w:divBdr>
    </w:div>
    <w:div w:id="1172451637">
      <w:bodyDiv w:val="1"/>
      <w:marLeft w:val="0"/>
      <w:marRight w:val="0"/>
      <w:marTop w:val="0"/>
      <w:marBottom w:val="0"/>
      <w:divBdr>
        <w:top w:val="none" w:sz="0" w:space="0" w:color="auto"/>
        <w:left w:val="none" w:sz="0" w:space="0" w:color="auto"/>
        <w:bottom w:val="none" w:sz="0" w:space="0" w:color="auto"/>
        <w:right w:val="none" w:sz="0" w:space="0" w:color="auto"/>
      </w:divBdr>
    </w:div>
    <w:div w:id="1460605985">
      <w:bodyDiv w:val="1"/>
      <w:marLeft w:val="0"/>
      <w:marRight w:val="0"/>
      <w:marTop w:val="0"/>
      <w:marBottom w:val="0"/>
      <w:divBdr>
        <w:top w:val="none" w:sz="0" w:space="0" w:color="auto"/>
        <w:left w:val="none" w:sz="0" w:space="0" w:color="auto"/>
        <w:bottom w:val="none" w:sz="0" w:space="0" w:color="auto"/>
        <w:right w:val="none" w:sz="0" w:space="0" w:color="auto"/>
      </w:divBdr>
    </w:div>
    <w:div w:id="1570340321">
      <w:bodyDiv w:val="1"/>
      <w:marLeft w:val="0"/>
      <w:marRight w:val="0"/>
      <w:marTop w:val="0"/>
      <w:marBottom w:val="0"/>
      <w:divBdr>
        <w:top w:val="none" w:sz="0" w:space="0" w:color="auto"/>
        <w:left w:val="none" w:sz="0" w:space="0" w:color="auto"/>
        <w:bottom w:val="none" w:sz="0" w:space="0" w:color="auto"/>
        <w:right w:val="none" w:sz="0" w:space="0" w:color="auto"/>
      </w:divBdr>
    </w:div>
    <w:div w:id="1693454255">
      <w:bodyDiv w:val="1"/>
      <w:marLeft w:val="0"/>
      <w:marRight w:val="0"/>
      <w:marTop w:val="0"/>
      <w:marBottom w:val="0"/>
      <w:divBdr>
        <w:top w:val="none" w:sz="0" w:space="0" w:color="auto"/>
        <w:left w:val="none" w:sz="0" w:space="0" w:color="auto"/>
        <w:bottom w:val="none" w:sz="0" w:space="0" w:color="auto"/>
        <w:right w:val="none" w:sz="0" w:space="0" w:color="auto"/>
      </w:divBdr>
    </w:div>
    <w:div w:id="172274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for.gov.bc.ca/hfp/health/fhdata/ProvBBStrategy.pdf" TargetMode="External"/><Relationship Id="rId18" Type="http://schemas.openxmlformats.org/officeDocument/2006/relationships/image" Target="media/image3.jpeg"/><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package" Target="embeddings/Microsoft_Word_Document.docx"/><Relationship Id="rId7" Type="http://schemas.openxmlformats.org/officeDocument/2006/relationships/endnotes" Target="endnotes.xml"/><Relationship Id="rId12" Type="http://schemas.openxmlformats.org/officeDocument/2006/relationships/hyperlink" Target="ftp://ftp.for.gov.bc.ca/HFP/external/!publish/barkbeetles/New%20Susceptibility%20Ratings/" TargetMode="External"/><Relationship Id="rId17" Type="http://schemas.openxmlformats.org/officeDocument/2006/relationships/hyperlink" Target="https://www.for.gov.bc.ca/ftp/HTH/external/!publish/web/timber-tenures/BSP/Memo-july-3-2014.pdf" TargetMode="External"/><Relationship Id="rId25" Type="http://schemas.openxmlformats.org/officeDocument/2006/relationships/package" Target="embeddings/Microsoft_Word_Document2.docx"/><Relationship Id="rId2" Type="http://schemas.openxmlformats.org/officeDocument/2006/relationships/numbering" Target="numbering.xml"/><Relationship Id="rId16" Type="http://schemas.openxmlformats.org/officeDocument/2006/relationships/hyperlink" Target="http://www.for.gov.bc.ca/ftp/hth/external/!publish/web/timber-tenures/BSP/EBBMA-Background.pdf" TargetMode="External"/><Relationship Id="rId20" Type="http://schemas.openxmlformats.org/officeDocument/2006/relationships/image" Target="media/image5.emf"/><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perience.arcgis.com/experience/b6f7b90d68c04d1b84abbf252d07871d" TargetMode="External"/><Relationship Id="rId24" Type="http://schemas.openxmlformats.org/officeDocument/2006/relationships/image" Target="media/image7.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or.gov.bc.ca/dkm/ESF_Info/CPRT_Admin_Manual_ver3.pdf" TargetMode="External"/><Relationship Id="rId23" Type="http://schemas.openxmlformats.org/officeDocument/2006/relationships/package" Target="embeddings/Microsoft_Word_Document1.docx"/><Relationship Id="rId28" Type="http://schemas.openxmlformats.org/officeDocument/2006/relationships/image" Target="media/image9.emf"/><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for.gov.bc.ca/ftp/hva/external/!publish/web/manuals/interior/2014/Interior2014NovMaster_1.pdf" TargetMode="External"/><Relationship Id="rId22" Type="http://schemas.openxmlformats.org/officeDocument/2006/relationships/image" Target="media/image6.emf"/><Relationship Id="rId27" Type="http://schemas.openxmlformats.org/officeDocument/2006/relationships/package" Target="embeddings/Microsoft_Word_Document3.docx"/><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drill\s63054\!Workgrp\Stewardship\Operations\Forest%20Health\DSS%20Forest%20Health\2014-2015\2015%20Forest%20Health%20Strategy\SDM2011-2014_&amp;RESULTS_pest-sta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61351706036744"/>
          <c:y val="2.8252405949256341E-2"/>
          <c:w val="0.81038648293963256"/>
          <c:h val="0.78570392242636333"/>
        </c:manualLayout>
      </c:layout>
      <c:barChart>
        <c:barDir val="col"/>
        <c:grouping val="clustered"/>
        <c:varyColors val="0"/>
        <c:ser>
          <c:idx val="1"/>
          <c:order val="0"/>
          <c:tx>
            <c:strRef>
              <c:f>'POVW-Summ_Bulkley'!$H$25</c:f>
              <c:strCache>
                <c:ptCount val="1"/>
                <c:pt idx="0">
                  <c:v>Bulkley</c:v>
                </c:pt>
              </c:strCache>
            </c:strRef>
          </c:tx>
          <c:invertIfNegative val="0"/>
          <c:val>
            <c:numRef>
              <c:f>'POVW-Summ_Bulkley'!$I$25:$M$25</c:f>
              <c:numCache>
                <c:formatCode>0.0</c:formatCode>
                <c:ptCount val="5"/>
                <c:pt idx="0">
                  <c:v>10689.867066629009</c:v>
                </c:pt>
                <c:pt idx="1">
                  <c:v>7091.4127235717588</c:v>
                </c:pt>
                <c:pt idx="2">
                  <c:v>3796.9647696484381</c:v>
                </c:pt>
                <c:pt idx="3">
                  <c:v>622.54091254556113</c:v>
                </c:pt>
                <c:pt idx="4">
                  <c:v>765.25971704182666</c:v>
                </c:pt>
              </c:numCache>
            </c:numRef>
          </c:val>
          <c:extLst>
            <c:ext xmlns:c16="http://schemas.microsoft.com/office/drawing/2014/chart" uri="{C3380CC4-5D6E-409C-BE32-E72D297353CC}">
              <c16:uniqueId val="{00000000-A2CC-4233-9C4C-EF425D37B003}"/>
            </c:ext>
          </c:extLst>
        </c:ser>
        <c:ser>
          <c:idx val="2"/>
          <c:order val="1"/>
          <c:tx>
            <c:strRef>
              <c:f>'POVW-Summ_Bulkley'!$H$26</c:f>
              <c:strCache>
                <c:ptCount val="1"/>
                <c:pt idx="0">
                  <c:v>Kispiox</c:v>
                </c:pt>
              </c:strCache>
            </c:strRef>
          </c:tx>
          <c:invertIfNegative val="0"/>
          <c:val>
            <c:numRef>
              <c:f>'POVW-Summ_Bulkley'!$I$26:$M$26</c:f>
              <c:numCache>
                <c:formatCode>0.0</c:formatCode>
                <c:ptCount val="5"/>
                <c:pt idx="0">
                  <c:v>1032.6020782692476</c:v>
                </c:pt>
                <c:pt idx="1">
                  <c:v>845.21899229254882</c:v>
                </c:pt>
                <c:pt idx="2">
                  <c:v>341.52541915733218</c:v>
                </c:pt>
                <c:pt idx="3">
                  <c:v>456.01253789154202</c:v>
                </c:pt>
                <c:pt idx="4">
                  <c:v>3.5578437721548002</c:v>
                </c:pt>
              </c:numCache>
            </c:numRef>
          </c:val>
          <c:extLst>
            <c:ext xmlns:c16="http://schemas.microsoft.com/office/drawing/2014/chart" uri="{C3380CC4-5D6E-409C-BE32-E72D297353CC}">
              <c16:uniqueId val="{00000001-A2CC-4233-9C4C-EF425D37B003}"/>
            </c:ext>
          </c:extLst>
        </c:ser>
        <c:ser>
          <c:idx val="3"/>
          <c:order val="2"/>
          <c:tx>
            <c:strRef>
              <c:f>'POVW-Summ_Bulkley'!$H$27</c:f>
              <c:strCache>
                <c:ptCount val="1"/>
                <c:pt idx="0">
                  <c:v>Cassiar</c:v>
                </c:pt>
              </c:strCache>
            </c:strRef>
          </c:tx>
          <c:invertIfNegative val="0"/>
          <c:val>
            <c:numRef>
              <c:f>'POVW-Summ_Bulkley'!$I$27:$M$27</c:f>
              <c:numCache>
                <c:formatCode>0.0</c:formatCode>
                <c:ptCount val="5"/>
                <c:pt idx="0">
                  <c:v>4.6331247140479999</c:v>
                </c:pt>
                <c:pt idx="1">
                  <c:v>73.466025609023021</c:v>
                </c:pt>
                <c:pt idx="2">
                  <c:v>44.367813143810004</c:v>
                </c:pt>
                <c:pt idx="3">
                  <c:v>17.587758617959199</c:v>
                </c:pt>
                <c:pt idx="4">
                  <c:v>0</c:v>
                </c:pt>
              </c:numCache>
            </c:numRef>
          </c:val>
          <c:extLst>
            <c:ext xmlns:c16="http://schemas.microsoft.com/office/drawing/2014/chart" uri="{C3380CC4-5D6E-409C-BE32-E72D297353CC}">
              <c16:uniqueId val="{00000002-A2CC-4233-9C4C-EF425D37B003}"/>
            </c:ext>
          </c:extLst>
        </c:ser>
        <c:dLbls>
          <c:showLegendKey val="0"/>
          <c:showVal val="0"/>
          <c:showCatName val="0"/>
          <c:showSerName val="0"/>
          <c:showPercent val="0"/>
          <c:showBubbleSize val="0"/>
        </c:dLbls>
        <c:gapWidth val="75"/>
        <c:overlap val="-25"/>
        <c:axId val="194041344"/>
        <c:axId val="226084736"/>
      </c:barChart>
      <c:catAx>
        <c:axId val="194041344"/>
        <c:scaling>
          <c:orientation val="minMax"/>
        </c:scaling>
        <c:delete val="0"/>
        <c:axPos val="b"/>
        <c:majorTickMark val="none"/>
        <c:minorTickMark val="none"/>
        <c:tickLblPos val="none"/>
        <c:crossAx val="226084736"/>
        <c:crosses val="autoZero"/>
        <c:auto val="1"/>
        <c:lblAlgn val="ctr"/>
        <c:lblOffset val="100"/>
        <c:noMultiLvlLbl val="0"/>
      </c:catAx>
      <c:valAx>
        <c:axId val="226084736"/>
        <c:scaling>
          <c:orientation val="minMax"/>
        </c:scaling>
        <c:delete val="0"/>
        <c:axPos val="l"/>
        <c:majorGridlines/>
        <c:title>
          <c:tx>
            <c:rich>
              <a:bodyPr rot="-5400000" vert="horz"/>
              <a:lstStyle/>
              <a:p>
                <a:pPr>
                  <a:defRPr/>
                </a:pPr>
                <a:r>
                  <a:rPr lang="en-US"/>
                  <a:t>Affected/ Killed Area, Ha</a:t>
                </a:r>
              </a:p>
            </c:rich>
          </c:tx>
          <c:overlay val="0"/>
        </c:title>
        <c:numFmt formatCode="0.0" sourceLinked="1"/>
        <c:majorTickMark val="none"/>
        <c:minorTickMark val="none"/>
        <c:tickLblPos val="nextTo"/>
        <c:spPr>
          <a:ln w="9525">
            <a:noFill/>
          </a:ln>
        </c:spPr>
        <c:crossAx val="1940413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51024-A03E-4501-B8BB-07FFAEA52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22</Pages>
  <Words>3868</Words>
  <Characters>22054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Buhr, Glen FOR:EX</cp:lastModifiedBy>
  <cp:revision>4</cp:revision>
  <cp:lastPrinted>2016-12-01T02:40:00Z</cp:lastPrinted>
  <dcterms:created xsi:type="dcterms:W3CDTF">2016-12-01T02:41:00Z</dcterms:created>
  <dcterms:modified xsi:type="dcterms:W3CDTF">2023-06-28T17:19:00Z</dcterms:modified>
</cp:coreProperties>
</file>