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027" w:rsidRPr="009245C6" w:rsidRDefault="00B85877" w:rsidP="009245C6">
      <w:pPr>
        <w:pStyle w:val="Heading1"/>
        <w:numPr>
          <w:ilvl w:val="0"/>
          <w:numId w:val="0"/>
        </w:numPr>
        <w:ind w:left="432" w:hanging="432"/>
        <w:rPr>
          <w:rStyle w:val="Heading3Char"/>
          <w:rFonts w:asciiTheme="minorHAnsi" w:hAnsiTheme="minorHAnsi" w:cstheme="minorHAnsi"/>
          <w:b/>
          <w:sz w:val="24"/>
          <w:szCs w:val="24"/>
        </w:rPr>
      </w:pPr>
      <w:bookmarkStart w:id="0" w:name="_Toc415730976"/>
      <w:proofErr w:type="gramStart"/>
      <w:r w:rsidRPr="009245C6">
        <w:rPr>
          <w:rStyle w:val="Heading3Char"/>
          <w:rFonts w:asciiTheme="minorHAnsi" w:hAnsiTheme="minorHAnsi" w:cstheme="minorHAnsi"/>
          <w:i w:val="0"/>
          <w:sz w:val="24"/>
          <w:szCs w:val="24"/>
        </w:rPr>
        <w:t xml:space="preserve">4.2.3  </w:t>
      </w:r>
      <w:r w:rsidR="00B63027" w:rsidRPr="009245C6">
        <w:rPr>
          <w:rStyle w:val="Heading3Char"/>
          <w:rFonts w:asciiTheme="minorHAnsi" w:hAnsiTheme="minorHAnsi" w:cstheme="minorHAnsi"/>
          <w:i w:val="0"/>
          <w:sz w:val="24"/>
          <w:szCs w:val="24"/>
        </w:rPr>
        <w:t>Western</w:t>
      </w:r>
      <w:proofErr w:type="gramEnd"/>
      <w:r w:rsidR="00B63027" w:rsidRPr="009245C6">
        <w:rPr>
          <w:rStyle w:val="Heading3Char"/>
          <w:rFonts w:asciiTheme="minorHAnsi" w:hAnsiTheme="minorHAnsi" w:cstheme="minorHAnsi"/>
          <w:i w:val="0"/>
          <w:sz w:val="24"/>
          <w:szCs w:val="24"/>
        </w:rPr>
        <w:t xml:space="preserve"> balsam bark beetle (IBB)</w:t>
      </w:r>
      <w:r w:rsidR="00B63027" w:rsidRPr="009245C6">
        <w:rPr>
          <w:rStyle w:val="Heading3Char"/>
          <w:rFonts w:asciiTheme="minorHAnsi" w:hAnsiTheme="minorHAnsi" w:cstheme="minorHAnsi"/>
          <w:sz w:val="24"/>
          <w:szCs w:val="24"/>
        </w:rPr>
        <w:tab/>
      </w:r>
      <w:r w:rsidR="00B63027" w:rsidRPr="009245C6">
        <w:rPr>
          <w:rStyle w:val="Heading3Char"/>
          <w:rFonts w:asciiTheme="minorHAnsi" w:hAnsiTheme="minorHAnsi" w:cstheme="minorHAnsi"/>
          <w:sz w:val="24"/>
          <w:szCs w:val="24"/>
        </w:rPr>
        <w:tab/>
      </w:r>
      <w:r w:rsidR="006071CB" w:rsidRPr="009245C6">
        <w:rPr>
          <w:rStyle w:val="Heading3Char"/>
          <w:rFonts w:asciiTheme="minorHAnsi" w:hAnsiTheme="minorHAnsi" w:cstheme="minorHAnsi"/>
          <w:sz w:val="24"/>
          <w:szCs w:val="24"/>
        </w:rPr>
        <w:tab/>
      </w:r>
      <w:r w:rsidR="006071CB" w:rsidRPr="009245C6">
        <w:rPr>
          <w:rStyle w:val="Heading3Char"/>
          <w:rFonts w:asciiTheme="minorHAnsi" w:hAnsiTheme="minorHAnsi" w:cstheme="minorHAnsi"/>
          <w:sz w:val="24"/>
          <w:szCs w:val="24"/>
        </w:rPr>
        <w:tab/>
      </w:r>
      <w:proofErr w:type="spellStart"/>
      <w:r w:rsidR="00B63027" w:rsidRPr="009245C6">
        <w:rPr>
          <w:rStyle w:val="Heading3Char"/>
          <w:rFonts w:asciiTheme="minorHAnsi" w:hAnsiTheme="minorHAnsi" w:cstheme="minorHAnsi"/>
          <w:sz w:val="24"/>
          <w:szCs w:val="24"/>
        </w:rPr>
        <w:t>Dryocoetes</w:t>
      </w:r>
      <w:proofErr w:type="spellEnd"/>
      <w:r w:rsidR="00B63027" w:rsidRPr="009245C6">
        <w:rPr>
          <w:rStyle w:val="Heading3Char"/>
          <w:rFonts w:asciiTheme="minorHAnsi" w:hAnsiTheme="minorHAnsi" w:cstheme="minorHAnsi"/>
          <w:sz w:val="24"/>
          <w:szCs w:val="24"/>
        </w:rPr>
        <w:t xml:space="preserve"> </w:t>
      </w:r>
      <w:proofErr w:type="spellStart"/>
      <w:r w:rsidR="00CB2719" w:rsidRPr="009245C6">
        <w:rPr>
          <w:rStyle w:val="Heading3Char"/>
          <w:rFonts w:asciiTheme="minorHAnsi" w:hAnsiTheme="minorHAnsi" w:cstheme="minorHAnsi"/>
          <w:sz w:val="24"/>
          <w:szCs w:val="24"/>
        </w:rPr>
        <w:t>confusu</w:t>
      </w:r>
      <w:r w:rsidR="006071CB" w:rsidRPr="009245C6">
        <w:rPr>
          <w:rStyle w:val="Heading3Char"/>
          <w:rFonts w:asciiTheme="minorHAnsi" w:hAnsiTheme="minorHAnsi" w:cstheme="minorHAnsi"/>
          <w:sz w:val="24"/>
          <w:szCs w:val="24"/>
        </w:rPr>
        <w:t>s</w:t>
      </w:r>
      <w:bookmarkEnd w:id="0"/>
      <w:proofErr w:type="spellEnd"/>
      <w:r w:rsidR="006071CB" w:rsidRPr="009245C6">
        <w:rPr>
          <w:rStyle w:val="Heading3Char"/>
          <w:rFonts w:asciiTheme="minorHAnsi" w:hAnsiTheme="minorHAnsi" w:cstheme="minorHAnsi"/>
          <w:sz w:val="24"/>
          <w:szCs w:val="24"/>
        </w:rPr>
        <w:t xml:space="preserve"> </w:t>
      </w:r>
      <w:r w:rsidR="00CB2719" w:rsidRPr="009245C6">
        <w:rPr>
          <w:b w:val="0"/>
          <w:sz w:val="24"/>
          <w:szCs w:val="24"/>
        </w:rPr>
        <w:t>(Swaine)</w:t>
      </w:r>
    </w:p>
    <w:p w:rsidR="00B63027" w:rsidRPr="00B85877" w:rsidRDefault="00B63027" w:rsidP="003C2705">
      <w:pPr>
        <w:autoSpaceDE w:val="0"/>
        <w:autoSpaceDN w:val="0"/>
        <w:adjustRightInd w:val="0"/>
        <w:spacing w:before="240" w:after="120"/>
        <w:rPr>
          <w:rFonts w:cstheme="minorHAnsi"/>
          <w:bCs/>
          <w:iCs/>
          <w:color w:val="FF0000"/>
          <w:sz w:val="22"/>
          <w:szCs w:val="22"/>
          <w:u w:val="single"/>
        </w:rPr>
      </w:pPr>
      <w:r w:rsidRPr="00B85877">
        <w:rPr>
          <w:rFonts w:cstheme="minorHAnsi"/>
          <w:bCs/>
          <w:iCs/>
          <w:color w:val="FF0000"/>
          <w:sz w:val="22"/>
          <w:szCs w:val="22"/>
          <w:u w:val="single"/>
        </w:rPr>
        <w:t>Description</w:t>
      </w:r>
    </w:p>
    <w:p w:rsidR="00CB2719" w:rsidRPr="00CB2719" w:rsidRDefault="00CB2719" w:rsidP="00CB2719">
      <w:pPr>
        <w:spacing w:after="120"/>
        <w:rPr>
          <w:sz w:val="22"/>
          <w:szCs w:val="22"/>
        </w:rPr>
      </w:pPr>
      <w:r w:rsidRPr="00CB2719">
        <w:rPr>
          <w:sz w:val="22"/>
          <w:szCs w:val="22"/>
        </w:rPr>
        <w:t xml:space="preserve">See Appendix 1X for descriptions of </w:t>
      </w:r>
      <w:r>
        <w:rPr>
          <w:sz w:val="22"/>
          <w:szCs w:val="22"/>
        </w:rPr>
        <w:t>IBB</w:t>
      </w:r>
      <w:r w:rsidRPr="00CB2719">
        <w:rPr>
          <w:sz w:val="22"/>
          <w:szCs w:val="22"/>
        </w:rPr>
        <w:t xml:space="preserve"> Host Susceptibility, Signs &amp; Symptoms, and Damage.</w:t>
      </w:r>
    </w:p>
    <w:p w:rsidR="00CB2719" w:rsidRDefault="00B63027" w:rsidP="00CB2719">
      <w:pPr>
        <w:pStyle w:val="BodyText3"/>
        <w:rPr>
          <w:rFonts w:cstheme="minorHAnsi"/>
          <w:color w:val="000000"/>
          <w:sz w:val="22"/>
          <w:szCs w:val="22"/>
        </w:rPr>
      </w:pPr>
      <w:r w:rsidRPr="00CB2719">
        <w:rPr>
          <w:rFonts w:cstheme="minorHAnsi"/>
          <w:color w:val="000000"/>
          <w:sz w:val="22"/>
          <w:szCs w:val="22"/>
        </w:rPr>
        <w:t>Western balsam bark beetle (IBB</w:t>
      </w:r>
      <w:r w:rsidRPr="00B85877">
        <w:rPr>
          <w:rFonts w:cstheme="minorHAnsi"/>
          <w:color w:val="000000"/>
          <w:sz w:val="22"/>
          <w:szCs w:val="22"/>
        </w:rPr>
        <w:t xml:space="preserve">) is </w:t>
      </w:r>
      <w:r w:rsidR="00B85877" w:rsidRPr="00B85877">
        <w:rPr>
          <w:sz w:val="22"/>
          <w:szCs w:val="22"/>
        </w:rPr>
        <w:t>the m</w:t>
      </w:r>
      <w:r w:rsidR="00B85877">
        <w:rPr>
          <w:sz w:val="22"/>
          <w:szCs w:val="22"/>
        </w:rPr>
        <w:t xml:space="preserve">ost destructive pest of mature subalpine and </w:t>
      </w:r>
      <w:proofErr w:type="spellStart"/>
      <w:r w:rsidR="00B85877">
        <w:rPr>
          <w:sz w:val="22"/>
          <w:szCs w:val="22"/>
        </w:rPr>
        <w:t>amabilis</w:t>
      </w:r>
      <w:proofErr w:type="spellEnd"/>
      <w:r w:rsidR="00B85877">
        <w:rPr>
          <w:sz w:val="22"/>
          <w:szCs w:val="22"/>
        </w:rPr>
        <w:t xml:space="preserve"> fir</w:t>
      </w:r>
      <w:r w:rsidR="00B85877" w:rsidRPr="00B85877">
        <w:rPr>
          <w:sz w:val="22"/>
          <w:szCs w:val="22"/>
        </w:rPr>
        <w:t xml:space="preserve"> </w:t>
      </w:r>
      <w:r w:rsidR="00736F9F">
        <w:rPr>
          <w:sz w:val="22"/>
          <w:szCs w:val="22"/>
        </w:rPr>
        <w:t xml:space="preserve">(“balsam”) </w:t>
      </w:r>
      <w:r w:rsidR="00B85877" w:rsidRPr="00B85877">
        <w:rPr>
          <w:sz w:val="22"/>
          <w:szCs w:val="22"/>
        </w:rPr>
        <w:t>in Skeena Stikine District</w:t>
      </w:r>
      <w:r w:rsidRPr="00B85877">
        <w:rPr>
          <w:rFonts w:cstheme="minorHAnsi"/>
          <w:color w:val="000000"/>
          <w:sz w:val="22"/>
          <w:szCs w:val="22"/>
        </w:rPr>
        <w:t>.</w:t>
      </w:r>
      <w:r w:rsidR="00B85877">
        <w:rPr>
          <w:rFonts w:cstheme="minorHAnsi"/>
          <w:color w:val="000000"/>
          <w:sz w:val="22"/>
          <w:szCs w:val="22"/>
        </w:rPr>
        <w:t xml:space="preserve"> It is </w:t>
      </w:r>
      <w:r w:rsidR="00B85877" w:rsidRPr="00B85877">
        <w:rPr>
          <w:rFonts w:cstheme="minorHAnsi"/>
          <w:sz w:val="22"/>
          <w:szCs w:val="22"/>
        </w:rPr>
        <w:t xml:space="preserve">a </w:t>
      </w:r>
      <w:r w:rsidR="00B85877">
        <w:rPr>
          <w:rFonts w:cstheme="minorHAnsi"/>
          <w:sz w:val="22"/>
          <w:szCs w:val="22"/>
        </w:rPr>
        <w:t>high risk</w:t>
      </w:r>
      <w:r w:rsidR="00B85877" w:rsidRPr="00B85877">
        <w:rPr>
          <w:rFonts w:cstheme="minorHAnsi"/>
          <w:sz w:val="22"/>
          <w:szCs w:val="22"/>
        </w:rPr>
        <w:t xml:space="preserve"> forest health agent for Skeena Stikine District because</w:t>
      </w:r>
      <w:r w:rsidR="00AC4CC5">
        <w:rPr>
          <w:rFonts w:cstheme="minorHAnsi"/>
          <w:sz w:val="22"/>
          <w:szCs w:val="22"/>
        </w:rPr>
        <w:t xml:space="preserve"> </w:t>
      </w:r>
      <w:r w:rsidR="003C2705">
        <w:rPr>
          <w:rFonts w:cstheme="minorHAnsi"/>
          <w:sz w:val="22"/>
          <w:szCs w:val="22"/>
        </w:rPr>
        <w:t>its presence is widespread</w:t>
      </w:r>
      <w:r w:rsidR="00AC4CC5">
        <w:rPr>
          <w:rFonts w:cstheme="minorHAnsi"/>
          <w:sz w:val="22"/>
          <w:szCs w:val="22"/>
        </w:rPr>
        <w:t xml:space="preserve">, and </w:t>
      </w:r>
      <w:r w:rsidR="003C2705">
        <w:rPr>
          <w:rFonts w:cstheme="minorHAnsi"/>
          <w:sz w:val="22"/>
          <w:szCs w:val="22"/>
        </w:rPr>
        <w:t xml:space="preserve">because there are significant </w:t>
      </w:r>
      <w:r w:rsidR="00B85877" w:rsidRPr="00B85877">
        <w:rPr>
          <w:rFonts w:cstheme="minorHAnsi"/>
          <w:sz w:val="22"/>
          <w:szCs w:val="22"/>
        </w:rPr>
        <w:t>areas of contiguous susceptible forest in each of the TSA’s</w:t>
      </w:r>
      <w:r w:rsidR="00AC4CC5">
        <w:rPr>
          <w:rFonts w:cstheme="minorHAnsi"/>
          <w:sz w:val="22"/>
          <w:szCs w:val="22"/>
        </w:rPr>
        <w:t xml:space="preserve">. </w:t>
      </w:r>
      <w:r w:rsidR="00736F9F">
        <w:rPr>
          <w:rFonts w:cstheme="minorHAnsi"/>
          <w:sz w:val="22"/>
          <w:szCs w:val="22"/>
        </w:rPr>
        <w:t>Balsam</w:t>
      </w:r>
      <w:r w:rsidR="00B85877">
        <w:rPr>
          <w:rFonts w:cstheme="minorHAnsi"/>
          <w:sz w:val="22"/>
          <w:szCs w:val="22"/>
        </w:rPr>
        <w:t xml:space="preserve"> comprise</w:t>
      </w:r>
      <w:r w:rsidR="00736F9F">
        <w:rPr>
          <w:rFonts w:cstheme="minorHAnsi"/>
          <w:sz w:val="22"/>
          <w:szCs w:val="22"/>
        </w:rPr>
        <w:t>s</w:t>
      </w:r>
      <w:r w:rsidR="00947AAA">
        <w:rPr>
          <w:rFonts w:cstheme="minorHAnsi"/>
          <w:sz w:val="22"/>
          <w:szCs w:val="22"/>
        </w:rPr>
        <w:t xml:space="preserve"> 60%, 40</w:t>
      </w:r>
      <w:r w:rsidR="00B85877">
        <w:rPr>
          <w:rFonts w:cstheme="minorHAnsi"/>
          <w:sz w:val="22"/>
          <w:szCs w:val="22"/>
        </w:rPr>
        <w:t>% and 24</w:t>
      </w:r>
      <w:r w:rsidR="00B85877" w:rsidRPr="00B85877">
        <w:rPr>
          <w:rFonts w:cstheme="minorHAnsi"/>
          <w:sz w:val="22"/>
          <w:szCs w:val="22"/>
        </w:rPr>
        <w:t xml:space="preserve">%, respectively, of </w:t>
      </w:r>
      <w:proofErr w:type="spellStart"/>
      <w:r w:rsidR="00B85877" w:rsidRPr="00B85877">
        <w:rPr>
          <w:rFonts w:cstheme="minorHAnsi"/>
          <w:sz w:val="22"/>
          <w:szCs w:val="22"/>
        </w:rPr>
        <w:t>Bulkley</w:t>
      </w:r>
      <w:proofErr w:type="spellEnd"/>
      <w:r w:rsidR="00B85877" w:rsidRPr="00B85877">
        <w:rPr>
          <w:rFonts w:cstheme="minorHAnsi"/>
          <w:sz w:val="22"/>
          <w:szCs w:val="22"/>
        </w:rPr>
        <w:t xml:space="preserve">, </w:t>
      </w:r>
      <w:proofErr w:type="spellStart"/>
      <w:r w:rsidR="00B85877" w:rsidRPr="00B85877">
        <w:rPr>
          <w:rFonts w:cstheme="minorHAnsi"/>
          <w:sz w:val="22"/>
          <w:szCs w:val="22"/>
        </w:rPr>
        <w:t>Kispiox</w:t>
      </w:r>
      <w:proofErr w:type="spellEnd"/>
      <w:r w:rsidR="00B85877" w:rsidRPr="00B85877">
        <w:rPr>
          <w:rFonts w:cstheme="minorHAnsi"/>
          <w:sz w:val="22"/>
          <w:szCs w:val="22"/>
        </w:rPr>
        <w:t xml:space="preserve">, and </w:t>
      </w:r>
      <w:proofErr w:type="spellStart"/>
      <w:r w:rsidR="00B85877" w:rsidRPr="00B85877">
        <w:rPr>
          <w:rFonts w:cstheme="minorHAnsi"/>
          <w:sz w:val="22"/>
          <w:szCs w:val="22"/>
        </w:rPr>
        <w:t>Cassiar</w:t>
      </w:r>
      <w:proofErr w:type="spellEnd"/>
      <w:r w:rsidR="00B85877" w:rsidRPr="00B85877">
        <w:rPr>
          <w:rFonts w:cstheme="minorHAnsi"/>
          <w:sz w:val="22"/>
          <w:szCs w:val="22"/>
        </w:rPr>
        <w:t xml:space="preserve"> TSA’s forested </w:t>
      </w:r>
      <w:proofErr w:type="spellStart"/>
      <w:r w:rsidR="00B85877" w:rsidRPr="00B85877">
        <w:rPr>
          <w:rFonts w:cstheme="minorHAnsi"/>
          <w:sz w:val="22"/>
          <w:szCs w:val="22"/>
        </w:rPr>
        <w:t>landbases</w:t>
      </w:r>
      <w:proofErr w:type="spellEnd"/>
      <w:r w:rsidR="00AC4CC5">
        <w:rPr>
          <w:rFonts w:cstheme="minorHAnsi"/>
          <w:sz w:val="22"/>
          <w:szCs w:val="22"/>
        </w:rPr>
        <w:t>.</w:t>
      </w:r>
    </w:p>
    <w:p w:rsidR="00947AAA" w:rsidRDefault="00CB2719" w:rsidP="00CB2719">
      <w:pPr>
        <w:pStyle w:val="BodyText3"/>
        <w:rPr>
          <w:sz w:val="22"/>
          <w:szCs w:val="22"/>
        </w:rPr>
      </w:pPr>
      <w:r>
        <w:rPr>
          <w:sz w:val="22"/>
          <w:szCs w:val="22"/>
        </w:rPr>
        <w:t>IBB</w:t>
      </w:r>
      <w:r w:rsidRPr="00CB2719">
        <w:rPr>
          <w:sz w:val="22"/>
          <w:szCs w:val="22"/>
        </w:rPr>
        <w:t xml:space="preserve"> </w:t>
      </w:r>
      <w:r w:rsidR="00947AAA">
        <w:rPr>
          <w:sz w:val="22"/>
          <w:szCs w:val="22"/>
        </w:rPr>
        <w:t>typically</w:t>
      </w:r>
      <w:r w:rsidRPr="00CB2719">
        <w:rPr>
          <w:sz w:val="22"/>
          <w:szCs w:val="22"/>
        </w:rPr>
        <w:t xml:space="preserve"> has a 2-year life cycle</w:t>
      </w:r>
      <w:r>
        <w:rPr>
          <w:sz w:val="22"/>
          <w:szCs w:val="22"/>
        </w:rPr>
        <w:t>,</w:t>
      </w:r>
      <w:r w:rsidRPr="00CB2719">
        <w:rPr>
          <w:sz w:val="22"/>
          <w:szCs w:val="22"/>
        </w:rPr>
        <w:t xml:space="preserve"> </w:t>
      </w:r>
      <w:r>
        <w:rPr>
          <w:sz w:val="22"/>
          <w:szCs w:val="22"/>
        </w:rPr>
        <w:t>during which</w:t>
      </w:r>
      <w:r w:rsidRPr="00CB2719">
        <w:rPr>
          <w:sz w:val="22"/>
          <w:szCs w:val="22"/>
        </w:rPr>
        <w:t xml:space="preserve"> the adult </w:t>
      </w:r>
      <w:r w:rsidR="003C2705">
        <w:rPr>
          <w:sz w:val="22"/>
          <w:szCs w:val="22"/>
        </w:rPr>
        <w:t>may</w:t>
      </w:r>
      <w:r w:rsidRPr="00CB2719">
        <w:rPr>
          <w:sz w:val="22"/>
          <w:szCs w:val="22"/>
        </w:rPr>
        <w:t xml:space="preserve"> lay up to 3 sets of eggs</w:t>
      </w:r>
      <w:r>
        <w:rPr>
          <w:sz w:val="22"/>
          <w:szCs w:val="22"/>
        </w:rPr>
        <w:t xml:space="preserve"> – one </w:t>
      </w:r>
      <w:r w:rsidRPr="00CB2719">
        <w:rPr>
          <w:sz w:val="22"/>
          <w:szCs w:val="22"/>
        </w:rPr>
        <w:t xml:space="preserve">in the first </w:t>
      </w:r>
      <w:r>
        <w:rPr>
          <w:sz w:val="22"/>
          <w:szCs w:val="22"/>
        </w:rPr>
        <w:t>summer, and two in the second</w:t>
      </w:r>
      <w:r w:rsidR="00947AAA">
        <w:rPr>
          <w:sz w:val="22"/>
          <w:szCs w:val="22"/>
        </w:rPr>
        <w:t xml:space="preserve"> – resulting in </w:t>
      </w:r>
      <w:r w:rsidR="00947AAA" w:rsidRPr="00CB2719">
        <w:rPr>
          <w:sz w:val="22"/>
          <w:szCs w:val="22"/>
        </w:rPr>
        <w:t xml:space="preserve">multiple and overlapping broods.  </w:t>
      </w:r>
      <w:r w:rsidR="00947AAA">
        <w:rPr>
          <w:sz w:val="22"/>
          <w:szCs w:val="22"/>
        </w:rPr>
        <w:t xml:space="preserve">Adult beetles </w:t>
      </w:r>
      <w:r w:rsidR="00D60981">
        <w:rPr>
          <w:sz w:val="22"/>
          <w:szCs w:val="22"/>
        </w:rPr>
        <w:t xml:space="preserve">initially </w:t>
      </w:r>
      <w:r w:rsidR="00947AAA">
        <w:rPr>
          <w:sz w:val="22"/>
          <w:szCs w:val="22"/>
        </w:rPr>
        <w:t>fly in early to mid-</w:t>
      </w:r>
      <w:r w:rsidR="00D60981">
        <w:rPr>
          <w:sz w:val="22"/>
          <w:szCs w:val="22"/>
        </w:rPr>
        <w:t>summer and</w:t>
      </w:r>
      <w:r w:rsidR="00947AAA" w:rsidRPr="00CB2719">
        <w:rPr>
          <w:sz w:val="22"/>
          <w:szCs w:val="22"/>
        </w:rPr>
        <w:t xml:space="preserve"> lay their first set of eggs</w:t>
      </w:r>
      <w:r w:rsidR="00947AAA">
        <w:rPr>
          <w:sz w:val="22"/>
          <w:szCs w:val="22"/>
        </w:rPr>
        <w:t>,</w:t>
      </w:r>
      <w:r w:rsidR="00947AAA" w:rsidRPr="00CB2719">
        <w:rPr>
          <w:sz w:val="22"/>
          <w:szCs w:val="22"/>
        </w:rPr>
        <w:t xml:space="preserve"> then overwinter under bark with the developing 1</w:t>
      </w:r>
      <w:r w:rsidR="00947AAA" w:rsidRPr="00CB2719">
        <w:rPr>
          <w:sz w:val="22"/>
          <w:szCs w:val="22"/>
          <w:vertAlign w:val="superscript"/>
        </w:rPr>
        <w:t>st</w:t>
      </w:r>
      <w:r w:rsidR="00947AAA" w:rsidRPr="00CB2719">
        <w:rPr>
          <w:sz w:val="22"/>
          <w:szCs w:val="22"/>
        </w:rPr>
        <w:t xml:space="preserve"> brood.  In the second summer </w:t>
      </w:r>
      <w:r w:rsidR="00947AAA">
        <w:rPr>
          <w:sz w:val="22"/>
          <w:szCs w:val="22"/>
        </w:rPr>
        <w:t>adults elongate their galleries</w:t>
      </w:r>
      <w:r w:rsidR="00947AAA" w:rsidRPr="00CB2719">
        <w:rPr>
          <w:sz w:val="22"/>
          <w:szCs w:val="22"/>
        </w:rPr>
        <w:t xml:space="preserve"> and lay another brood, </w:t>
      </w:r>
      <w:r w:rsidR="00947AAA">
        <w:rPr>
          <w:sz w:val="22"/>
          <w:szCs w:val="22"/>
        </w:rPr>
        <w:t xml:space="preserve">then </w:t>
      </w:r>
      <w:r w:rsidR="00947AAA" w:rsidRPr="00CB2719">
        <w:rPr>
          <w:sz w:val="22"/>
          <w:szCs w:val="22"/>
        </w:rPr>
        <w:t xml:space="preserve">emerge to fly again and </w:t>
      </w:r>
      <w:r w:rsidR="003C2705">
        <w:rPr>
          <w:sz w:val="22"/>
          <w:szCs w:val="22"/>
        </w:rPr>
        <w:t xml:space="preserve">potentially </w:t>
      </w:r>
      <w:r w:rsidR="00947AAA" w:rsidRPr="00CB2719">
        <w:rPr>
          <w:sz w:val="22"/>
          <w:szCs w:val="22"/>
        </w:rPr>
        <w:t xml:space="preserve">lay a third set of eggs in the same or </w:t>
      </w:r>
      <w:proofErr w:type="spellStart"/>
      <w:r w:rsidR="00947AAA" w:rsidRPr="00CB2719">
        <w:rPr>
          <w:sz w:val="22"/>
          <w:szCs w:val="22"/>
        </w:rPr>
        <w:t>neighbouring</w:t>
      </w:r>
      <w:proofErr w:type="spellEnd"/>
      <w:r w:rsidR="00947AAA" w:rsidRPr="00CB2719">
        <w:rPr>
          <w:sz w:val="22"/>
          <w:szCs w:val="22"/>
        </w:rPr>
        <w:t xml:space="preserve"> trees.  </w:t>
      </w:r>
    </w:p>
    <w:p w:rsidR="00CB2719" w:rsidRPr="00CB2719" w:rsidRDefault="00D60981" w:rsidP="00CB2719">
      <w:pPr>
        <w:pStyle w:val="BodyText3"/>
        <w:rPr>
          <w:sz w:val="22"/>
          <w:szCs w:val="22"/>
        </w:rPr>
      </w:pPr>
      <w:r>
        <w:rPr>
          <w:sz w:val="22"/>
          <w:szCs w:val="22"/>
        </w:rPr>
        <w:t xml:space="preserve">The </w:t>
      </w:r>
      <w:r w:rsidR="00CB2719">
        <w:rPr>
          <w:sz w:val="22"/>
          <w:szCs w:val="22"/>
        </w:rPr>
        <w:t>IBB</w:t>
      </w:r>
      <w:r w:rsidR="00CB2719" w:rsidRPr="00CB2719">
        <w:rPr>
          <w:sz w:val="22"/>
          <w:szCs w:val="22"/>
        </w:rPr>
        <w:t xml:space="preserve"> </w:t>
      </w:r>
      <w:r>
        <w:rPr>
          <w:sz w:val="22"/>
          <w:szCs w:val="22"/>
        </w:rPr>
        <w:t>1</w:t>
      </w:r>
      <w:r w:rsidRPr="00D60981">
        <w:rPr>
          <w:sz w:val="22"/>
          <w:szCs w:val="22"/>
          <w:vertAlign w:val="superscript"/>
        </w:rPr>
        <w:t>st</w:t>
      </w:r>
      <w:r>
        <w:rPr>
          <w:sz w:val="22"/>
          <w:szCs w:val="22"/>
        </w:rPr>
        <w:t xml:space="preserve"> brood</w:t>
      </w:r>
      <w:r w:rsidR="00947AAA">
        <w:rPr>
          <w:sz w:val="22"/>
          <w:szCs w:val="22"/>
        </w:rPr>
        <w:t xml:space="preserve"> </w:t>
      </w:r>
      <w:r w:rsidR="00CB2719" w:rsidRPr="00CB2719">
        <w:rPr>
          <w:sz w:val="22"/>
          <w:szCs w:val="22"/>
        </w:rPr>
        <w:t>overwinter</w:t>
      </w:r>
      <w:r>
        <w:rPr>
          <w:sz w:val="22"/>
          <w:szCs w:val="22"/>
        </w:rPr>
        <w:t>s</w:t>
      </w:r>
      <w:r w:rsidR="00947AAA">
        <w:rPr>
          <w:sz w:val="22"/>
          <w:szCs w:val="22"/>
        </w:rPr>
        <w:t xml:space="preserve"> </w:t>
      </w:r>
      <w:r w:rsidR="00CB2719" w:rsidRPr="00CB2719">
        <w:rPr>
          <w:sz w:val="22"/>
          <w:szCs w:val="22"/>
        </w:rPr>
        <w:t>as larvae</w:t>
      </w:r>
      <w:r w:rsidR="00947AAA">
        <w:rPr>
          <w:sz w:val="22"/>
          <w:szCs w:val="22"/>
        </w:rPr>
        <w:t xml:space="preserve"> in year 1</w:t>
      </w:r>
      <w:r w:rsidR="00CB2719" w:rsidRPr="00CB2719">
        <w:rPr>
          <w:sz w:val="22"/>
          <w:szCs w:val="22"/>
        </w:rPr>
        <w:t xml:space="preserve">, </w:t>
      </w:r>
      <w:r w:rsidR="007F74AD">
        <w:rPr>
          <w:sz w:val="22"/>
          <w:szCs w:val="22"/>
        </w:rPr>
        <w:t xml:space="preserve">then as callow </w:t>
      </w:r>
      <w:r w:rsidR="00CB2719" w:rsidRPr="00CB2719">
        <w:rPr>
          <w:sz w:val="22"/>
          <w:szCs w:val="22"/>
        </w:rPr>
        <w:t>adults</w:t>
      </w:r>
      <w:r w:rsidR="00947AAA">
        <w:rPr>
          <w:sz w:val="22"/>
          <w:szCs w:val="22"/>
        </w:rPr>
        <w:t xml:space="preserve"> in year 2</w:t>
      </w:r>
      <w:r w:rsidR="003C2705">
        <w:rPr>
          <w:sz w:val="22"/>
          <w:szCs w:val="22"/>
        </w:rPr>
        <w:t xml:space="preserve">. </w:t>
      </w:r>
      <w:r w:rsidR="00CB2719" w:rsidRPr="00CB2719">
        <w:rPr>
          <w:sz w:val="22"/>
          <w:szCs w:val="22"/>
        </w:rPr>
        <w:t>The 2</w:t>
      </w:r>
      <w:r w:rsidR="00CB2719" w:rsidRPr="00CB2719">
        <w:rPr>
          <w:sz w:val="22"/>
          <w:szCs w:val="22"/>
          <w:vertAlign w:val="superscript"/>
        </w:rPr>
        <w:t>nd</w:t>
      </w:r>
      <w:r w:rsidR="00CB2719" w:rsidRPr="00CB2719">
        <w:rPr>
          <w:sz w:val="22"/>
          <w:szCs w:val="22"/>
        </w:rPr>
        <w:t xml:space="preserve"> and 3</w:t>
      </w:r>
      <w:r w:rsidR="00CB2719" w:rsidRPr="00CB2719">
        <w:rPr>
          <w:sz w:val="22"/>
          <w:szCs w:val="22"/>
          <w:vertAlign w:val="superscript"/>
        </w:rPr>
        <w:t>rd</w:t>
      </w:r>
      <w:r w:rsidR="00CB2719" w:rsidRPr="00CB2719">
        <w:rPr>
          <w:sz w:val="22"/>
          <w:szCs w:val="22"/>
        </w:rPr>
        <w:t xml:space="preserve"> </w:t>
      </w:r>
      <w:r>
        <w:rPr>
          <w:sz w:val="22"/>
          <w:szCs w:val="22"/>
        </w:rPr>
        <w:t>brood</w:t>
      </w:r>
      <w:r w:rsidR="00CB2719" w:rsidRPr="00CB2719">
        <w:rPr>
          <w:sz w:val="22"/>
          <w:szCs w:val="22"/>
        </w:rPr>
        <w:t xml:space="preserve"> develop into larvae </w:t>
      </w:r>
      <w:r w:rsidR="00CB2719">
        <w:rPr>
          <w:sz w:val="22"/>
          <w:szCs w:val="22"/>
        </w:rPr>
        <w:t>then</w:t>
      </w:r>
      <w:r w:rsidR="00CB2719" w:rsidRPr="00CB2719">
        <w:rPr>
          <w:sz w:val="22"/>
          <w:szCs w:val="22"/>
        </w:rPr>
        <w:t xml:space="preserve"> over-winter with </w:t>
      </w:r>
      <w:r>
        <w:rPr>
          <w:sz w:val="22"/>
          <w:szCs w:val="22"/>
        </w:rPr>
        <w:t>the 1</w:t>
      </w:r>
      <w:r w:rsidRPr="00D60981">
        <w:rPr>
          <w:sz w:val="22"/>
          <w:szCs w:val="22"/>
          <w:vertAlign w:val="superscript"/>
        </w:rPr>
        <w:t>st</w:t>
      </w:r>
      <w:r>
        <w:rPr>
          <w:sz w:val="22"/>
          <w:szCs w:val="22"/>
        </w:rPr>
        <w:t xml:space="preserve"> year brood</w:t>
      </w:r>
      <w:r w:rsidR="00CB2719" w:rsidRPr="00CB2719">
        <w:rPr>
          <w:sz w:val="22"/>
          <w:szCs w:val="22"/>
        </w:rPr>
        <w:t xml:space="preserve">, which have now developed into callow adults.  </w:t>
      </w:r>
      <w:r>
        <w:rPr>
          <w:sz w:val="22"/>
          <w:szCs w:val="22"/>
        </w:rPr>
        <w:t>In the</w:t>
      </w:r>
      <w:r w:rsidR="00CB2719" w:rsidRPr="00CB2719">
        <w:rPr>
          <w:sz w:val="22"/>
          <w:szCs w:val="22"/>
        </w:rPr>
        <w:t xml:space="preserve"> </w:t>
      </w:r>
      <w:r>
        <w:rPr>
          <w:sz w:val="22"/>
          <w:szCs w:val="22"/>
        </w:rPr>
        <w:t>third</w:t>
      </w:r>
      <w:r w:rsidR="00CB2719" w:rsidRPr="00CB2719">
        <w:rPr>
          <w:sz w:val="22"/>
          <w:szCs w:val="22"/>
        </w:rPr>
        <w:t xml:space="preserve"> summer the </w:t>
      </w:r>
      <w:r>
        <w:rPr>
          <w:sz w:val="22"/>
          <w:szCs w:val="22"/>
        </w:rPr>
        <w:t>1</w:t>
      </w:r>
      <w:r w:rsidRPr="00D60981">
        <w:rPr>
          <w:sz w:val="22"/>
          <w:szCs w:val="22"/>
          <w:vertAlign w:val="superscript"/>
        </w:rPr>
        <w:t>st</w:t>
      </w:r>
      <w:r>
        <w:rPr>
          <w:sz w:val="22"/>
          <w:szCs w:val="22"/>
        </w:rPr>
        <w:t xml:space="preserve"> </w:t>
      </w:r>
      <w:r w:rsidR="00CB2719" w:rsidRPr="00CB2719">
        <w:rPr>
          <w:sz w:val="22"/>
          <w:szCs w:val="22"/>
        </w:rPr>
        <w:t>brood emerge</w:t>
      </w:r>
      <w:r>
        <w:rPr>
          <w:sz w:val="22"/>
          <w:szCs w:val="22"/>
        </w:rPr>
        <w:t>s</w:t>
      </w:r>
      <w:r w:rsidR="00CB2719" w:rsidRPr="00CB2719">
        <w:rPr>
          <w:sz w:val="22"/>
          <w:szCs w:val="22"/>
        </w:rPr>
        <w:t xml:space="preserve"> as adults</w:t>
      </w:r>
      <w:r>
        <w:rPr>
          <w:sz w:val="22"/>
          <w:szCs w:val="22"/>
        </w:rPr>
        <w:t>. The</w:t>
      </w:r>
      <w:r w:rsidR="00CB2719" w:rsidRPr="00CB2719">
        <w:rPr>
          <w:sz w:val="22"/>
          <w:szCs w:val="22"/>
        </w:rPr>
        <w:t xml:space="preserve"> 2</w:t>
      </w:r>
      <w:r w:rsidR="00CB2719" w:rsidRPr="00CB2719">
        <w:rPr>
          <w:sz w:val="22"/>
          <w:szCs w:val="22"/>
          <w:vertAlign w:val="superscript"/>
        </w:rPr>
        <w:t>nd</w:t>
      </w:r>
      <w:r w:rsidR="00CB2719" w:rsidRPr="00CB2719">
        <w:rPr>
          <w:sz w:val="22"/>
          <w:szCs w:val="22"/>
        </w:rPr>
        <w:t xml:space="preserve"> and 3</w:t>
      </w:r>
      <w:r w:rsidR="00CB2719" w:rsidRPr="00CB2719">
        <w:rPr>
          <w:sz w:val="22"/>
          <w:szCs w:val="22"/>
          <w:vertAlign w:val="superscript"/>
        </w:rPr>
        <w:t>rd</w:t>
      </w:r>
      <w:r w:rsidR="00CB2719" w:rsidRPr="00CB2719">
        <w:rPr>
          <w:sz w:val="22"/>
          <w:szCs w:val="22"/>
        </w:rPr>
        <w:t xml:space="preserve"> brood over-winter as callow adults</w:t>
      </w:r>
      <w:r>
        <w:rPr>
          <w:sz w:val="22"/>
          <w:szCs w:val="22"/>
        </w:rPr>
        <w:t>, then</w:t>
      </w:r>
      <w:r w:rsidR="00CB2719" w:rsidRPr="00CB2719">
        <w:rPr>
          <w:sz w:val="22"/>
          <w:szCs w:val="22"/>
        </w:rPr>
        <w:t xml:space="preserve"> emerge and fly </w:t>
      </w:r>
      <w:r>
        <w:rPr>
          <w:sz w:val="22"/>
          <w:szCs w:val="22"/>
        </w:rPr>
        <w:t xml:space="preserve">as adults </w:t>
      </w:r>
      <w:r w:rsidR="00CB2719" w:rsidRPr="00CB2719">
        <w:rPr>
          <w:sz w:val="22"/>
          <w:szCs w:val="22"/>
        </w:rPr>
        <w:t>in the middle of the 4</w:t>
      </w:r>
      <w:r w:rsidR="00CB2719" w:rsidRPr="00CB2719">
        <w:rPr>
          <w:sz w:val="22"/>
          <w:szCs w:val="22"/>
          <w:vertAlign w:val="superscript"/>
        </w:rPr>
        <w:t>th</w:t>
      </w:r>
      <w:r w:rsidR="00CB2719" w:rsidRPr="00CB2719">
        <w:rPr>
          <w:sz w:val="22"/>
          <w:szCs w:val="22"/>
        </w:rPr>
        <w:t xml:space="preserve"> summer. </w:t>
      </w:r>
      <w:r>
        <w:rPr>
          <w:sz w:val="22"/>
          <w:szCs w:val="22"/>
        </w:rPr>
        <w:t xml:space="preserve">Thus a </w:t>
      </w:r>
      <w:r w:rsidRPr="00CB2719">
        <w:rPr>
          <w:sz w:val="22"/>
          <w:szCs w:val="22"/>
        </w:rPr>
        <w:t xml:space="preserve">total of 4 summers and 3 winters </w:t>
      </w:r>
      <w:r>
        <w:rPr>
          <w:sz w:val="22"/>
          <w:szCs w:val="22"/>
        </w:rPr>
        <w:t>pass</w:t>
      </w:r>
      <w:r w:rsidRPr="00CB2719">
        <w:rPr>
          <w:sz w:val="22"/>
          <w:szCs w:val="22"/>
        </w:rPr>
        <w:t xml:space="preserve"> from</w:t>
      </w:r>
      <w:r>
        <w:rPr>
          <w:sz w:val="22"/>
          <w:szCs w:val="22"/>
        </w:rPr>
        <w:t xml:space="preserve"> the</w:t>
      </w:r>
      <w:r w:rsidRPr="00CB2719">
        <w:rPr>
          <w:sz w:val="22"/>
          <w:szCs w:val="22"/>
        </w:rPr>
        <w:t xml:space="preserve"> </w:t>
      </w:r>
      <w:r>
        <w:rPr>
          <w:sz w:val="22"/>
          <w:szCs w:val="22"/>
        </w:rPr>
        <w:t>initial</w:t>
      </w:r>
      <w:r w:rsidRPr="00CB2719">
        <w:rPr>
          <w:sz w:val="22"/>
          <w:szCs w:val="22"/>
        </w:rPr>
        <w:t xml:space="preserve"> flight to the flight of the last set of brood.  </w:t>
      </w:r>
    </w:p>
    <w:p w:rsidR="00CB2719" w:rsidRPr="00CB2719" w:rsidRDefault="00CB2719" w:rsidP="00CB2719">
      <w:pPr>
        <w:pStyle w:val="BodyText3"/>
        <w:rPr>
          <w:sz w:val="22"/>
          <w:szCs w:val="22"/>
        </w:rPr>
      </w:pPr>
      <w:r>
        <w:rPr>
          <w:sz w:val="22"/>
          <w:szCs w:val="22"/>
        </w:rPr>
        <w:t>Similar to</w:t>
      </w:r>
      <w:r w:rsidRPr="00CB2719">
        <w:rPr>
          <w:sz w:val="22"/>
          <w:szCs w:val="22"/>
        </w:rPr>
        <w:t xml:space="preserve"> </w:t>
      </w:r>
      <w:r>
        <w:rPr>
          <w:sz w:val="22"/>
          <w:szCs w:val="22"/>
        </w:rPr>
        <w:t xml:space="preserve">other bark beetles </w:t>
      </w:r>
      <w:r w:rsidRPr="00CB2719">
        <w:rPr>
          <w:sz w:val="22"/>
          <w:szCs w:val="22"/>
        </w:rPr>
        <w:t xml:space="preserve">larval mining </w:t>
      </w:r>
      <w:r w:rsidR="00D60981">
        <w:rPr>
          <w:sz w:val="22"/>
          <w:szCs w:val="22"/>
        </w:rPr>
        <w:t>introduces a</w:t>
      </w:r>
      <w:r w:rsidRPr="00CB2719">
        <w:rPr>
          <w:sz w:val="22"/>
          <w:szCs w:val="22"/>
        </w:rPr>
        <w:t xml:space="preserve"> fungus</w:t>
      </w:r>
      <w:r w:rsidR="00D60981">
        <w:rPr>
          <w:sz w:val="22"/>
          <w:szCs w:val="22"/>
        </w:rPr>
        <w:t xml:space="preserve">, lesions from which can girdle a tree, causing </w:t>
      </w:r>
      <w:r w:rsidRPr="00CB2719">
        <w:rPr>
          <w:sz w:val="22"/>
          <w:szCs w:val="22"/>
        </w:rPr>
        <w:t xml:space="preserve">translocation </w:t>
      </w:r>
      <w:r w:rsidR="00D60981">
        <w:rPr>
          <w:sz w:val="22"/>
          <w:szCs w:val="22"/>
        </w:rPr>
        <w:t>through the phloem to cease</w:t>
      </w:r>
      <w:r>
        <w:rPr>
          <w:sz w:val="22"/>
          <w:szCs w:val="22"/>
        </w:rPr>
        <w:t xml:space="preserve"> </w:t>
      </w:r>
      <w:r w:rsidR="00D60981">
        <w:rPr>
          <w:sz w:val="22"/>
          <w:szCs w:val="22"/>
        </w:rPr>
        <w:t xml:space="preserve">and </w:t>
      </w:r>
      <w:r>
        <w:rPr>
          <w:sz w:val="22"/>
          <w:szCs w:val="22"/>
        </w:rPr>
        <w:t>resulting in mortality.</w:t>
      </w:r>
    </w:p>
    <w:p w:rsidR="00B63027" w:rsidRPr="00D60981" w:rsidRDefault="00B63027" w:rsidP="003C2705">
      <w:pPr>
        <w:autoSpaceDE w:val="0"/>
        <w:autoSpaceDN w:val="0"/>
        <w:adjustRightInd w:val="0"/>
        <w:spacing w:before="240" w:after="120"/>
        <w:rPr>
          <w:rFonts w:cstheme="minorHAnsi"/>
          <w:bCs/>
          <w:iCs/>
          <w:color w:val="FF0000"/>
          <w:sz w:val="22"/>
          <w:szCs w:val="22"/>
          <w:u w:val="single"/>
        </w:rPr>
      </w:pPr>
      <w:r w:rsidRPr="00D60981">
        <w:rPr>
          <w:rFonts w:cstheme="minorHAnsi"/>
          <w:bCs/>
          <w:iCs/>
          <w:color w:val="FF0000"/>
          <w:sz w:val="22"/>
          <w:szCs w:val="22"/>
          <w:u w:val="single"/>
        </w:rPr>
        <w:t>Extent</w:t>
      </w:r>
    </w:p>
    <w:p w:rsidR="0082773E" w:rsidRDefault="00AC4CC5" w:rsidP="00AC4CC5">
      <w:pPr>
        <w:autoSpaceDE w:val="0"/>
        <w:autoSpaceDN w:val="0"/>
        <w:adjustRightInd w:val="0"/>
        <w:spacing w:after="120"/>
        <w:rPr>
          <w:rFonts w:eastAsiaTheme="minorHAnsi" w:cstheme="minorHAnsi"/>
          <w:sz w:val="22"/>
          <w:szCs w:val="22"/>
          <w:lang w:val="en-CA" w:bidi="ar-SA"/>
        </w:rPr>
      </w:pPr>
      <w:r w:rsidRPr="00AC4CC5">
        <w:rPr>
          <w:rFonts w:cstheme="minorHAnsi"/>
          <w:sz w:val="22"/>
          <w:szCs w:val="22"/>
        </w:rPr>
        <w:t xml:space="preserve">IBB </w:t>
      </w:r>
      <w:r w:rsidRPr="00AC4CC5">
        <w:rPr>
          <w:rFonts w:eastAsiaTheme="minorHAnsi" w:cstheme="minorHAnsi"/>
          <w:sz w:val="22"/>
          <w:szCs w:val="22"/>
          <w:lang w:val="en-CA" w:bidi="ar-SA"/>
        </w:rPr>
        <w:t>is widespread throughout balsam-leading stands at higher elevations</w:t>
      </w:r>
      <w:r>
        <w:rPr>
          <w:rFonts w:eastAsiaTheme="minorHAnsi" w:cstheme="minorHAnsi"/>
          <w:sz w:val="22"/>
          <w:szCs w:val="22"/>
          <w:lang w:val="en-CA" w:bidi="ar-SA"/>
        </w:rPr>
        <w:t xml:space="preserve"> in all TSA’s at </w:t>
      </w:r>
      <w:r w:rsidR="00BA7C4C">
        <w:rPr>
          <w:rFonts w:eastAsiaTheme="minorHAnsi" w:cstheme="minorHAnsi"/>
          <w:sz w:val="22"/>
          <w:szCs w:val="22"/>
          <w:lang w:val="en-CA" w:bidi="ar-SA"/>
        </w:rPr>
        <w:t xml:space="preserve">primarily </w:t>
      </w:r>
      <w:r>
        <w:rPr>
          <w:rFonts w:eastAsiaTheme="minorHAnsi" w:cstheme="minorHAnsi"/>
          <w:sz w:val="22"/>
          <w:szCs w:val="22"/>
          <w:lang w:val="en-CA" w:bidi="ar-SA"/>
        </w:rPr>
        <w:t>trace to low intensity levels. It is</w:t>
      </w:r>
      <w:r w:rsidRPr="00AC4CC5">
        <w:rPr>
          <w:rFonts w:eastAsiaTheme="minorHAnsi" w:cstheme="minorHAnsi"/>
          <w:sz w:val="22"/>
          <w:szCs w:val="22"/>
          <w:lang w:val="en-CA" w:bidi="ar-SA"/>
        </w:rPr>
        <w:t xml:space="preserve"> </w:t>
      </w:r>
      <w:r>
        <w:rPr>
          <w:rFonts w:eastAsiaTheme="minorHAnsi" w:cstheme="minorHAnsi"/>
          <w:sz w:val="22"/>
          <w:szCs w:val="22"/>
          <w:lang w:val="en-CA" w:bidi="ar-SA"/>
        </w:rPr>
        <w:t>a chronic</w:t>
      </w:r>
      <w:r w:rsidRPr="00AC4CC5">
        <w:rPr>
          <w:rFonts w:eastAsiaTheme="minorHAnsi" w:cstheme="minorHAnsi"/>
          <w:sz w:val="22"/>
          <w:szCs w:val="22"/>
          <w:lang w:val="en-CA" w:bidi="ar-SA"/>
        </w:rPr>
        <w:t xml:space="preserve"> endemic pest</w:t>
      </w:r>
      <w:r>
        <w:rPr>
          <w:rFonts w:eastAsiaTheme="minorHAnsi" w:cstheme="minorHAnsi"/>
          <w:sz w:val="22"/>
          <w:szCs w:val="22"/>
          <w:lang w:val="en-CA" w:bidi="ar-SA"/>
        </w:rPr>
        <w:t xml:space="preserve">, considered responsible for approximately </w:t>
      </w:r>
      <w:r w:rsidRPr="00AC4CC5">
        <w:rPr>
          <w:rFonts w:eastAsiaTheme="minorHAnsi" w:cstheme="minorHAnsi"/>
          <w:sz w:val="22"/>
          <w:szCs w:val="22"/>
          <w:lang w:val="en-CA" w:bidi="ar-SA"/>
        </w:rPr>
        <w:t xml:space="preserve">5% </w:t>
      </w:r>
      <w:r>
        <w:rPr>
          <w:rFonts w:eastAsiaTheme="minorHAnsi" w:cstheme="minorHAnsi"/>
          <w:sz w:val="22"/>
          <w:szCs w:val="22"/>
          <w:lang w:val="en-CA" w:bidi="ar-SA"/>
        </w:rPr>
        <w:t xml:space="preserve">stand-level </w:t>
      </w:r>
      <w:r w:rsidR="00BA7C4C">
        <w:rPr>
          <w:rFonts w:eastAsiaTheme="minorHAnsi" w:cstheme="minorHAnsi"/>
          <w:sz w:val="22"/>
          <w:szCs w:val="22"/>
          <w:lang w:val="en-CA" w:bidi="ar-SA"/>
        </w:rPr>
        <w:t>balsam</w:t>
      </w:r>
      <w:r w:rsidRPr="00AC4CC5">
        <w:rPr>
          <w:rFonts w:eastAsiaTheme="minorHAnsi" w:cstheme="minorHAnsi"/>
          <w:sz w:val="22"/>
          <w:szCs w:val="22"/>
          <w:lang w:val="en-CA" w:bidi="ar-SA"/>
        </w:rPr>
        <w:t xml:space="preserve"> mortality each year. Over time</w:t>
      </w:r>
      <w:r w:rsidR="00EC6638">
        <w:rPr>
          <w:rFonts w:eastAsiaTheme="minorHAnsi" w:cstheme="minorHAnsi"/>
          <w:sz w:val="22"/>
          <w:szCs w:val="22"/>
          <w:lang w:val="en-CA" w:bidi="ar-SA"/>
        </w:rPr>
        <w:t>,</w:t>
      </w:r>
      <w:r w:rsidRPr="00AC4CC5">
        <w:rPr>
          <w:rFonts w:eastAsiaTheme="minorHAnsi" w:cstheme="minorHAnsi"/>
          <w:sz w:val="22"/>
          <w:szCs w:val="22"/>
          <w:lang w:val="en-CA" w:bidi="ar-SA"/>
        </w:rPr>
        <w:t xml:space="preserve"> significant mortality has occurred.</w:t>
      </w:r>
      <w:r w:rsidR="008B41AE">
        <w:rPr>
          <w:rFonts w:eastAsiaTheme="minorHAnsi" w:cstheme="minorHAnsi"/>
          <w:sz w:val="22"/>
          <w:szCs w:val="22"/>
          <w:lang w:val="en-CA" w:bidi="ar-SA"/>
        </w:rPr>
        <w:t xml:space="preserve"> </w:t>
      </w:r>
      <w:r w:rsidR="00BA7C4C">
        <w:rPr>
          <w:rFonts w:eastAsiaTheme="minorHAnsi" w:cstheme="minorHAnsi"/>
          <w:sz w:val="22"/>
          <w:szCs w:val="22"/>
          <w:lang w:val="en-CA" w:bidi="ar-SA"/>
        </w:rPr>
        <w:t>Typically</w:t>
      </w:r>
      <w:r w:rsidR="00EC6638">
        <w:rPr>
          <w:rFonts w:eastAsiaTheme="minorHAnsi" w:cstheme="minorHAnsi"/>
          <w:sz w:val="22"/>
          <w:szCs w:val="22"/>
          <w:lang w:val="en-CA" w:bidi="ar-SA"/>
        </w:rPr>
        <w:t>,</w:t>
      </w:r>
      <w:r w:rsidR="00D23CD2">
        <w:rPr>
          <w:rFonts w:eastAsiaTheme="minorHAnsi" w:cstheme="minorHAnsi"/>
          <w:sz w:val="22"/>
          <w:szCs w:val="22"/>
          <w:lang w:val="en-CA" w:bidi="ar-SA"/>
        </w:rPr>
        <w:t xml:space="preserve"> </w:t>
      </w:r>
      <w:r w:rsidR="00EC6638">
        <w:rPr>
          <w:rFonts w:eastAsiaTheme="minorHAnsi" w:cstheme="minorHAnsi"/>
          <w:sz w:val="22"/>
          <w:szCs w:val="22"/>
          <w:lang w:val="en-CA" w:bidi="ar-SA"/>
        </w:rPr>
        <w:t>the</w:t>
      </w:r>
      <w:r w:rsidR="00BA7C4C">
        <w:rPr>
          <w:rFonts w:eastAsiaTheme="minorHAnsi" w:cstheme="minorHAnsi"/>
          <w:sz w:val="22"/>
          <w:szCs w:val="22"/>
          <w:lang w:val="en-CA" w:bidi="ar-SA"/>
        </w:rPr>
        <w:t xml:space="preserve"> largest</w:t>
      </w:r>
      <w:r w:rsidR="00EC6638">
        <w:rPr>
          <w:rFonts w:eastAsiaTheme="minorHAnsi" w:cstheme="minorHAnsi"/>
          <w:sz w:val="22"/>
          <w:szCs w:val="22"/>
          <w:lang w:val="en-CA" w:bidi="ar-SA"/>
        </w:rPr>
        <w:t xml:space="preserve"> and</w:t>
      </w:r>
      <w:r w:rsidR="00BA7C4C">
        <w:rPr>
          <w:rFonts w:eastAsiaTheme="minorHAnsi" w:cstheme="minorHAnsi"/>
          <w:sz w:val="22"/>
          <w:szCs w:val="22"/>
          <w:lang w:val="en-CA" w:bidi="ar-SA"/>
        </w:rPr>
        <w:t xml:space="preserve"> highest volume trees are killed, leaving </w:t>
      </w:r>
      <w:r w:rsidR="0082773E">
        <w:rPr>
          <w:rFonts w:eastAsiaTheme="minorHAnsi" w:cstheme="minorHAnsi"/>
          <w:sz w:val="22"/>
          <w:szCs w:val="22"/>
          <w:lang w:val="en-CA" w:bidi="ar-SA"/>
        </w:rPr>
        <w:t xml:space="preserve">canopy </w:t>
      </w:r>
      <w:r w:rsidR="00BA7C4C">
        <w:rPr>
          <w:rFonts w:eastAsiaTheme="minorHAnsi" w:cstheme="minorHAnsi"/>
          <w:sz w:val="22"/>
          <w:szCs w:val="22"/>
          <w:lang w:val="en-CA" w:bidi="ar-SA"/>
        </w:rPr>
        <w:t>gaps that</w:t>
      </w:r>
      <w:r w:rsidR="0082773E">
        <w:rPr>
          <w:rFonts w:eastAsiaTheme="minorHAnsi" w:cstheme="minorHAnsi"/>
          <w:sz w:val="22"/>
          <w:szCs w:val="22"/>
          <w:lang w:val="en-CA" w:bidi="ar-SA"/>
        </w:rPr>
        <w:t xml:space="preserve"> fill with </w:t>
      </w:r>
      <w:r w:rsidR="00BA7C4C">
        <w:rPr>
          <w:rFonts w:eastAsiaTheme="minorHAnsi" w:cstheme="minorHAnsi"/>
          <w:sz w:val="22"/>
          <w:szCs w:val="22"/>
          <w:lang w:val="en-CA" w:bidi="ar-SA"/>
        </w:rPr>
        <w:t>younger cohort</w:t>
      </w:r>
      <w:r w:rsidR="0082773E">
        <w:rPr>
          <w:rFonts w:eastAsiaTheme="minorHAnsi" w:cstheme="minorHAnsi"/>
          <w:sz w:val="22"/>
          <w:szCs w:val="22"/>
          <w:lang w:val="en-CA" w:bidi="ar-SA"/>
        </w:rPr>
        <w:t>s</w:t>
      </w:r>
      <w:r w:rsidR="00BA7C4C">
        <w:rPr>
          <w:rFonts w:eastAsiaTheme="minorHAnsi" w:cstheme="minorHAnsi"/>
          <w:sz w:val="22"/>
          <w:szCs w:val="22"/>
          <w:lang w:val="en-CA" w:bidi="ar-SA"/>
        </w:rPr>
        <w:t xml:space="preserve"> and a forest matrix where </w:t>
      </w:r>
      <w:r w:rsidR="0082773E">
        <w:rPr>
          <w:rFonts w:eastAsiaTheme="minorHAnsi" w:cstheme="minorHAnsi"/>
          <w:sz w:val="22"/>
          <w:szCs w:val="22"/>
          <w:lang w:val="en-CA" w:bidi="ar-SA"/>
        </w:rPr>
        <w:t xml:space="preserve">merchantable </w:t>
      </w:r>
      <w:r w:rsidR="00BA7C4C">
        <w:rPr>
          <w:rFonts w:eastAsiaTheme="minorHAnsi" w:cstheme="minorHAnsi"/>
          <w:sz w:val="22"/>
          <w:szCs w:val="22"/>
          <w:lang w:val="en-CA" w:bidi="ar-SA"/>
        </w:rPr>
        <w:t>stand volume</w:t>
      </w:r>
      <w:r w:rsidR="0082773E">
        <w:rPr>
          <w:rFonts w:eastAsiaTheme="minorHAnsi" w:cstheme="minorHAnsi"/>
          <w:sz w:val="22"/>
          <w:szCs w:val="22"/>
          <w:lang w:val="en-CA" w:bidi="ar-SA"/>
        </w:rPr>
        <w:t>s</w:t>
      </w:r>
      <w:r w:rsidR="00BA7C4C">
        <w:rPr>
          <w:rFonts w:eastAsiaTheme="minorHAnsi" w:cstheme="minorHAnsi"/>
          <w:sz w:val="22"/>
          <w:szCs w:val="22"/>
          <w:lang w:val="en-CA" w:bidi="ar-SA"/>
        </w:rPr>
        <w:t xml:space="preserve"> stabilize</w:t>
      </w:r>
      <w:r w:rsidR="00736F9F">
        <w:rPr>
          <w:rFonts w:eastAsiaTheme="minorHAnsi" w:cstheme="minorHAnsi"/>
          <w:sz w:val="22"/>
          <w:szCs w:val="22"/>
          <w:lang w:val="en-CA" w:bidi="ar-SA"/>
        </w:rPr>
        <w:t xml:space="preserve"> at &lt;7</w:t>
      </w:r>
      <w:r w:rsidR="0082773E">
        <w:rPr>
          <w:rFonts w:eastAsiaTheme="minorHAnsi" w:cstheme="minorHAnsi"/>
          <w:sz w:val="22"/>
          <w:szCs w:val="22"/>
          <w:lang w:val="en-CA" w:bidi="ar-SA"/>
        </w:rPr>
        <w:t>0</w:t>
      </w:r>
      <w:r w:rsidR="00BA7C4C">
        <w:rPr>
          <w:rFonts w:eastAsiaTheme="minorHAnsi" w:cstheme="minorHAnsi"/>
          <w:sz w:val="22"/>
          <w:szCs w:val="22"/>
          <w:lang w:val="en-CA" w:bidi="ar-SA"/>
        </w:rPr>
        <w:t xml:space="preserve">% of potential. </w:t>
      </w:r>
    </w:p>
    <w:p w:rsidR="00AC4CC5" w:rsidRDefault="00AC4CC5" w:rsidP="003C2705">
      <w:pPr>
        <w:spacing w:after="240"/>
        <w:rPr>
          <w:rFonts w:cstheme="minorHAnsi"/>
          <w:sz w:val="22"/>
          <w:szCs w:val="22"/>
        </w:rPr>
      </w:pPr>
      <w:r w:rsidRPr="00AC4CC5">
        <w:rPr>
          <w:sz w:val="22"/>
          <w:szCs w:val="22"/>
        </w:rPr>
        <w:t>M</w:t>
      </w:r>
      <w:r>
        <w:rPr>
          <w:sz w:val="22"/>
          <w:szCs w:val="22"/>
        </w:rPr>
        <w:t>ap 6</w:t>
      </w:r>
      <w:r w:rsidRPr="00AC4CC5">
        <w:rPr>
          <w:sz w:val="22"/>
          <w:szCs w:val="22"/>
        </w:rPr>
        <w:t xml:space="preserve"> shows areas and points of known current incidence, against a background of forest classified as moderate to</w:t>
      </w:r>
      <w:r>
        <w:rPr>
          <w:sz w:val="22"/>
          <w:szCs w:val="22"/>
        </w:rPr>
        <w:t xml:space="preserve"> high IBB</w:t>
      </w:r>
      <w:r w:rsidRPr="00AC4CC5">
        <w:rPr>
          <w:sz w:val="22"/>
          <w:szCs w:val="22"/>
        </w:rPr>
        <w:t xml:space="preserve"> hazard</w:t>
      </w:r>
      <w:r w:rsidRPr="00AC4CC5">
        <w:rPr>
          <w:rStyle w:val="FootnoteReference"/>
          <w:sz w:val="22"/>
          <w:szCs w:val="22"/>
        </w:rPr>
        <w:footnoteReference w:id="1"/>
      </w:r>
      <w:r w:rsidRPr="00AC4CC5">
        <w:rPr>
          <w:sz w:val="22"/>
          <w:szCs w:val="22"/>
        </w:rPr>
        <w:t>. Table/Figure XX show current incidence trends by TSA from 2011 to 2014,</w:t>
      </w:r>
      <w:r w:rsidRPr="00AC4CC5">
        <w:rPr>
          <w:rFonts w:cstheme="minorHAnsi"/>
          <w:sz w:val="22"/>
          <w:szCs w:val="22"/>
        </w:rPr>
        <w:t xml:space="preserve"> highlighting</w:t>
      </w:r>
      <w:r w:rsidR="003C2705">
        <w:rPr>
          <w:rFonts w:cstheme="minorHAnsi"/>
          <w:sz w:val="22"/>
          <w:szCs w:val="22"/>
        </w:rPr>
        <w:t xml:space="preserve"> recent </w:t>
      </w:r>
      <w:r w:rsidR="003D7DC1">
        <w:rPr>
          <w:rFonts w:cstheme="minorHAnsi"/>
          <w:sz w:val="22"/>
          <w:szCs w:val="22"/>
        </w:rPr>
        <w:t xml:space="preserve">strong </w:t>
      </w:r>
      <w:r w:rsidR="003C2705">
        <w:rPr>
          <w:rFonts w:cstheme="minorHAnsi"/>
          <w:sz w:val="22"/>
          <w:szCs w:val="22"/>
        </w:rPr>
        <w:t>increases in IBB spread.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B92938" w:rsidTr="003C2705">
        <w:trPr>
          <w:trHeight w:val="2826"/>
        </w:trPr>
        <w:tc>
          <w:tcPr>
            <w:tcW w:w="4788" w:type="dxa"/>
          </w:tcPr>
          <w:tbl>
            <w:tblPr>
              <w:tblW w:w="4302" w:type="dxa"/>
              <w:tblInd w:w="93" w:type="dxa"/>
              <w:tblLook w:val="04A0" w:firstRow="1" w:lastRow="0" w:firstColumn="1" w:lastColumn="0" w:noHBand="0" w:noVBand="1"/>
            </w:tblPr>
            <w:tblGrid>
              <w:gridCol w:w="1464"/>
              <w:gridCol w:w="711"/>
              <w:gridCol w:w="709"/>
              <w:gridCol w:w="709"/>
              <w:gridCol w:w="236"/>
              <w:gridCol w:w="473"/>
            </w:tblGrid>
            <w:tr w:rsidR="000675DF" w:rsidRPr="000675DF" w:rsidTr="00B92938">
              <w:trPr>
                <w:trHeight w:val="233"/>
              </w:trPr>
              <w:tc>
                <w:tcPr>
                  <w:tcW w:w="3829" w:type="dxa"/>
                  <w:gridSpan w:val="5"/>
                  <w:tcBorders>
                    <w:top w:val="nil"/>
                    <w:left w:val="nil"/>
                    <w:bottom w:val="nil"/>
                    <w:right w:val="nil"/>
                  </w:tcBorders>
                  <w:shd w:val="clear" w:color="auto" w:fill="auto"/>
                  <w:noWrap/>
                  <w:vAlign w:val="bottom"/>
                  <w:hideMark/>
                </w:tcPr>
                <w:p w:rsidR="00B92938" w:rsidRPr="000675DF" w:rsidRDefault="00B92938" w:rsidP="003C2705">
                  <w:pPr>
                    <w:pStyle w:val="BodyText3"/>
                    <w:rPr>
                      <w:rFonts w:ascii="Calibri" w:eastAsia="Times New Roman" w:hAnsi="Calibri" w:cs="Calibri"/>
                      <w:color w:val="FF0000"/>
                      <w:sz w:val="22"/>
                      <w:szCs w:val="22"/>
                      <w:lang w:val="en-CA" w:eastAsia="en-CA" w:bidi="ar-SA"/>
                    </w:rPr>
                  </w:pPr>
                  <w:r w:rsidRPr="000675DF">
                    <w:rPr>
                      <w:rFonts w:cstheme="minorHAnsi"/>
                      <w:i/>
                      <w:color w:val="FF0000"/>
                      <w:sz w:val="22"/>
                      <w:szCs w:val="22"/>
                    </w:rPr>
                    <w:t xml:space="preserve">Table/Figure XX: Provincial Annual </w:t>
                  </w:r>
                  <w:r w:rsidR="003C2705" w:rsidRPr="000675DF">
                    <w:rPr>
                      <w:rFonts w:cstheme="minorHAnsi"/>
                      <w:i/>
                      <w:color w:val="FF0000"/>
                      <w:sz w:val="22"/>
                      <w:szCs w:val="22"/>
                    </w:rPr>
                    <w:t>O</w:t>
                  </w:r>
                  <w:r w:rsidRPr="000675DF">
                    <w:rPr>
                      <w:rFonts w:cstheme="minorHAnsi"/>
                      <w:i/>
                      <w:color w:val="FF0000"/>
                      <w:sz w:val="22"/>
                      <w:szCs w:val="22"/>
                    </w:rPr>
                    <w:t>verview Survey (PAOS) Summary, 2011-2014</w:t>
                  </w:r>
                  <w:r w:rsidRPr="000675DF">
                    <w:rPr>
                      <w:rStyle w:val="FootnoteReference"/>
                      <w:rFonts w:cstheme="minorHAnsi"/>
                      <w:color w:val="FF0000"/>
                      <w:sz w:val="22"/>
                      <w:szCs w:val="22"/>
                    </w:rPr>
                    <w:footnoteReference w:id="2"/>
                  </w:r>
                </w:p>
              </w:tc>
              <w:tc>
                <w:tcPr>
                  <w:tcW w:w="473" w:type="dxa"/>
                  <w:tcBorders>
                    <w:top w:val="nil"/>
                    <w:left w:val="nil"/>
                    <w:bottom w:val="nil"/>
                    <w:right w:val="nil"/>
                  </w:tcBorders>
                  <w:shd w:val="clear" w:color="auto" w:fill="auto"/>
                  <w:noWrap/>
                  <w:vAlign w:val="bottom"/>
                  <w:hideMark/>
                </w:tcPr>
                <w:p w:rsidR="00B92938" w:rsidRPr="000675DF" w:rsidRDefault="00B92938" w:rsidP="004C3028">
                  <w:pPr>
                    <w:rPr>
                      <w:rFonts w:ascii="Calibri" w:eastAsia="Times New Roman" w:hAnsi="Calibri" w:cs="Calibri"/>
                      <w:color w:val="FF0000"/>
                      <w:sz w:val="22"/>
                      <w:szCs w:val="22"/>
                      <w:lang w:val="en-CA" w:eastAsia="en-CA" w:bidi="ar-SA"/>
                    </w:rPr>
                  </w:pPr>
                </w:p>
              </w:tc>
            </w:tr>
            <w:tr w:rsidR="00B92938" w:rsidRPr="00B92938" w:rsidTr="00B92938">
              <w:trPr>
                <w:trHeight w:val="233"/>
              </w:trPr>
              <w:tc>
                <w:tcPr>
                  <w:tcW w:w="1464" w:type="dxa"/>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rPr>
                      <w:rFonts w:ascii="Calibri" w:eastAsia="Times New Roman" w:hAnsi="Calibri" w:cs="Calibri"/>
                      <w:color w:val="000000"/>
                      <w:sz w:val="22"/>
                      <w:szCs w:val="22"/>
                      <w:lang w:val="en-CA" w:eastAsia="en-CA" w:bidi="ar-SA"/>
                    </w:rPr>
                  </w:pPr>
                  <w:r w:rsidRPr="00B92938">
                    <w:rPr>
                      <w:rFonts w:ascii="Calibri" w:eastAsia="Times New Roman" w:hAnsi="Calibri" w:cs="Calibri"/>
                      <w:color w:val="000000"/>
                      <w:sz w:val="22"/>
                      <w:szCs w:val="22"/>
                      <w:lang w:val="en-CA" w:eastAsia="en-CA" w:bidi="ar-SA"/>
                    </w:rPr>
                    <w:t> </w:t>
                  </w:r>
                </w:p>
              </w:tc>
              <w:tc>
                <w:tcPr>
                  <w:tcW w:w="2838" w:type="dxa"/>
                  <w:gridSpan w:val="5"/>
                  <w:tcBorders>
                    <w:top w:val="single" w:sz="4" w:space="0" w:color="auto"/>
                    <w:left w:val="nil"/>
                    <w:bottom w:val="single" w:sz="4" w:space="0" w:color="auto"/>
                    <w:right w:val="single" w:sz="4" w:space="0" w:color="auto"/>
                  </w:tcBorders>
                  <w:shd w:val="clear" w:color="auto" w:fill="auto"/>
                  <w:noWrap/>
                  <w:vAlign w:val="bottom"/>
                  <w:hideMark/>
                </w:tcPr>
                <w:p w:rsidR="00B92938" w:rsidRPr="00B92938" w:rsidRDefault="00B92938" w:rsidP="004C3028">
                  <w:pPr>
                    <w:jc w:val="center"/>
                    <w:rPr>
                      <w:rFonts w:ascii="Calibri" w:eastAsia="Times New Roman" w:hAnsi="Calibri" w:cs="Calibri"/>
                      <w:b/>
                      <w:bCs/>
                      <w:color w:val="000000"/>
                      <w:sz w:val="22"/>
                      <w:szCs w:val="22"/>
                      <w:lang w:val="en-CA" w:eastAsia="en-CA" w:bidi="ar-SA"/>
                    </w:rPr>
                  </w:pPr>
                  <w:r w:rsidRPr="00B92938">
                    <w:rPr>
                      <w:rFonts w:ascii="Calibri" w:eastAsia="Times New Roman" w:hAnsi="Calibri" w:cs="Calibri"/>
                      <w:b/>
                      <w:bCs/>
                      <w:color w:val="000000"/>
                      <w:sz w:val="22"/>
                      <w:szCs w:val="22"/>
                      <w:lang w:val="en-CA" w:eastAsia="en-CA" w:bidi="ar-SA"/>
                    </w:rPr>
                    <w:t>IBB - Affected/Killed Area (ha), by Year</w:t>
                  </w:r>
                </w:p>
              </w:tc>
            </w:tr>
            <w:tr w:rsidR="00B92938" w:rsidRPr="00B92938" w:rsidTr="00B92938">
              <w:trPr>
                <w:trHeight w:val="233"/>
              </w:trPr>
              <w:tc>
                <w:tcPr>
                  <w:tcW w:w="1464" w:type="dxa"/>
                  <w:tcBorders>
                    <w:top w:val="nil"/>
                    <w:left w:val="single" w:sz="4" w:space="0" w:color="auto"/>
                    <w:bottom w:val="single" w:sz="4" w:space="0" w:color="auto"/>
                    <w:right w:val="single" w:sz="4" w:space="0" w:color="auto"/>
                  </w:tcBorders>
                  <w:shd w:val="clear" w:color="auto" w:fill="auto"/>
                  <w:noWrap/>
                  <w:vAlign w:val="bottom"/>
                  <w:hideMark/>
                </w:tcPr>
                <w:p w:rsidR="00B92938" w:rsidRPr="00B92938" w:rsidRDefault="00B92938" w:rsidP="004C3028">
                  <w:pPr>
                    <w:jc w:val="center"/>
                    <w:rPr>
                      <w:rFonts w:ascii="Calibri" w:eastAsia="Times New Roman" w:hAnsi="Calibri" w:cs="Calibri"/>
                      <w:b/>
                      <w:bCs/>
                      <w:color w:val="FF0000"/>
                      <w:sz w:val="22"/>
                      <w:szCs w:val="22"/>
                      <w:lang w:val="en-CA" w:eastAsia="en-CA" w:bidi="ar-SA"/>
                    </w:rPr>
                  </w:pPr>
                  <w:r w:rsidRPr="00B92938">
                    <w:rPr>
                      <w:rFonts w:ascii="Calibri" w:eastAsia="Times New Roman" w:hAnsi="Calibri" w:cs="Calibri"/>
                      <w:b/>
                      <w:bCs/>
                      <w:color w:val="FF0000"/>
                      <w:sz w:val="22"/>
                      <w:szCs w:val="22"/>
                      <w:lang w:val="en-CA" w:eastAsia="en-CA" w:bidi="ar-SA"/>
                    </w:rPr>
                    <w:t>Timber Supply Area</w:t>
                  </w:r>
                </w:p>
              </w:tc>
              <w:tc>
                <w:tcPr>
                  <w:tcW w:w="711" w:type="dxa"/>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center"/>
                    <w:rPr>
                      <w:rFonts w:ascii="Calibri" w:eastAsia="Times New Roman" w:hAnsi="Calibri" w:cs="Calibri"/>
                      <w:b/>
                      <w:bCs/>
                      <w:color w:val="FF0000"/>
                      <w:sz w:val="22"/>
                      <w:szCs w:val="22"/>
                      <w:lang w:val="en-CA" w:eastAsia="en-CA" w:bidi="ar-SA"/>
                    </w:rPr>
                  </w:pPr>
                  <w:r w:rsidRPr="00B92938">
                    <w:rPr>
                      <w:rFonts w:ascii="Calibri" w:eastAsia="Times New Roman" w:hAnsi="Calibri" w:cs="Calibri"/>
                      <w:b/>
                      <w:bCs/>
                      <w:color w:val="FF0000"/>
                      <w:sz w:val="22"/>
                      <w:szCs w:val="22"/>
                      <w:lang w:val="en-CA" w:eastAsia="en-CA" w:bidi="ar-SA"/>
                    </w:rPr>
                    <w:t>2011</w:t>
                  </w:r>
                </w:p>
              </w:tc>
              <w:tc>
                <w:tcPr>
                  <w:tcW w:w="709" w:type="dxa"/>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center"/>
                    <w:rPr>
                      <w:rFonts w:ascii="Calibri" w:eastAsia="Times New Roman" w:hAnsi="Calibri" w:cs="Calibri"/>
                      <w:b/>
                      <w:bCs/>
                      <w:color w:val="FF0000"/>
                      <w:sz w:val="22"/>
                      <w:szCs w:val="22"/>
                      <w:lang w:val="en-CA" w:eastAsia="en-CA" w:bidi="ar-SA"/>
                    </w:rPr>
                  </w:pPr>
                  <w:r w:rsidRPr="00B92938">
                    <w:rPr>
                      <w:rFonts w:ascii="Calibri" w:eastAsia="Times New Roman" w:hAnsi="Calibri" w:cs="Calibri"/>
                      <w:b/>
                      <w:bCs/>
                      <w:color w:val="FF0000"/>
                      <w:sz w:val="22"/>
                      <w:szCs w:val="22"/>
                      <w:lang w:val="en-CA" w:eastAsia="en-CA" w:bidi="ar-SA"/>
                    </w:rPr>
                    <w:t>2012</w:t>
                  </w:r>
                </w:p>
              </w:tc>
              <w:tc>
                <w:tcPr>
                  <w:tcW w:w="709" w:type="dxa"/>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center"/>
                    <w:rPr>
                      <w:rFonts w:ascii="Calibri" w:eastAsia="Times New Roman" w:hAnsi="Calibri" w:cs="Calibri"/>
                      <w:b/>
                      <w:bCs/>
                      <w:color w:val="FF0000"/>
                      <w:sz w:val="22"/>
                      <w:szCs w:val="22"/>
                      <w:lang w:val="en-CA" w:eastAsia="en-CA" w:bidi="ar-SA"/>
                    </w:rPr>
                  </w:pPr>
                  <w:r w:rsidRPr="00B92938">
                    <w:rPr>
                      <w:rFonts w:ascii="Calibri" w:eastAsia="Times New Roman" w:hAnsi="Calibri" w:cs="Calibri"/>
                      <w:b/>
                      <w:bCs/>
                      <w:color w:val="FF0000"/>
                      <w:sz w:val="22"/>
                      <w:szCs w:val="22"/>
                      <w:lang w:val="en-CA" w:eastAsia="en-CA" w:bidi="ar-SA"/>
                    </w:rPr>
                    <w:t>2013</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center"/>
                    <w:rPr>
                      <w:rFonts w:ascii="Calibri" w:eastAsia="Times New Roman" w:hAnsi="Calibri" w:cs="Calibri"/>
                      <w:b/>
                      <w:bCs/>
                      <w:color w:val="FF0000"/>
                      <w:sz w:val="22"/>
                      <w:szCs w:val="22"/>
                      <w:lang w:val="en-CA" w:eastAsia="en-CA" w:bidi="ar-SA"/>
                    </w:rPr>
                  </w:pPr>
                  <w:r w:rsidRPr="00B92938">
                    <w:rPr>
                      <w:rFonts w:ascii="Calibri" w:eastAsia="Times New Roman" w:hAnsi="Calibri" w:cs="Calibri"/>
                      <w:b/>
                      <w:bCs/>
                      <w:color w:val="FF0000"/>
                      <w:sz w:val="22"/>
                      <w:szCs w:val="22"/>
                      <w:lang w:val="en-CA" w:eastAsia="en-CA" w:bidi="ar-SA"/>
                    </w:rPr>
                    <w:t>2014</w:t>
                  </w:r>
                </w:p>
              </w:tc>
            </w:tr>
            <w:tr w:rsidR="00B92938" w:rsidRPr="00B92938" w:rsidTr="00B92938">
              <w:trPr>
                <w:trHeight w:val="233"/>
              </w:trPr>
              <w:tc>
                <w:tcPr>
                  <w:tcW w:w="1464" w:type="dxa"/>
                  <w:tcBorders>
                    <w:top w:val="nil"/>
                    <w:left w:val="single" w:sz="4" w:space="0" w:color="auto"/>
                    <w:bottom w:val="single" w:sz="4" w:space="0" w:color="auto"/>
                    <w:right w:val="single" w:sz="4" w:space="0" w:color="auto"/>
                  </w:tcBorders>
                  <w:shd w:val="clear" w:color="auto" w:fill="auto"/>
                  <w:noWrap/>
                  <w:vAlign w:val="bottom"/>
                  <w:hideMark/>
                </w:tcPr>
                <w:p w:rsidR="00B92938" w:rsidRPr="00B92938" w:rsidRDefault="00B92938" w:rsidP="004C3028">
                  <w:pPr>
                    <w:jc w:val="center"/>
                    <w:rPr>
                      <w:rFonts w:ascii="Calibri" w:eastAsia="Times New Roman" w:hAnsi="Calibri" w:cs="Calibri"/>
                      <w:color w:val="000000"/>
                      <w:sz w:val="22"/>
                      <w:szCs w:val="22"/>
                      <w:lang w:val="en-CA" w:eastAsia="en-CA" w:bidi="ar-SA"/>
                    </w:rPr>
                  </w:pPr>
                  <w:r w:rsidRPr="00B92938">
                    <w:rPr>
                      <w:rFonts w:ascii="Calibri" w:eastAsia="Times New Roman" w:hAnsi="Calibri" w:cs="Calibri"/>
                      <w:color w:val="000000"/>
                      <w:sz w:val="22"/>
                      <w:szCs w:val="22"/>
                      <w:lang w:val="en-CA" w:eastAsia="en-CA" w:bidi="ar-SA"/>
                    </w:rPr>
                    <w:t>Bulkley</w:t>
                  </w:r>
                </w:p>
              </w:tc>
              <w:tc>
                <w:tcPr>
                  <w:tcW w:w="711" w:type="dxa"/>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22"/>
                      <w:szCs w:val="22"/>
                      <w:lang w:val="en-CA" w:eastAsia="en-CA" w:bidi="ar-SA"/>
                    </w:rPr>
                  </w:pPr>
                  <w:r w:rsidRPr="00B92938">
                    <w:rPr>
                      <w:rFonts w:ascii="Calibri" w:eastAsia="Times New Roman" w:hAnsi="Calibri" w:cs="Calibri"/>
                      <w:color w:val="000000"/>
                      <w:sz w:val="22"/>
                      <w:szCs w:val="22"/>
                      <w:lang w:val="en-CA" w:eastAsia="en-CA" w:bidi="ar-SA"/>
                    </w:rPr>
                    <w:t>127</w:t>
                  </w:r>
                </w:p>
              </w:tc>
              <w:tc>
                <w:tcPr>
                  <w:tcW w:w="709" w:type="dxa"/>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22"/>
                      <w:szCs w:val="22"/>
                      <w:lang w:val="en-CA" w:eastAsia="en-CA" w:bidi="ar-SA"/>
                    </w:rPr>
                  </w:pPr>
                  <w:r w:rsidRPr="00B92938">
                    <w:rPr>
                      <w:rFonts w:ascii="Calibri" w:eastAsia="Times New Roman" w:hAnsi="Calibri" w:cs="Calibri"/>
                      <w:color w:val="000000"/>
                      <w:sz w:val="22"/>
                      <w:szCs w:val="22"/>
                      <w:lang w:val="en-CA" w:eastAsia="en-CA" w:bidi="ar-SA"/>
                    </w:rPr>
                    <w:t>604</w:t>
                  </w:r>
                </w:p>
              </w:tc>
              <w:tc>
                <w:tcPr>
                  <w:tcW w:w="709" w:type="dxa"/>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22"/>
                      <w:szCs w:val="22"/>
                      <w:lang w:val="en-CA" w:eastAsia="en-CA" w:bidi="ar-SA"/>
                    </w:rPr>
                  </w:pPr>
                  <w:r w:rsidRPr="00B92938">
                    <w:rPr>
                      <w:rFonts w:ascii="Calibri" w:eastAsia="Times New Roman" w:hAnsi="Calibri" w:cs="Calibri"/>
                      <w:color w:val="000000"/>
                      <w:sz w:val="22"/>
                      <w:szCs w:val="22"/>
                      <w:lang w:val="en-CA" w:eastAsia="en-CA" w:bidi="ar-SA"/>
                    </w:rPr>
                    <w:t>2014</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22"/>
                      <w:szCs w:val="22"/>
                      <w:lang w:val="en-CA" w:eastAsia="en-CA" w:bidi="ar-SA"/>
                    </w:rPr>
                  </w:pPr>
                  <w:r w:rsidRPr="00B92938">
                    <w:rPr>
                      <w:rFonts w:ascii="Calibri" w:eastAsia="Times New Roman" w:hAnsi="Calibri" w:cs="Calibri"/>
                      <w:color w:val="000000"/>
                      <w:sz w:val="22"/>
                      <w:szCs w:val="22"/>
                      <w:lang w:val="en-CA" w:eastAsia="en-CA" w:bidi="ar-SA"/>
                    </w:rPr>
                    <w:t>2544</w:t>
                  </w:r>
                </w:p>
              </w:tc>
            </w:tr>
            <w:tr w:rsidR="00B92938" w:rsidRPr="00B92938" w:rsidTr="00B92938">
              <w:trPr>
                <w:trHeight w:val="233"/>
              </w:trPr>
              <w:tc>
                <w:tcPr>
                  <w:tcW w:w="1464" w:type="dxa"/>
                  <w:tcBorders>
                    <w:top w:val="nil"/>
                    <w:left w:val="single" w:sz="4" w:space="0" w:color="auto"/>
                    <w:bottom w:val="single" w:sz="4" w:space="0" w:color="auto"/>
                    <w:right w:val="single" w:sz="4" w:space="0" w:color="auto"/>
                  </w:tcBorders>
                  <w:shd w:val="clear" w:color="auto" w:fill="auto"/>
                  <w:noWrap/>
                  <w:vAlign w:val="bottom"/>
                  <w:hideMark/>
                </w:tcPr>
                <w:p w:rsidR="00B92938" w:rsidRPr="00B92938" w:rsidRDefault="00B92938" w:rsidP="004C3028">
                  <w:pPr>
                    <w:jc w:val="center"/>
                    <w:rPr>
                      <w:rFonts w:ascii="Calibri" w:eastAsia="Times New Roman" w:hAnsi="Calibri" w:cs="Calibri"/>
                      <w:color w:val="000000"/>
                      <w:sz w:val="22"/>
                      <w:szCs w:val="22"/>
                      <w:lang w:val="en-CA" w:eastAsia="en-CA" w:bidi="ar-SA"/>
                    </w:rPr>
                  </w:pPr>
                  <w:proofErr w:type="spellStart"/>
                  <w:r w:rsidRPr="00B92938">
                    <w:rPr>
                      <w:rFonts w:ascii="Calibri" w:eastAsia="Times New Roman" w:hAnsi="Calibri" w:cs="Calibri"/>
                      <w:color w:val="000000"/>
                      <w:sz w:val="22"/>
                      <w:szCs w:val="22"/>
                      <w:lang w:val="en-CA" w:eastAsia="en-CA" w:bidi="ar-SA"/>
                    </w:rPr>
                    <w:t>Kispiox</w:t>
                  </w:r>
                  <w:proofErr w:type="spellEnd"/>
                </w:p>
              </w:tc>
              <w:tc>
                <w:tcPr>
                  <w:tcW w:w="711" w:type="dxa"/>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22"/>
                      <w:szCs w:val="22"/>
                      <w:lang w:val="en-CA" w:eastAsia="en-CA" w:bidi="ar-SA"/>
                    </w:rPr>
                  </w:pPr>
                  <w:r w:rsidRPr="00B92938">
                    <w:rPr>
                      <w:rFonts w:ascii="Calibri" w:eastAsia="Times New Roman" w:hAnsi="Calibri" w:cs="Calibri"/>
                      <w:color w:val="000000"/>
                      <w:sz w:val="22"/>
                      <w:szCs w:val="22"/>
                      <w:lang w:val="en-CA" w:eastAsia="en-CA" w:bidi="ar-SA"/>
                    </w:rPr>
                    <w:t>245</w:t>
                  </w:r>
                </w:p>
              </w:tc>
              <w:tc>
                <w:tcPr>
                  <w:tcW w:w="709" w:type="dxa"/>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22"/>
                      <w:szCs w:val="22"/>
                      <w:lang w:val="en-CA" w:eastAsia="en-CA" w:bidi="ar-SA"/>
                    </w:rPr>
                  </w:pPr>
                  <w:r w:rsidRPr="00B92938">
                    <w:rPr>
                      <w:rFonts w:ascii="Calibri" w:eastAsia="Times New Roman" w:hAnsi="Calibri" w:cs="Calibri"/>
                      <w:color w:val="000000"/>
                      <w:sz w:val="22"/>
                      <w:szCs w:val="22"/>
                      <w:lang w:val="en-CA" w:eastAsia="en-CA" w:bidi="ar-SA"/>
                    </w:rPr>
                    <w:t>711</w:t>
                  </w:r>
                </w:p>
              </w:tc>
              <w:tc>
                <w:tcPr>
                  <w:tcW w:w="709" w:type="dxa"/>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22"/>
                      <w:szCs w:val="22"/>
                      <w:lang w:val="en-CA" w:eastAsia="en-CA" w:bidi="ar-SA"/>
                    </w:rPr>
                  </w:pPr>
                  <w:r w:rsidRPr="00B92938">
                    <w:rPr>
                      <w:rFonts w:ascii="Calibri" w:eastAsia="Times New Roman" w:hAnsi="Calibri" w:cs="Calibri"/>
                      <w:color w:val="000000"/>
                      <w:sz w:val="22"/>
                      <w:szCs w:val="22"/>
                      <w:lang w:val="en-CA" w:eastAsia="en-CA" w:bidi="ar-SA"/>
                    </w:rPr>
                    <w:t>1736</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22"/>
                      <w:szCs w:val="22"/>
                      <w:lang w:val="en-CA" w:eastAsia="en-CA" w:bidi="ar-SA"/>
                    </w:rPr>
                  </w:pPr>
                  <w:r w:rsidRPr="00B92938">
                    <w:rPr>
                      <w:rFonts w:ascii="Calibri" w:eastAsia="Times New Roman" w:hAnsi="Calibri" w:cs="Calibri"/>
                      <w:color w:val="000000"/>
                      <w:sz w:val="22"/>
                      <w:szCs w:val="22"/>
                      <w:lang w:val="en-CA" w:eastAsia="en-CA" w:bidi="ar-SA"/>
                    </w:rPr>
                    <w:t>2585</w:t>
                  </w:r>
                </w:p>
              </w:tc>
            </w:tr>
            <w:tr w:rsidR="00B92938" w:rsidRPr="00B92938" w:rsidTr="00B92938">
              <w:trPr>
                <w:trHeight w:val="233"/>
              </w:trPr>
              <w:tc>
                <w:tcPr>
                  <w:tcW w:w="1464" w:type="dxa"/>
                  <w:tcBorders>
                    <w:top w:val="nil"/>
                    <w:left w:val="single" w:sz="4" w:space="0" w:color="auto"/>
                    <w:bottom w:val="single" w:sz="4" w:space="0" w:color="auto"/>
                    <w:right w:val="single" w:sz="4" w:space="0" w:color="auto"/>
                  </w:tcBorders>
                  <w:shd w:val="clear" w:color="auto" w:fill="auto"/>
                  <w:noWrap/>
                  <w:vAlign w:val="bottom"/>
                  <w:hideMark/>
                </w:tcPr>
                <w:p w:rsidR="00B92938" w:rsidRPr="00B92938" w:rsidRDefault="00B92938" w:rsidP="004C3028">
                  <w:pPr>
                    <w:jc w:val="center"/>
                    <w:rPr>
                      <w:rFonts w:ascii="Calibri" w:eastAsia="Times New Roman" w:hAnsi="Calibri" w:cs="Calibri"/>
                      <w:color w:val="000000"/>
                      <w:sz w:val="22"/>
                      <w:szCs w:val="22"/>
                      <w:lang w:val="en-CA" w:eastAsia="en-CA" w:bidi="ar-SA"/>
                    </w:rPr>
                  </w:pPr>
                  <w:proofErr w:type="spellStart"/>
                  <w:r w:rsidRPr="00B92938">
                    <w:rPr>
                      <w:rFonts w:ascii="Calibri" w:eastAsia="Times New Roman" w:hAnsi="Calibri" w:cs="Calibri"/>
                      <w:color w:val="000000"/>
                      <w:sz w:val="22"/>
                      <w:szCs w:val="22"/>
                      <w:lang w:val="en-CA" w:eastAsia="en-CA" w:bidi="ar-SA"/>
                    </w:rPr>
                    <w:t>Cassiar</w:t>
                  </w:r>
                  <w:proofErr w:type="spellEnd"/>
                </w:p>
              </w:tc>
              <w:tc>
                <w:tcPr>
                  <w:tcW w:w="711" w:type="dxa"/>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22"/>
                      <w:szCs w:val="22"/>
                      <w:lang w:val="en-CA" w:eastAsia="en-CA" w:bidi="ar-SA"/>
                    </w:rPr>
                  </w:pPr>
                  <w:r w:rsidRPr="00B92938">
                    <w:rPr>
                      <w:rFonts w:ascii="Calibri" w:eastAsia="Times New Roman" w:hAnsi="Calibri" w:cs="Calibri"/>
                      <w:color w:val="000000"/>
                      <w:sz w:val="22"/>
                      <w:szCs w:val="22"/>
                      <w:lang w:val="en-CA" w:eastAsia="en-CA" w:bidi="ar-SA"/>
                    </w:rPr>
                    <w:t>0</w:t>
                  </w:r>
                </w:p>
              </w:tc>
              <w:tc>
                <w:tcPr>
                  <w:tcW w:w="709" w:type="dxa"/>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22"/>
                      <w:szCs w:val="22"/>
                      <w:lang w:val="en-CA" w:eastAsia="en-CA" w:bidi="ar-SA"/>
                    </w:rPr>
                  </w:pPr>
                  <w:r w:rsidRPr="00B92938">
                    <w:rPr>
                      <w:rFonts w:ascii="Calibri" w:eastAsia="Times New Roman" w:hAnsi="Calibri" w:cs="Calibri"/>
                      <w:color w:val="000000"/>
                      <w:sz w:val="22"/>
                      <w:szCs w:val="22"/>
                      <w:lang w:val="en-CA" w:eastAsia="en-CA" w:bidi="ar-SA"/>
                    </w:rPr>
                    <w:t>472</w:t>
                  </w:r>
                </w:p>
              </w:tc>
              <w:tc>
                <w:tcPr>
                  <w:tcW w:w="709" w:type="dxa"/>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22"/>
                      <w:szCs w:val="22"/>
                      <w:lang w:val="en-CA" w:eastAsia="en-CA" w:bidi="ar-SA"/>
                    </w:rPr>
                  </w:pPr>
                  <w:r w:rsidRPr="00B92938">
                    <w:rPr>
                      <w:rFonts w:ascii="Calibri" w:eastAsia="Times New Roman" w:hAnsi="Calibri" w:cs="Calibri"/>
                      <w:color w:val="000000"/>
                      <w:sz w:val="22"/>
                      <w:szCs w:val="22"/>
                      <w:lang w:val="en-CA" w:eastAsia="en-CA" w:bidi="ar-SA"/>
                    </w:rPr>
                    <w:t>1557</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22"/>
                      <w:szCs w:val="22"/>
                      <w:lang w:val="en-CA" w:eastAsia="en-CA" w:bidi="ar-SA"/>
                    </w:rPr>
                  </w:pPr>
                  <w:r w:rsidRPr="00B92938">
                    <w:rPr>
                      <w:rFonts w:ascii="Calibri" w:eastAsia="Times New Roman" w:hAnsi="Calibri" w:cs="Calibri"/>
                      <w:color w:val="000000"/>
                      <w:sz w:val="22"/>
                      <w:szCs w:val="22"/>
                      <w:lang w:val="en-CA" w:eastAsia="en-CA" w:bidi="ar-SA"/>
                    </w:rPr>
                    <w:t>1987</w:t>
                  </w:r>
                </w:p>
              </w:tc>
            </w:tr>
            <w:tr w:rsidR="00B92938" w:rsidRPr="00B92938" w:rsidTr="00B92938">
              <w:trPr>
                <w:trHeight w:val="233"/>
              </w:trPr>
              <w:tc>
                <w:tcPr>
                  <w:tcW w:w="1464" w:type="dxa"/>
                  <w:tcBorders>
                    <w:top w:val="nil"/>
                    <w:left w:val="nil"/>
                    <w:bottom w:val="nil"/>
                    <w:right w:val="nil"/>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18"/>
                      <w:szCs w:val="18"/>
                      <w:lang w:val="en-CA" w:eastAsia="en-CA" w:bidi="ar-SA"/>
                    </w:rPr>
                  </w:pPr>
                  <w:r w:rsidRPr="00B92938">
                    <w:rPr>
                      <w:rFonts w:ascii="Calibri" w:eastAsia="Times New Roman" w:hAnsi="Calibri" w:cs="Calibri"/>
                      <w:color w:val="000000"/>
                      <w:sz w:val="18"/>
                      <w:szCs w:val="18"/>
                      <w:lang w:val="en-CA" w:eastAsia="en-CA" w:bidi="ar-SA"/>
                    </w:rPr>
                    <w:t>Totals:</w:t>
                  </w:r>
                </w:p>
              </w:tc>
              <w:tc>
                <w:tcPr>
                  <w:tcW w:w="711" w:type="dxa"/>
                  <w:tcBorders>
                    <w:top w:val="nil"/>
                    <w:left w:val="nil"/>
                    <w:bottom w:val="nil"/>
                    <w:right w:val="nil"/>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18"/>
                      <w:szCs w:val="18"/>
                      <w:lang w:val="en-CA" w:eastAsia="en-CA" w:bidi="ar-SA"/>
                    </w:rPr>
                  </w:pPr>
                  <w:r w:rsidRPr="00B92938">
                    <w:rPr>
                      <w:rFonts w:ascii="Calibri" w:eastAsia="Times New Roman" w:hAnsi="Calibri" w:cs="Calibri"/>
                      <w:color w:val="000000"/>
                      <w:sz w:val="18"/>
                      <w:szCs w:val="18"/>
                      <w:lang w:val="en-CA" w:eastAsia="en-CA" w:bidi="ar-SA"/>
                    </w:rPr>
                    <w:t>373</w:t>
                  </w:r>
                </w:p>
              </w:tc>
              <w:tc>
                <w:tcPr>
                  <w:tcW w:w="709" w:type="dxa"/>
                  <w:tcBorders>
                    <w:top w:val="nil"/>
                    <w:left w:val="nil"/>
                    <w:bottom w:val="nil"/>
                    <w:right w:val="nil"/>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18"/>
                      <w:szCs w:val="18"/>
                      <w:lang w:val="en-CA" w:eastAsia="en-CA" w:bidi="ar-SA"/>
                    </w:rPr>
                  </w:pPr>
                  <w:r w:rsidRPr="00B92938">
                    <w:rPr>
                      <w:rFonts w:ascii="Calibri" w:eastAsia="Times New Roman" w:hAnsi="Calibri" w:cs="Calibri"/>
                      <w:color w:val="000000"/>
                      <w:sz w:val="18"/>
                      <w:szCs w:val="18"/>
                      <w:lang w:val="en-CA" w:eastAsia="en-CA" w:bidi="ar-SA"/>
                    </w:rPr>
                    <w:t>1787</w:t>
                  </w:r>
                </w:p>
              </w:tc>
              <w:tc>
                <w:tcPr>
                  <w:tcW w:w="709" w:type="dxa"/>
                  <w:tcBorders>
                    <w:top w:val="nil"/>
                    <w:left w:val="nil"/>
                    <w:bottom w:val="nil"/>
                    <w:right w:val="nil"/>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18"/>
                      <w:szCs w:val="18"/>
                      <w:lang w:val="en-CA" w:eastAsia="en-CA" w:bidi="ar-SA"/>
                    </w:rPr>
                  </w:pPr>
                  <w:r w:rsidRPr="00B92938">
                    <w:rPr>
                      <w:rFonts w:ascii="Calibri" w:eastAsia="Times New Roman" w:hAnsi="Calibri" w:cs="Calibri"/>
                      <w:color w:val="000000"/>
                      <w:sz w:val="18"/>
                      <w:szCs w:val="18"/>
                      <w:lang w:val="en-CA" w:eastAsia="en-CA" w:bidi="ar-SA"/>
                    </w:rPr>
                    <w:t>5308</w:t>
                  </w:r>
                </w:p>
              </w:tc>
              <w:tc>
                <w:tcPr>
                  <w:tcW w:w="709" w:type="dxa"/>
                  <w:gridSpan w:val="2"/>
                  <w:tcBorders>
                    <w:top w:val="nil"/>
                    <w:left w:val="nil"/>
                    <w:bottom w:val="nil"/>
                    <w:right w:val="nil"/>
                  </w:tcBorders>
                  <w:shd w:val="clear" w:color="auto" w:fill="auto"/>
                  <w:noWrap/>
                  <w:vAlign w:val="bottom"/>
                  <w:hideMark/>
                </w:tcPr>
                <w:p w:rsidR="00B92938" w:rsidRPr="00B92938" w:rsidRDefault="00B92938" w:rsidP="004C3028">
                  <w:pPr>
                    <w:jc w:val="right"/>
                    <w:rPr>
                      <w:rFonts w:ascii="Calibri" w:eastAsia="Times New Roman" w:hAnsi="Calibri" w:cs="Calibri"/>
                      <w:color w:val="000000"/>
                      <w:sz w:val="18"/>
                      <w:szCs w:val="18"/>
                      <w:lang w:val="en-CA" w:eastAsia="en-CA" w:bidi="ar-SA"/>
                    </w:rPr>
                  </w:pPr>
                  <w:r w:rsidRPr="00B92938">
                    <w:rPr>
                      <w:rFonts w:ascii="Calibri" w:eastAsia="Times New Roman" w:hAnsi="Calibri" w:cs="Calibri"/>
                      <w:color w:val="000000"/>
                      <w:sz w:val="18"/>
                      <w:szCs w:val="18"/>
                      <w:lang w:val="en-CA" w:eastAsia="en-CA" w:bidi="ar-SA"/>
                    </w:rPr>
                    <w:t>7116</w:t>
                  </w:r>
                </w:p>
              </w:tc>
            </w:tr>
          </w:tbl>
          <w:p w:rsidR="00B92938" w:rsidRDefault="00B92938" w:rsidP="00AC4CC5">
            <w:pPr>
              <w:spacing w:after="120"/>
              <w:rPr>
                <w:sz w:val="22"/>
                <w:szCs w:val="22"/>
              </w:rPr>
            </w:pPr>
          </w:p>
        </w:tc>
        <w:tc>
          <w:tcPr>
            <w:tcW w:w="4788" w:type="dxa"/>
          </w:tcPr>
          <w:p w:rsidR="00B92938" w:rsidRDefault="00B92938" w:rsidP="00AC4CC5">
            <w:pPr>
              <w:spacing w:after="120"/>
              <w:rPr>
                <w:sz w:val="22"/>
                <w:szCs w:val="22"/>
              </w:rPr>
            </w:pPr>
            <w:r>
              <w:rPr>
                <w:noProof/>
                <w:lang w:val="en-CA" w:eastAsia="en-CA" w:bidi="ar-SA"/>
              </w:rPr>
              <w:drawing>
                <wp:inline distT="0" distB="0" distL="0" distR="0" wp14:anchorId="2BE5BDB6" wp14:editId="27ABC656">
                  <wp:extent cx="2878666" cy="1778000"/>
                  <wp:effectExtent l="0" t="0" r="17145" b="127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bl>
    <w:p w:rsidR="00B63027" w:rsidRDefault="004F1909" w:rsidP="003C2705">
      <w:pPr>
        <w:autoSpaceDE w:val="0"/>
        <w:autoSpaceDN w:val="0"/>
        <w:adjustRightInd w:val="0"/>
        <w:spacing w:after="200" w:line="276" w:lineRule="auto"/>
        <w:contextualSpacing/>
        <w:jc w:val="center"/>
        <w:rPr>
          <w:rFonts w:ascii="Cambria" w:hAnsi="Cambria" w:cs="Cambria"/>
          <w:b/>
          <w:bCs/>
          <w:iCs/>
          <w:color w:val="000000"/>
          <w:sz w:val="23"/>
          <w:szCs w:val="23"/>
        </w:rPr>
      </w:pPr>
      <w:r>
        <w:rPr>
          <w:rFonts w:ascii="Cambria" w:hAnsi="Cambria" w:cs="Cambria"/>
          <w:b/>
          <w:bCs/>
          <w:iCs/>
          <w:noProof/>
          <w:color w:val="000000"/>
          <w:sz w:val="23"/>
          <w:szCs w:val="23"/>
          <w:lang w:val="en-CA" w:eastAsia="en-CA" w:bidi="ar-SA"/>
        </w:rPr>
        <w:lastRenderedPageBreak/>
        <w:drawing>
          <wp:inline distT="0" distB="0" distL="0" distR="0" wp14:anchorId="03E49535" wp14:editId="733CBC10">
            <wp:extent cx="9282510" cy="6006331"/>
            <wp:effectExtent l="0" t="0" r="0" b="0"/>
            <wp:docPr id="1" name="Picture 1" descr="G:\!Workgrp\Stewardship\Operations\Forest Health\DSS Forest Health\2014-2015\2015 Forest Health Strategy\4_Forest Health Agents_Descr-etc\3 Balsam Bark Beetle\Map6_IBB_INCxH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Workgrp\Stewardship\Operations\Forest Health\DSS Forest Health\2014-2015\2015 Forest Health Strategy\4_Forest Health Agents_Descr-etc\3 Balsam Bark Beetle\Map6_IBB_INCxHAZ.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9283452" cy="6006940"/>
                    </a:xfrm>
                    <a:prstGeom prst="rect">
                      <a:avLst/>
                    </a:prstGeom>
                    <a:noFill/>
                    <a:ln>
                      <a:noFill/>
                    </a:ln>
                  </pic:spPr>
                </pic:pic>
              </a:graphicData>
            </a:graphic>
          </wp:inline>
        </w:drawing>
      </w:r>
    </w:p>
    <w:p w:rsidR="003C2705" w:rsidRPr="003C2705" w:rsidRDefault="003C2705" w:rsidP="003C2705">
      <w:pPr>
        <w:pStyle w:val="BodyText3"/>
        <w:rPr>
          <w:rFonts w:cstheme="minorHAnsi"/>
          <w:color w:val="FF0000"/>
          <w:sz w:val="22"/>
          <w:szCs w:val="22"/>
          <w:u w:val="single"/>
        </w:rPr>
      </w:pPr>
      <w:r w:rsidRPr="003C2705">
        <w:rPr>
          <w:rFonts w:cstheme="minorHAnsi"/>
          <w:color w:val="FF0000"/>
          <w:sz w:val="22"/>
          <w:szCs w:val="22"/>
          <w:u w:val="single"/>
        </w:rPr>
        <w:lastRenderedPageBreak/>
        <w:t>Non-Recoverable Loss (NRL) Assumptions and Estimation from Timber Supply Reviews (TSR)</w:t>
      </w:r>
    </w:p>
    <w:p w:rsidR="007F74AD" w:rsidRDefault="003C2705" w:rsidP="007F74AD">
      <w:pPr>
        <w:spacing w:before="240" w:after="120"/>
        <w:rPr>
          <w:i/>
        </w:rPr>
      </w:pPr>
      <w:r w:rsidRPr="00445646">
        <w:rPr>
          <w:rFonts w:cstheme="minorHAnsi"/>
          <w:i/>
        </w:rPr>
        <w:t>Bulkley</w:t>
      </w:r>
      <w:r>
        <w:rPr>
          <w:rFonts w:cstheme="minorHAnsi"/>
          <w:i/>
        </w:rPr>
        <w:t xml:space="preserve"> TSR3 (2011 currency)</w:t>
      </w:r>
      <w:r w:rsidR="007F74AD">
        <w:rPr>
          <w:rFonts w:cstheme="minorHAnsi"/>
          <w:i/>
        </w:rPr>
        <w:t xml:space="preserve">; </w:t>
      </w:r>
      <w:proofErr w:type="spellStart"/>
      <w:r w:rsidRPr="009247F9">
        <w:rPr>
          <w:i/>
        </w:rPr>
        <w:t>Kispiox</w:t>
      </w:r>
      <w:proofErr w:type="spellEnd"/>
      <w:r w:rsidRPr="009247F9">
        <w:rPr>
          <w:i/>
        </w:rPr>
        <w:t xml:space="preserve"> TSR3</w:t>
      </w:r>
      <w:r>
        <w:rPr>
          <w:i/>
        </w:rPr>
        <w:t xml:space="preserve"> (2006 currency)</w:t>
      </w:r>
      <w:r w:rsidR="007F74AD">
        <w:rPr>
          <w:i/>
        </w:rPr>
        <w:t xml:space="preserve">; </w:t>
      </w:r>
      <w:proofErr w:type="spellStart"/>
      <w:r w:rsidR="007F74AD" w:rsidRPr="006B488C">
        <w:rPr>
          <w:i/>
        </w:rPr>
        <w:t>Cassiar</w:t>
      </w:r>
      <w:proofErr w:type="spellEnd"/>
      <w:r w:rsidR="007F74AD" w:rsidRPr="006B488C">
        <w:rPr>
          <w:i/>
        </w:rPr>
        <w:t xml:space="preserve"> TSR3 (2013 currency)</w:t>
      </w:r>
    </w:p>
    <w:p w:rsidR="003C2705" w:rsidRDefault="00EC6638" w:rsidP="007F74AD">
      <w:pPr>
        <w:pStyle w:val="BodyText2"/>
        <w:spacing w:after="60" w:line="240" w:lineRule="auto"/>
        <w:rPr>
          <w:i/>
        </w:rPr>
      </w:pPr>
      <w:r>
        <w:rPr>
          <w:rFonts w:cstheme="minorHAnsi"/>
          <w:sz w:val="22"/>
          <w:szCs w:val="22"/>
        </w:rPr>
        <w:t>A study by the Regional Entomologist comparing ground survey mortality to estimated losses concluded that</w:t>
      </w:r>
      <w:r w:rsidR="004E1F80" w:rsidRPr="004E1F80">
        <w:rPr>
          <w:rFonts w:cstheme="minorHAnsi"/>
          <w:sz w:val="22"/>
          <w:szCs w:val="22"/>
        </w:rPr>
        <w:t xml:space="preserve"> IBB </w:t>
      </w:r>
      <w:r w:rsidR="007F74AD">
        <w:rPr>
          <w:rFonts w:cstheme="minorHAnsi"/>
          <w:sz w:val="22"/>
          <w:szCs w:val="22"/>
        </w:rPr>
        <w:t>mortality is</w:t>
      </w:r>
      <w:r w:rsidR="004E1F80" w:rsidRPr="004E1F80">
        <w:rPr>
          <w:rFonts w:cstheme="minorHAnsi"/>
          <w:sz w:val="22"/>
          <w:szCs w:val="22"/>
        </w:rPr>
        <w:t xml:space="preserve"> </w:t>
      </w:r>
      <w:r w:rsidR="004E1F80">
        <w:rPr>
          <w:rFonts w:cstheme="minorHAnsi"/>
          <w:sz w:val="22"/>
          <w:szCs w:val="22"/>
        </w:rPr>
        <w:t xml:space="preserve">adequately </w:t>
      </w:r>
      <w:r w:rsidR="007F74AD">
        <w:rPr>
          <w:rFonts w:cstheme="minorHAnsi"/>
          <w:sz w:val="22"/>
          <w:szCs w:val="22"/>
        </w:rPr>
        <w:t>accounted for in</w:t>
      </w:r>
      <w:r w:rsidR="004E1F80" w:rsidRPr="004E1F80">
        <w:rPr>
          <w:rFonts w:cstheme="minorHAnsi"/>
          <w:sz w:val="22"/>
          <w:szCs w:val="22"/>
        </w:rPr>
        <w:t xml:space="preserve"> VDYP yield estimates</w:t>
      </w:r>
      <w:r w:rsidR="004E1F80">
        <w:rPr>
          <w:rFonts w:cstheme="minorHAnsi"/>
          <w:sz w:val="22"/>
          <w:szCs w:val="22"/>
        </w:rPr>
        <w:t xml:space="preserve"> as natural endemic losses</w:t>
      </w:r>
      <w:r>
        <w:rPr>
          <w:rFonts w:cstheme="minorHAnsi"/>
          <w:sz w:val="22"/>
          <w:szCs w:val="22"/>
        </w:rPr>
        <w:t>.  Therefore,</w:t>
      </w:r>
      <w:r w:rsidR="004E1F80" w:rsidRPr="004E1F80">
        <w:rPr>
          <w:rFonts w:cstheme="minorHAnsi"/>
          <w:sz w:val="22"/>
          <w:szCs w:val="22"/>
        </w:rPr>
        <w:t xml:space="preserve"> </w:t>
      </w:r>
      <w:r w:rsidR="004E1F80">
        <w:rPr>
          <w:rFonts w:cstheme="minorHAnsi"/>
          <w:sz w:val="22"/>
          <w:szCs w:val="22"/>
        </w:rPr>
        <w:t>no IBB NRL’s were calculated</w:t>
      </w:r>
      <w:r w:rsidR="004E1F80" w:rsidRPr="004E1F80">
        <w:rPr>
          <w:rFonts w:cstheme="minorHAnsi"/>
          <w:sz w:val="22"/>
          <w:szCs w:val="22"/>
        </w:rPr>
        <w:t xml:space="preserve">. </w:t>
      </w:r>
      <w:r w:rsidR="00C83FE3">
        <w:rPr>
          <w:rFonts w:cstheme="minorHAnsi"/>
          <w:sz w:val="22"/>
          <w:szCs w:val="22"/>
        </w:rPr>
        <w:t xml:space="preserve">A </w:t>
      </w:r>
      <w:r>
        <w:rPr>
          <w:rFonts w:cstheme="minorHAnsi"/>
          <w:sz w:val="22"/>
          <w:szCs w:val="22"/>
        </w:rPr>
        <w:t>resurvey of these same balsam-leading stands</w:t>
      </w:r>
      <w:r w:rsidR="00C83FE3">
        <w:rPr>
          <w:rFonts w:cstheme="minorHAnsi"/>
          <w:sz w:val="22"/>
          <w:szCs w:val="22"/>
        </w:rPr>
        <w:t xml:space="preserve"> </w:t>
      </w:r>
      <w:r>
        <w:rPr>
          <w:rFonts w:cstheme="minorHAnsi"/>
          <w:sz w:val="22"/>
          <w:szCs w:val="22"/>
        </w:rPr>
        <w:t>ha</w:t>
      </w:r>
      <w:r w:rsidR="00C83FE3">
        <w:rPr>
          <w:rFonts w:cstheme="minorHAnsi"/>
          <w:sz w:val="22"/>
          <w:szCs w:val="22"/>
        </w:rPr>
        <w:t>s be</w:t>
      </w:r>
      <w:r>
        <w:rPr>
          <w:rFonts w:cstheme="minorHAnsi"/>
          <w:sz w:val="22"/>
          <w:szCs w:val="22"/>
        </w:rPr>
        <w:t>en</w:t>
      </w:r>
      <w:r w:rsidR="00C83FE3">
        <w:rPr>
          <w:rFonts w:cstheme="minorHAnsi"/>
          <w:sz w:val="22"/>
          <w:szCs w:val="22"/>
        </w:rPr>
        <w:t xml:space="preserve"> undertaken by the Regional Entomologist</w:t>
      </w:r>
      <w:r>
        <w:rPr>
          <w:rFonts w:cstheme="minorHAnsi"/>
          <w:sz w:val="22"/>
          <w:szCs w:val="22"/>
        </w:rPr>
        <w:t xml:space="preserve"> to look at further mortality, but the </w:t>
      </w:r>
      <w:proofErr w:type="spellStart"/>
      <w:r>
        <w:rPr>
          <w:rFonts w:cstheme="minorHAnsi"/>
          <w:sz w:val="22"/>
          <w:szCs w:val="22"/>
        </w:rPr>
        <w:t>remeasurement</w:t>
      </w:r>
      <w:proofErr w:type="spellEnd"/>
      <w:r>
        <w:rPr>
          <w:rFonts w:cstheme="minorHAnsi"/>
          <w:sz w:val="22"/>
          <w:szCs w:val="22"/>
        </w:rPr>
        <w:t xml:space="preserve"> data is still awaiting analysis.  This analysis should give a clearer indication of actual losses to </w:t>
      </w:r>
      <w:r w:rsidR="00AA693A">
        <w:rPr>
          <w:rFonts w:cstheme="minorHAnsi"/>
          <w:sz w:val="22"/>
          <w:szCs w:val="22"/>
        </w:rPr>
        <w:t>IBB.</w:t>
      </w:r>
    </w:p>
    <w:p w:rsidR="003D7DC1" w:rsidRDefault="003D7DC1" w:rsidP="003D7DC1">
      <w:pPr>
        <w:spacing w:before="240" w:after="120"/>
        <w:rPr>
          <w:color w:val="FF0000"/>
          <w:u w:val="single"/>
        </w:rPr>
      </w:pPr>
      <w:r>
        <w:rPr>
          <w:color w:val="FF0000"/>
          <w:u w:val="single"/>
        </w:rPr>
        <w:t>Tactics</w:t>
      </w:r>
      <w:r w:rsidRPr="00AF7A8E">
        <w:rPr>
          <w:color w:val="FF0000"/>
          <w:u w:val="single"/>
        </w:rPr>
        <w:t xml:space="preserve"> &amp; Best Management Practices</w:t>
      </w:r>
      <w:r>
        <w:rPr>
          <w:color w:val="FF0000"/>
          <w:u w:val="single"/>
        </w:rPr>
        <w:t xml:space="preserve">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7"/>
        <w:gridCol w:w="4111"/>
        <w:gridCol w:w="3260"/>
      </w:tblGrid>
      <w:tr w:rsidR="009A2CA2" w:rsidTr="000675DF">
        <w:tc>
          <w:tcPr>
            <w:tcW w:w="3227" w:type="dxa"/>
            <w:tcBorders>
              <w:top w:val="single" w:sz="12" w:space="0" w:color="auto"/>
              <w:bottom w:val="single" w:sz="12" w:space="0" w:color="auto"/>
              <w:right w:val="single" w:sz="12" w:space="0" w:color="auto"/>
            </w:tcBorders>
            <w:vAlign w:val="center"/>
          </w:tcPr>
          <w:p w:rsidR="009A2CA2" w:rsidRPr="000675DF" w:rsidRDefault="009A2CA2" w:rsidP="004C3028">
            <w:pPr>
              <w:jc w:val="center"/>
              <w:rPr>
                <w:b/>
                <w:i/>
                <w:sz w:val="22"/>
                <w:szCs w:val="22"/>
              </w:rPr>
            </w:pPr>
            <w:r w:rsidRPr="000675DF">
              <w:rPr>
                <w:b/>
                <w:sz w:val="22"/>
                <w:szCs w:val="22"/>
              </w:rPr>
              <w:t>Tactic (BMP)</w:t>
            </w:r>
          </w:p>
        </w:tc>
        <w:tc>
          <w:tcPr>
            <w:tcW w:w="4111" w:type="dxa"/>
            <w:tcBorders>
              <w:top w:val="single" w:sz="12" w:space="0" w:color="auto"/>
              <w:left w:val="single" w:sz="12" w:space="0" w:color="auto"/>
              <w:bottom w:val="single" w:sz="12" w:space="0" w:color="auto"/>
              <w:right w:val="single" w:sz="12" w:space="0" w:color="auto"/>
            </w:tcBorders>
          </w:tcPr>
          <w:p w:rsidR="009A2CA2" w:rsidRPr="000675DF" w:rsidRDefault="009A2CA2" w:rsidP="004C3028">
            <w:pPr>
              <w:jc w:val="center"/>
              <w:rPr>
                <w:b/>
                <w:sz w:val="22"/>
                <w:szCs w:val="22"/>
              </w:rPr>
            </w:pPr>
            <w:r w:rsidRPr="000675DF">
              <w:rPr>
                <w:b/>
                <w:sz w:val="22"/>
                <w:szCs w:val="22"/>
              </w:rPr>
              <w:t>Timing</w:t>
            </w:r>
          </w:p>
        </w:tc>
        <w:tc>
          <w:tcPr>
            <w:tcW w:w="3260" w:type="dxa"/>
            <w:tcBorders>
              <w:top w:val="single" w:sz="12" w:space="0" w:color="auto"/>
              <w:left w:val="single" w:sz="12" w:space="0" w:color="auto"/>
              <w:bottom w:val="single" w:sz="12" w:space="0" w:color="auto"/>
            </w:tcBorders>
            <w:vAlign w:val="center"/>
          </w:tcPr>
          <w:p w:rsidR="009A2CA2" w:rsidRPr="000675DF" w:rsidRDefault="009A2CA2" w:rsidP="004C3028">
            <w:pPr>
              <w:jc w:val="center"/>
              <w:rPr>
                <w:b/>
                <w:sz w:val="22"/>
                <w:szCs w:val="22"/>
              </w:rPr>
            </w:pPr>
            <w:r w:rsidRPr="000675DF">
              <w:rPr>
                <w:b/>
                <w:sz w:val="22"/>
                <w:szCs w:val="22"/>
              </w:rPr>
              <w:t>Responsibility</w:t>
            </w:r>
          </w:p>
        </w:tc>
      </w:tr>
      <w:tr w:rsidR="00C16E4E" w:rsidTr="000675DF">
        <w:tc>
          <w:tcPr>
            <w:tcW w:w="3227" w:type="dxa"/>
            <w:tcBorders>
              <w:top w:val="single" w:sz="12" w:space="0" w:color="auto"/>
            </w:tcBorders>
            <w:vAlign w:val="center"/>
          </w:tcPr>
          <w:p w:rsidR="00C16E4E" w:rsidRPr="000675DF" w:rsidRDefault="008A21A3" w:rsidP="004C3028">
            <w:pPr>
              <w:rPr>
                <w:i/>
                <w:sz w:val="22"/>
                <w:szCs w:val="22"/>
              </w:rPr>
            </w:pPr>
            <w:r w:rsidRPr="000675DF">
              <w:rPr>
                <w:i/>
                <w:sz w:val="22"/>
                <w:szCs w:val="22"/>
              </w:rPr>
              <w:t>Facilitate</w:t>
            </w:r>
            <w:r w:rsidR="00C16E4E" w:rsidRPr="000675DF">
              <w:rPr>
                <w:i/>
                <w:sz w:val="22"/>
                <w:szCs w:val="22"/>
              </w:rPr>
              <w:t xml:space="preserve"> modified fire response</w:t>
            </w:r>
          </w:p>
        </w:tc>
        <w:tc>
          <w:tcPr>
            <w:tcW w:w="4111" w:type="dxa"/>
            <w:tcBorders>
              <w:top w:val="single" w:sz="12" w:space="0" w:color="auto"/>
            </w:tcBorders>
          </w:tcPr>
          <w:p w:rsidR="00C16E4E" w:rsidRPr="000675DF" w:rsidRDefault="00C16E4E" w:rsidP="004C3028">
            <w:pPr>
              <w:rPr>
                <w:sz w:val="22"/>
                <w:szCs w:val="22"/>
              </w:rPr>
            </w:pPr>
            <w:r w:rsidRPr="000675DF">
              <w:rPr>
                <w:sz w:val="22"/>
                <w:szCs w:val="22"/>
              </w:rPr>
              <w:t>By March, year 0</w:t>
            </w:r>
          </w:p>
        </w:tc>
        <w:tc>
          <w:tcPr>
            <w:tcW w:w="3260" w:type="dxa"/>
            <w:tcBorders>
              <w:top w:val="single" w:sz="12" w:space="0" w:color="auto"/>
            </w:tcBorders>
          </w:tcPr>
          <w:p w:rsidR="00C16E4E" w:rsidRPr="000675DF" w:rsidRDefault="00C16E4E" w:rsidP="004C3028">
            <w:pPr>
              <w:rPr>
                <w:sz w:val="22"/>
                <w:szCs w:val="22"/>
              </w:rPr>
            </w:pPr>
            <w:r w:rsidRPr="000675DF">
              <w:rPr>
                <w:sz w:val="22"/>
                <w:szCs w:val="22"/>
              </w:rPr>
              <w:t>FLNRO District, WMB</w:t>
            </w:r>
          </w:p>
        </w:tc>
      </w:tr>
      <w:tr w:rsidR="00EF7E89" w:rsidTr="00796D76">
        <w:tc>
          <w:tcPr>
            <w:tcW w:w="3227" w:type="dxa"/>
            <w:vAlign w:val="center"/>
          </w:tcPr>
          <w:p w:rsidR="00EF7E89" w:rsidRPr="000675DF" w:rsidRDefault="00EF7E89" w:rsidP="004C3028">
            <w:pPr>
              <w:rPr>
                <w:i/>
                <w:sz w:val="22"/>
                <w:szCs w:val="22"/>
              </w:rPr>
            </w:pPr>
            <w:r w:rsidRPr="000675DF">
              <w:rPr>
                <w:i/>
                <w:sz w:val="22"/>
                <w:szCs w:val="22"/>
              </w:rPr>
              <w:t>Identi</w:t>
            </w:r>
            <w:r w:rsidR="005A0763" w:rsidRPr="000675DF">
              <w:rPr>
                <w:i/>
                <w:sz w:val="22"/>
                <w:szCs w:val="22"/>
              </w:rPr>
              <w:t>fy “aggressive” management area</w:t>
            </w:r>
          </w:p>
        </w:tc>
        <w:tc>
          <w:tcPr>
            <w:tcW w:w="4111" w:type="dxa"/>
          </w:tcPr>
          <w:p w:rsidR="00EF7E89" w:rsidRPr="000675DF" w:rsidRDefault="00EF7E89" w:rsidP="004C3028">
            <w:pPr>
              <w:rPr>
                <w:sz w:val="22"/>
                <w:szCs w:val="22"/>
              </w:rPr>
            </w:pPr>
            <w:r w:rsidRPr="000675DF">
              <w:rPr>
                <w:sz w:val="22"/>
                <w:szCs w:val="22"/>
              </w:rPr>
              <w:t>By March, year 0</w:t>
            </w:r>
          </w:p>
        </w:tc>
        <w:tc>
          <w:tcPr>
            <w:tcW w:w="3260" w:type="dxa"/>
          </w:tcPr>
          <w:p w:rsidR="00EF7E89" w:rsidRPr="000675DF" w:rsidRDefault="00EF7E89" w:rsidP="004C3028">
            <w:pPr>
              <w:rPr>
                <w:sz w:val="22"/>
                <w:szCs w:val="22"/>
              </w:rPr>
            </w:pPr>
            <w:r w:rsidRPr="000675DF">
              <w:rPr>
                <w:sz w:val="22"/>
                <w:szCs w:val="22"/>
              </w:rPr>
              <w:t>FLNRO District (Licensee input)</w:t>
            </w:r>
          </w:p>
        </w:tc>
      </w:tr>
      <w:tr w:rsidR="00EF7E89" w:rsidTr="009A2CA2">
        <w:tc>
          <w:tcPr>
            <w:tcW w:w="3227" w:type="dxa"/>
            <w:vAlign w:val="center"/>
          </w:tcPr>
          <w:p w:rsidR="00EF7E89" w:rsidRPr="000675DF" w:rsidRDefault="00601F92" w:rsidP="00601F92">
            <w:pPr>
              <w:rPr>
                <w:i/>
                <w:sz w:val="22"/>
                <w:szCs w:val="22"/>
              </w:rPr>
            </w:pPr>
            <w:r w:rsidRPr="000675DF">
              <w:rPr>
                <w:i/>
                <w:sz w:val="22"/>
                <w:szCs w:val="22"/>
              </w:rPr>
              <w:t>Spatially</w:t>
            </w:r>
            <w:r w:rsidR="00EF7E89" w:rsidRPr="000675DF">
              <w:rPr>
                <w:i/>
                <w:sz w:val="22"/>
                <w:szCs w:val="22"/>
              </w:rPr>
              <w:t xml:space="preserve"> capture </w:t>
            </w:r>
            <w:r w:rsidRPr="000675DF">
              <w:rPr>
                <w:i/>
                <w:sz w:val="22"/>
                <w:szCs w:val="22"/>
              </w:rPr>
              <w:t xml:space="preserve">spots and </w:t>
            </w:r>
            <w:r w:rsidR="00EF7E89" w:rsidRPr="000675DF">
              <w:rPr>
                <w:i/>
                <w:sz w:val="22"/>
                <w:szCs w:val="22"/>
              </w:rPr>
              <w:t xml:space="preserve">patches of </w:t>
            </w:r>
            <w:r w:rsidRPr="000675DF">
              <w:rPr>
                <w:i/>
                <w:sz w:val="22"/>
                <w:szCs w:val="22"/>
              </w:rPr>
              <w:t xml:space="preserve">significant historic and current </w:t>
            </w:r>
            <w:r w:rsidR="00EF7E89" w:rsidRPr="000675DF">
              <w:rPr>
                <w:i/>
                <w:sz w:val="22"/>
                <w:szCs w:val="22"/>
              </w:rPr>
              <w:t>incidence</w:t>
            </w:r>
            <w:r w:rsidRPr="000675DF">
              <w:rPr>
                <w:i/>
                <w:sz w:val="22"/>
                <w:szCs w:val="22"/>
              </w:rPr>
              <w:t xml:space="preserve"> </w:t>
            </w:r>
            <w:r w:rsidR="00EF7E89" w:rsidRPr="000675DF">
              <w:rPr>
                <w:i/>
                <w:sz w:val="22"/>
                <w:szCs w:val="22"/>
              </w:rPr>
              <w:t>; compile information</w:t>
            </w:r>
          </w:p>
        </w:tc>
        <w:tc>
          <w:tcPr>
            <w:tcW w:w="4111" w:type="dxa"/>
            <w:vAlign w:val="center"/>
          </w:tcPr>
          <w:p w:rsidR="00EF7E89" w:rsidRPr="000675DF" w:rsidRDefault="00EF7E89" w:rsidP="009A2CA2">
            <w:pPr>
              <w:rPr>
                <w:sz w:val="22"/>
                <w:szCs w:val="22"/>
              </w:rPr>
            </w:pPr>
            <w:r w:rsidRPr="000675DF">
              <w:rPr>
                <w:sz w:val="22"/>
                <w:szCs w:val="22"/>
              </w:rPr>
              <w:t>June-August, year 0</w:t>
            </w:r>
          </w:p>
        </w:tc>
        <w:tc>
          <w:tcPr>
            <w:tcW w:w="3260" w:type="dxa"/>
            <w:vAlign w:val="center"/>
          </w:tcPr>
          <w:p w:rsidR="00EF7E89" w:rsidRPr="000675DF" w:rsidRDefault="00EF7E89" w:rsidP="009A2CA2">
            <w:pPr>
              <w:rPr>
                <w:sz w:val="22"/>
                <w:szCs w:val="22"/>
              </w:rPr>
            </w:pPr>
            <w:r w:rsidRPr="000675DF">
              <w:rPr>
                <w:sz w:val="22"/>
                <w:szCs w:val="22"/>
              </w:rPr>
              <w:t>: Provincial AOS - FLNRO Branch &amp; Region;</w:t>
            </w:r>
          </w:p>
          <w:p w:rsidR="00EF7E89" w:rsidRPr="000675DF" w:rsidRDefault="00EF7E89" w:rsidP="004C3028">
            <w:pPr>
              <w:rPr>
                <w:sz w:val="22"/>
                <w:szCs w:val="22"/>
              </w:rPr>
            </w:pPr>
            <w:r w:rsidRPr="000675DF">
              <w:rPr>
                <w:sz w:val="22"/>
                <w:szCs w:val="22"/>
              </w:rPr>
              <w:t>: Compilation – FLNRO District</w:t>
            </w:r>
          </w:p>
        </w:tc>
      </w:tr>
      <w:tr w:rsidR="00EF7E89" w:rsidTr="00D237E1">
        <w:tc>
          <w:tcPr>
            <w:tcW w:w="3227" w:type="dxa"/>
            <w:vAlign w:val="center"/>
          </w:tcPr>
          <w:p w:rsidR="00EF7E89" w:rsidRPr="000675DF" w:rsidRDefault="00EF7E89" w:rsidP="00D00C77">
            <w:pPr>
              <w:rPr>
                <w:i/>
                <w:sz w:val="22"/>
                <w:szCs w:val="22"/>
              </w:rPr>
            </w:pPr>
            <w:r w:rsidRPr="000675DF">
              <w:rPr>
                <w:i/>
                <w:sz w:val="22"/>
                <w:szCs w:val="22"/>
              </w:rPr>
              <w:t xml:space="preserve">Assign </w:t>
            </w:r>
            <w:proofErr w:type="spellStart"/>
            <w:r w:rsidRPr="000675DF">
              <w:rPr>
                <w:i/>
                <w:sz w:val="22"/>
                <w:szCs w:val="22"/>
              </w:rPr>
              <w:t>Actioning</w:t>
            </w:r>
            <w:proofErr w:type="spellEnd"/>
            <w:r w:rsidRPr="000675DF">
              <w:rPr>
                <w:i/>
                <w:sz w:val="22"/>
                <w:szCs w:val="22"/>
              </w:rPr>
              <w:t xml:space="preserve"> Strategy to patches; update Beetle Tactical Plan</w:t>
            </w:r>
          </w:p>
        </w:tc>
        <w:tc>
          <w:tcPr>
            <w:tcW w:w="4111" w:type="dxa"/>
          </w:tcPr>
          <w:p w:rsidR="00EF7E89" w:rsidRPr="000675DF" w:rsidRDefault="00EF7E89" w:rsidP="004C3028">
            <w:pPr>
              <w:rPr>
                <w:sz w:val="22"/>
                <w:szCs w:val="22"/>
              </w:rPr>
            </w:pPr>
            <w:r w:rsidRPr="000675DF">
              <w:rPr>
                <w:sz w:val="22"/>
                <w:szCs w:val="22"/>
              </w:rPr>
              <w:t>Sept-Nov, year 0</w:t>
            </w:r>
          </w:p>
        </w:tc>
        <w:tc>
          <w:tcPr>
            <w:tcW w:w="3260" w:type="dxa"/>
            <w:vAlign w:val="center"/>
          </w:tcPr>
          <w:p w:rsidR="00EF7E89" w:rsidRPr="000675DF" w:rsidRDefault="00EF7E89" w:rsidP="004C3028">
            <w:pPr>
              <w:rPr>
                <w:sz w:val="22"/>
                <w:szCs w:val="22"/>
              </w:rPr>
            </w:pPr>
            <w:r w:rsidRPr="000675DF">
              <w:rPr>
                <w:sz w:val="22"/>
                <w:szCs w:val="22"/>
              </w:rPr>
              <w:t>FLNRO District &amp; Region, Licensees</w:t>
            </w:r>
          </w:p>
        </w:tc>
      </w:tr>
      <w:tr w:rsidR="00EF7E89" w:rsidTr="00D237E1">
        <w:tc>
          <w:tcPr>
            <w:tcW w:w="3227" w:type="dxa"/>
            <w:vAlign w:val="center"/>
          </w:tcPr>
          <w:p w:rsidR="00EF7E89" w:rsidRPr="000675DF" w:rsidRDefault="00EF7E89" w:rsidP="004C3028">
            <w:pPr>
              <w:rPr>
                <w:i/>
                <w:sz w:val="22"/>
                <w:szCs w:val="22"/>
              </w:rPr>
            </w:pPr>
            <w:r w:rsidRPr="000675DF">
              <w:rPr>
                <w:i/>
                <w:sz w:val="22"/>
                <w:szCs w:val="22"/>
              </w:rPr>
              <w:t>Implement the Beetle Tactical Plan</w:t>
            </w:r>
          </w:p>
        </w:tc>
        <w:tc>
          <w:tcPr>
            <w:tcW w:w="4111" w:type="dxa"/>
          </w:tcPr>
          <w:p w:rsidR="00EF7E89" w:rsidRPr="000675DF" w:rsidRDefault="00EF7E89" w:rsidP="004C3028">
            <w:pPr>
              <w:rPr>
                <w:sz w:val="22"/>
                <w:szCs w:val="22"/>
              </w:rPr>
            </w:pPr>
            <w:r w:rsidRPr="000675DF">
              <w:rPr>
                <w:sz w:val="22"/>
                <w:szCs w:val="22"/>
              </w:rPr>
              <w:t>Fall/ Winter year 0/1</w:t>
            </w:r>
          </w:p>
        </w:tc>
        <w:tc>
          <w:tcPr>
            <w:tcW w:w="3260" w:type="dxa"/>
            <w:vAlign w:val="center"/>
          </w:tcPr>
          <w:p w:rsidR="00EF7E89" w:rsidRPr="000675DF" w:rsidRDefault="00EF7E89" w:rsidP="004C3028">
            <w:pPr>
              <w:rPr>
                <w:sz w:val="22"/>
                <w:szCs w:val="22"/>
              </w:rPr>
            </w:pPr>
            <w:r w:rsidRPr="000675DF">
              <w:rPr>
                <w:sz w:val="22"/>
                <w:szCs w:val="22"/>
              </w:rPr>
              <w:t>FLNRO District, Licensees</w:t>
            </w:r>
          </w:p>
        </w:tc>
      </w:tr>
      <w:tr w:rsidR="00EF7E89" w:rsidTr="00B45602">
        <w:tc>
          <w:tcPr>
            <w:tcW w:w="3227" w:type="dxa"/>
            <w:vAlign w:val="center"/>
          </w:tcPr>
          <w:p w:rsidR="00EF7E89" w:rsidRPr="000675DF" w:rsidRDefault="00EF7E89" w:rsidP="004C3028">
            <w:pPr>
              <w:rPr>
                <w:i/>
                <w:sz w:val="22"/>
                <w:szCs w:val="22"/>
              </w:rPr>
            </w:pPr>
            <w:r w:rsidRPr="000675DF">
              <w:rPr>
                <w:i/>
                <w:sz w:val="22"/>
                <w:szCs w:val="22"/>
              </w:rPr>
              <w:t>Evaluate effectiveness of practices and tactics; modify as necessary</w:t>
            </w:r>
          </w:p>
        </w:tc>
        <w:tc>
          <w:tcPr>
            <w:tcW w:w="4111" w:type="dxa"/>
          </w:tcPr>
          <w:p w:rsidR="00EF7E89" w:rsidRPr="000675DF" w:rsidRDefault="00EF7E89" w:rsidP="004C3028">
            <w:pPr>
              <w:rPr>
                <w:sz w:val="22"/>
                <w:szCs w:val="22"/>
              </w:rPr>
            </w:pPr>
            <w:r w:rsidRPr="000675DF">
              <w:rPr>
                <w:sz w:val="22"/>
                <w:szCs w:val="22"/>
              </w:rPr>
              <w:t>Jan-Feb,  year 1, then cycle begins again</w:t>
            </w:r>
          </w:p>
        </w:tc>
        <w:tc>
          <w:tcPr>
            <w:tcW w:w="3260" w:type="dxa"/>
            <w:vAlign w:val="center"/>
          </w:tcPr>
          <w:p w:rsidR="00EF7E89" w:rsidRPr="000675DF" w:rsidRDefault="00EF7E89" w:rsidP="004C3028">
            <w:pPr>
              <w:rPr>
                <w:sz w:val="22"/>
                <w:szCs w:val="22"/>
              </w:rPr>
            </w:pPr>
            <w:r w:rsidRPr="000675DF">
              <w:rPr>
                <w:sz w:val="22"/>
                <w:szCs w:val="22"/>
              </w:rPr>
              <w:t>FLNRO District &amp; Region, Licensees</w:t>
            </w:r>
          </w:p>
        </w:tc>
      </w:tr>
    </w:tbl>
    <w:p w:rsidR="003D7DC1" w:rsidRDefault="003D7DC1" w:rsidP="009A2CA2">
      <w:pPr>
        <w:autoSpaceDE w:val="0"/>
        <w:autoSpaceDN w:val="0"/>
        <w:adjustRightInd w:val="0"/>
        <w:spacing w:after="120"/>
        <w:rPr>
          <w:rFonts w:cstheme="minorHAnsi"/>
          <w:color w:val="000000"/>
          <w:sz w:val="22"/>
          <w:szCs w:val="22"/>
        </w:rPr>
      </w:pPr>
    </w:p>
    <w:p w:rsidR="00C16E4E" w:rsidRDefault="00C16E4E" w:rsidP="008B41AE">
      <w:pPr>
        <w:autoSpaceDE w:val="0"/>
        <w:autoSpaceDN w:val="0"/>
        <w:adjustRightInd w:val="0"/>
        <w:spacing w:after="120"/>
        <w:rPr>
          <w:b/>
          <w:i/>
        </w:rPr>
      </w:pPr>
      <w:r>
        <w:rPr>
          <w:b/>
          <w:i/>
        </w:rPr>
        <w:t xml:space="preserve">Tactic: </w:t>
      </w:r>
      <w:r w:rsidR="008A21A3">
        <w:rPr>
          <w:b/>
          <w:i/>
        </w:rPr>
        <w:t>Facilitate</w:t>
      </w:r>
      <w:r>
        <w:rPr>
          <w:b/>
          <w:i/>
        </w:rPr>
        <w:t xml:space="preserve"> modified fire response</w:t>
      </w:r>
    </w:p>
    <w:p w:rsidR="00C16E4E" w:rsidRDefault="00C16E4E" w:rsidP="00C16E4E">
      <w:pPr>
        <w:autoSpaceDE w:val="0"/>
        <w:autoSpaceDN w:val="0"/>
        <w:adjustRightInd w:val="0"/>
        <w:spacing w:after="120"/>
        <w:rPr>
          <w:rFonts w:eastAsiaTheme="minorHAnsi" w:cstheme="minorHAnsi"/>
          <w:sz w:val="22"/>
          <w:szCs w:val="22"/>
          <w:lang w:val="en-CA" w:bidi="ar-SA"/>
        </w:rPr>
      </w:pPr>
      <w:r w:rsidRPr="00C16E4E">
        <w:rPr>
          <w:rFonts w:eastAsiaTheme="minorHAnsi" w:cstheme="minorHAnsi"/>
          <w:sz w:val="22"/>
          <w:szCs w:val="22"/>
          <w:lang w:val="en-CA" w:bidi="ar-SA"/>
        </w:rPr>
        <w:t xml:space="preserve">In </w:t>
      </w:r>
      <w:proofErr w:type="spellStart"/>
      <w:r w:rsidRPr="00C16E4E">
        <w:rPr>
          <w:rFonts w:eastAsiaTheme="minorHAnsi" w:cstheme="minorHAnsi"/>
          <w:sz w:val="22"/>
          <w:szCs w:val="22"/>
          <w:lang w:val="en-CA" w:bidi="ar-SA"/>
        </w:rPr>
        <w:t>Bulkley</w:t>
      </w:r>
      <w:proofErr w:type="spellEnd"/>
      <w:r w:rsidRPr="00C16E4E">
        <w:rPr>
          <w:rFonts w:eastAsiaTheme="minorHAnsi" w:cstheme="minorHAnsi"/>
          <w:sz w:val="22"/>
          <w:szCs w:val="22"/>
          <w:lang w:val="en-CA" w:bidi="ar-SA"/>
        </w:rPr>
        <w:t xml:space="preserve"> TSA, </w:t>
      </w:r>
      <w:r w:rsidR="00FF4BA1">
        <w:rPr>
          <w:rFonts w:eastAsiaTheme="minorHAnsi" w:cstheme="minorHAnsi"/>
          <w:sz w:val="22"/>
          <w:szCs w:val="22"/>
          <w:lang w:val="en-CA" w:bidi="ar-SA"/>
        </w:rPr>
        <w:t xml:space="preserve">high-elevation balsam-leading forest is concentrated in ESSF subzones (ESSF mc, </w:t>
      </w:r>
      <w:proofErr w:type="spellStart"/>
      <w:proofErr w:type="gramStart"/>
      <w:r w:rsidR="00FF4BA1">
        <w:rPr>
          <w:rFonts w:eastAsiaTheme="minorHAnsi" w:cstheme="minorHAnsi"/>
          <w:sz w:val="22"/>
          <w:szCs w:val="22"/>
          <w:lang w:val="en-CA" w:bidi="ar-SA"/>
        </w:rPr>
        <w:t>wv</w:t>
      </w:r>
      <w:proofErr w:type="spellEnd"/>
      <w:proofErr w:type="gramEnd"/>
      <w:r w:rsidR="00FF4BA1">
        <w:rPr>
          <w:rFonts w:eastAsiaTheme="minorHAnsi" w:cstheme="minorHAnsi"/>
          <w:sz w:val="22"/>
          <w:szCs w:val="22"/>
          <w:lang w:val="en-CA" w:bidi="ar-SA"/>
        </w:rPr>
        <w:t>). D</w:t>
      </w:r>
      <w:r w:rsidRPr="00C16E4E">
        <w:rPr>
          <w:rFonts w:eastAsiaTheme="minorHAnsi" w:cstheme="minorHAnsi"/>
          <w:sz w:val="22"/>
          <w:szCs w:val="22"/>
          <w:lang w:val="en-CA" w:bidi="ar-SA"/>
        </w:rPr>
        <w:t xml:space="preserve">iligent fire suppression efforts have resulted in </w:t>
      </w:r>
      <w:r w:rsidR="0001796F">
        <w:rPr>
          <w:rFonts w:eastAsiaTheme="minorHAnsi" w:cstheme="minorHAnsi"/>
          <w:sz w:val="22"/>
          <w:szCs w:val="22"/>
          <w:lang w:val="en-CA" w:bidi="ar-SA"/>
        </w:rPr>
        <w:t>few and small</w:t>
      </w:r>
      <w:r w:rsidRPr="00C16E4E">
        <w:rPr>
          <w:rFonts w:eastAsiaTheme="minorHAnsi" w:cstheme="minorHAnsi"/>
          <w:sz w:val="22"/>
          <w:szCs w:val="22"/>
          <w:lang w:val="en-CA" w:bidi="ar-SA"/>
        </w:rPr>
        <w:t xml:space="preserve"> ESSF wildfires in the past</w:t>
      </w:r>
      <w:r w:rsidR="008A21A3">
        <w:rPr>
          <w:rFonts w:eastAsiaTheme="minorHAnsi" w:cstheme="minorHAnsi"/>
          <w:sz w:val="22"/>
          <w:szCs w:val="22"/>
          <w:lang w:val="en-CA" w:bidi="ar-SA"/>
        </w:rPr>
        <w:t xml:space="preserve"> 2</w:t>
      </w:r>
      <w:r w:rsidRPr="00C16E4E">
        <w:rPr>
          <w:rFonts w:eastAsiaTheme="minorHAnsi" w:cstheme="minorHAnsi"/>
          <w:sz w:val="22"/>
          <w:szCs w:val="22"/>
          <w:lang w:val="en-CA" w:bidi="ar-SA"/>
        </w:rPr>
        <w:t xml:space="preserve"> decades, despite an expectation </w:t>
      </w:r>
      <w:r w:rsidR="00FF4BA1">
        <w:rPr>
          <w:rFonts w:eastAsiaTheme="minorHAnsi" w:cstheme="minorHAnsi"/>
          <w:sz w:val="22"/>
          <w:szCs w:val="22"/>
          <w:lang w:val="en-CA" w:bidi="ar-SA"/>
        </w:rPr>
        <w:t>that</w:t>
      </w:r>
      <w:r w:rsidRPr="00C16E4E">
        <w:rPr>
          <w:rFonts w:eastAsiaTheme="minorHAnsi" w:cstheme="minorHAnsi"/>
          <w:sz w:val="22"/>
          <w:szCs w:val="22"/>
          <w:lang w:val="en-CA" w:bidi="ar-SA"/>
        </w:rPr>
        <w:t xml:space="preserve"> </w:t>
      </w:r>
      <w:proofErr w:type="spellStart"/>
      <w:r w:rsidRPr="00C16E4E">
        <w:rPr>
          <w:rFonts w:eastAsiaTheme="minorHAnsi" w:cstheme="minorHAnsi"/>
          <w:sz w:val="22"/>
          <w:szCs w:val="22"/>
          <w:lang w:val="en-CA" w:bidi="ar-SA"/>
        </w:rPr>
        <w:t>ESSFmc</w:t>
      </w:r>
      <w:proofErr w:type="spellEnd"/>
      <w:r w:rsidRPr="00C16E4E">
        <w:rPr>
          <w:rFonts w:eastAsiaTheme="minorHAnsi" w:cstheme="minorHAnsi"/>
          <w:sz w:val="22"/>
          <w:szCs w:val="22"/>
          <w:lang w:val="en-CA" w:bidi="ar-SA"/>
        </w:rPr>
        <w:t xml:space="preserve"> (comprising 28% of the THLB) </w:t>
      </w:r>
      <w:r w:rsidR="00FF4BA1">
        <w:rPr>
          <w:rFonts w:eastAsiaTheme="minorHAnsi" w:cstheme="minorHAnsi"/>
          <w:sz w:val="22"/>
          <w:szCs w:val="22"/>
          <w:lang w:val="en-CA" w:bidi="ar-SA"/>
        </w:rPr>
        <w:t>will see</w:t>
      </w:r>
      <w:r w:rsidRPr="00C16E4E">
        <w:rPr>
          <w:rFonts w:eastAsiaTheme="minorHAnsi" w:cstheme="minorHAnsi"/>
          <w:sz w:val="22"/>
          <w:szCs w:val="22"/>
          <w:lang w:val="en-CA" w:bidi="ar-SA"/>
        </w:rPr>
        <w:t xml:space="preserve"> 20-1000 ha wildfires </w:t>
      </w:r>
      <w:r w:rsidR="00FF4BA1">
        <w:rPr>
          <w:rFonts w:eastAsiaTheme="minorHAnsi" w:cstheme="minorHAnsi"/>
          <w:sz w:val="22"/>
          <w:szCs w:val="22"/>
          <w:lang w:val="en-CA" w:bidi="ar-SA"/>
        </w:rPr>
        <w:t xml:space="preserve">naturally </w:t>
      </w:r>
      <w:r w:rsidRPr="00C16E4E">
        <w:rPr>
          <w:rFonts w:eastAsiaTheme="minorHAnsi" w:cstheme="minorHAnsi"/>
          <w:sz w:val="22"/>
          <w:szCs w:val="22"/>
          <w:lang w:val="en-CA" w:bidi="ar-SA"/>
        </w:rPr>
        <w:t>recurring on a 200 year interval.</w:t>
      </w:r>
      <w:r w:rsidR="008A21A3">
        <w:rPr>
          <w:rFonts w:eastAsiaTheme="minorHAnsi" w:cstheme="minorHAnsi"/>
          <w:sz w:val="22"/>
          <w:szCs w:val="22"/>
          <w:lang w:val="en-CA" w:bidi="ar-SA"/>
        </w:rPr>
        <w:t xml:space="preserve"> </w:t>
      </w:r>
      <w:r w:rsidR="008A21A3" w:rsidRPr="00C16E4E">
        <w:rPr>
          <w:rFonts w:eastAsiaTheme="minorHAnsi" w:cstheme="minorHAnsi"/>
          <w:sz w:val="22"/>
          <w:szCs w:val="22"/>
          <w:lang w:val="en-CA" w:bidi="ar-SA"/>
        </w:rPr>
        <w:t>Large-scale wildfires can significantly aid efforts to suppress or slow the spread of landscape-wide</w:t>
      </w:r>
      <w:r w:rsidR="00FF4BA1">
        <w:rPr>
          <w:rFonts w:eastAsiaTheme="minorHAnsi" w:cstheme="minorHAnsi"/>
          <w:sz w:val="22"/>
          <w:szCs w:val="22"/>
          <w:lang w:val="en-CA" w:bidi="ar-SA"/>
        </w:rPr>
        <w:t xml:space="preserve"> pests such as IBB, as f</w:t>
      </w:r>
      <w:r w:rsidR="008A21A3" w:rsidRPr="00C16E4E">
        <w:rPr>
          <w:rFonts w:eastAsiaTheme="minorHAnsi" w:cstheme="minorHAnsi"/>
          <w:sz w:val="22"/>
          <w:szCs w:val="22"/>
          <w:lang w:val="en-CA" w:bidi="ar-SA"/>
        </w:rPr>
        <w:t>ires “sanitize” stands of their pests, and permit the establishment of young vigorous forest.</w:t>
      </w:r>
    </w:p>
    <w:p w:rsidR="008A21A3" w:rsidRPr="00C16E4E" w:rsidRDefault="008A21A3" w:rsidP="00C16E4E">
      <w:pPr>
        <w:autoSpaceDE w:val="0"/>
        <w:autoSpaceDN w:val="0"/>
        <w:adjustRightInd w:val="0"/>
        <w:spacing w:after="120"/>
        <w:rPr>
          <w:rFonts w:eastAsiaTheme="minorHAnsi" w:cstheme="minorHAnsi"/>
          <w:sz w:val="22"/>
          <w:szCs w:val="22"/>
          <w:lang w:val="en-CA" w:bidi="ar-SA"/>
        </w:rPr>
      </w:pPr>
      <w:r>
        <w:rPr>
          <w:rFonts w:eastAsiaTheme="minorHAnsi" w:cstheme="minorHAnsi"/>
          <w:sz w:val="22"/>
          <w:szCs w:val="22"/>
          <w:lang w:val="en-CA" w:bidi="ar-SA"/>
        </w:rPr>
        <w:t xml:space="preserve">The District and local Wildfire Management Branch (WMB) staff undertake </w:t>
      </w:r>
      <w:r w:rsidR="000675DF">
        <w:rPr>
          <w:rFonts w:eastAsiaTheme="minorHAnsi" w:cstheme="minorHAnsi"/>
          <w:sz w:val="22"/>
          <w:szCs w:val="22"/>
          <w:lang w:val="en-CA" w:bidi="ar-SA"/>
        </w:rPr>
        <w:t xml:space="preserve">an </w:t>
      </w:r>
      <w:r>
        <w:rPr>
          <w:rFonts w:eastAsiaTheme="minorHAnsi" w:cstheme="minorHAnsi"/>
          <w:sz w:val="22"/>
          <w:szCs w:val="22"/>
          <w:lang w:val="en-CA" w:bidi="ar-SA"/>
        </w:rPr>
        <w:t xml:space="preserve">annual update to the </w:t>
      </w:r>
      <w:r w:rsidR="000675DF">
        <w:rPr>
          <w:rFonts w:eastAsiaTheme="minorHAnsi" w:cstheme="minorHAnsi"/>
          <w:sz w:val="22"/>
          <w:szCs w:val="22"/>
          <w:lang w:val="en-CA" w:bidi="ar-SA"/>
        </w:rPr>
        <w:t>DSS</w:t>
      </w:r>
      <w:r>
        <w:rPr>
          <w:rFonts w:eastAsiaTheme="minorHAnsi" w:cstheme="minorHAnsi"/>
          <w:sz w:val="22"/>
          <w:szCs w:val="22"/>
          <w:lang w:val="en-CA" w:bidi="ar-SA"/>
        </w:rPr>
        <w:t xml:space="preserve"> Fire Management Plan, which advises WMB’s </w:t>
      </w:r>
      <w:r w:rsidR="00FF4BA1">
        <w:rPr>
          <w:rFonts w:eastAsiaTheme="minorHAnsi" w:cstheme="minorHAnsi"/>
          <w:sz w:val="22"/>
          <w:szCs w:val="22"/>
          <w:lang w:val="en-CA" w:bidi="ar-SA"/>
        </w:rPr>
        <w:t xml:space="preserve">initial </w:t>
      </w:r>
      <w:r>
        <w:rPr>
          <w:rFonts w:eastAsiaTheme="minorHAnsi" w:cstheme="minorHAnsi"/>
          <w:sz w:val="22"/>
          <w:szCs w:val="22"/>
          <w:lang w:val="en-CA" w:bidi="ar-SA"/>
        </w:rPr>
        <w:t xml:space="preserve">fire response. Response can range from full suppression, to modified approaches where fires are monitored but permitted to burn. District intent is to </w:t>
      </w:r>
      <w:r w:rsidR="00FF4BA1">
        <w:rPr>
          <w:rFonts w:eastAsiaTheme="minorHAnsi" w:cstheme="minorHAnsi"/>
          <w:sz w:val="22"/>
          <w:szCs w:val="22"/>
          <w:lang w:val="en-CA" w:bidi="ar-SA"/>
        </w:rPr>
        <w:t>ensure inclusion of</w:t>
      </w:r>
      <w:r>
        <w:rPr>
          <w:rFonts w:eastAsiaTheme="minorHAnsi" w:cstheme="minorHAnsi"/>
          <w:sz w:val="22"/>
          <w:szCs w:val="22"/>
          <w:lang w:val="en-CA" w:bidi="ar-SA"/>
        </w:rPr>
        <w:t xml:space="preserve"> low-risk </w:t>
      </w:r>
      <w:proofErr w:type="spellStart"/>
      <w:r>
        <w:rPr>
          <w:rFonts w:eastAsiaTheme="minorHAnsi" w:cstheme="minorHAnsi"/>
          <w:sz w:val="22"/>
          <w:szCs w:val="22"/>
          <w:lang w:val="en-CA" w:bidi="ar-SA"/>
        </w:rPr>
        <w:t>Bulkley</w:t>
      </w:r>
      <w:proofErr w:type="spellEnd"/>
      <w:r>
        <w:rPr>
          <w:rFonts w:eastAsiaTheme="minorHAnsi" w:cstheme="minorHAnsi"/>
          <w:sz w:val="22"/>
          <w:szCs w:val="22"/>
          <w:lang w:val="en-CA" w:bidi="ar-SA"/>
        </w:rPr>
        <w:t xml:space="preserve"> ESSF balsam-leading forests in the Modified Response zone.</w:t>
      </w:r>
    </w:p>
    <w:p w:rsidR="008B41AE" w:rsidRDefault="008B41AE" w:rsidP="00FF4BA1">
      <w:pPr>
        <w:autoSpaceDE w:val="0"/>
        <w:autoSpaceDN w:val="0"/>
        <w:adjustRightInd w:val="0"/>
        <w:spacing w:before="240" w:after="120"/>
        <w:rPr>
          <w:b/>
          <w:i/>
        </w:rPr>
      </w:pPr>
      <w:r>
        <w:rPr>
          <w:b/>
          <w:i/>
        </w:rPr>
        <w:t>Tactic</w:t>
      </w:r>
      <w:r w:rsidRPr="00550C3B">
        <w:rPr>
          <w:b/>
          <w:i/>
        </w:rPr>
        <w:t xml:space="preserve">: </w:t>
      </w:r>
      <w:r>
        <w:rPr>
          <w:b/>
          <w:i/>
        </w:rPr>
        <w:t>Identi</w:t>
      </w:r>
      <w:r w:rsidR="005A0763">
        <w:rPr>
          <w:b/>
          <w:i/>
        </w:rPr>
        <w:t>fy “aggressive” management area</w:t>
      </w:r>
    </w:p>
    <w:p w:rsidR="007603FD" w:rsidRPr="005A0763" w:rsidRDefault="008D72E4" w:rsidP="008D72E4">
      <w:pPr>
        <w:spacing w:after="120"/>
        <w:rPr>
          <w:sz w:val="22"/>
          <w:szCs w:val="22"/>
        </w:rPr>
      </w:pPr>
      <w:r w:rsidRPr="005A0763">
        <w:rPr>
          <w:sz w:val="22"/>
          <w:szCs w:val="22"/>
        </w:rPr>
        <w:t xml:space="preserve">In the absence of a designated Emergency Bark Beetle Management Area (EBBMA), the DDM has </w:t>
      </w:r>
      <w:r w:rsidR="005A0763">
        <w:rPr>
          <w:sz w:val="22"/>
          <w:szCs w:val="22"/>
        </w:rPr>
        <w:t xml:space="preserve">new </w:t>
      </w:r>
      <w:r w:rsidRPr="005A0763">
        <w:rPr>
          <w:sz w:val="22"/>
          <w:szCs w:val="22"/>
        </w:rPr>
        <w:t>authority to identify “aggressive” management areas for control of bark beetles</w:t>
      </w:r>
      <w:r w:rsidR="007603FD" w:rsidRPr="005A0763">
        <w:rPr>
          <w:sz w:val="22"/>
          <w:szCs w:val="22"/>
        </w:rPr>
        <w:t>, typically for mountain pine beetle, spruce beetle and Douglas-fir beetle but not specifically excluding IBB.</w:t>
      </w:r>
    </w:p>
    <w:p w:rsidR="008D72E4" w:rsidRPr="005A0763" w:rsidRDefault="008D72E4" w:rsidP="008D72E4">
      <w:pPr>
        <w:spacing w:after="120"/>
        <w:rPr>
          <w:sz w:val="22"/>
          <w:szCs w:val="22"/>
        </w:rPr>
      </w:pPr>
      <w:r w:rsidRPr="005A0763">
        <w:rPr>
          <w:sz w:val="22"/>
          <w:szCs w:val="22"/>
        </w:rPr>
        <w:t xml:space="preserve">Within </w:t>
      </w:r>
      <w:r w:rsidR="005F4E96" w:rsidRPr="005A0763">
        <w:rPr>
          <w:sz w:val="22"/>
          <w:szCs w:val="22"/>
        </w:rPr>
        <w:t>an</w:t>
      </w:r>
      <w:r w:rsidR="00AF3B47" w:rsidRPr="005A0763">
        <w:rPr>
          <w:sz w:val="22"/>
          <w:szCs w:val="22"/>
        </w:rPr>
        <w:t xml:space="preserve"> “aggressive” management area for IBB,</w:t>
      </w:r>
      <w:r w:rsidRPr="005A0763">
        <w:rPr>
          <w:sz w:val="22"/>
          <w:szCs w:val="22"/>
        </w:rPr>
        <w:t xml:space="preserve"> the DDM will be generally supportive of client applications for blanket salvage permits for harvest of dead and damaged </w:t>
      </w:r>
      <w:r w:rsidR="005F4E96" w:rsidRPr="005A0763">
        <w:rPr>
          <w:sz w:val="22"/>
          <w:szCs w:val="22"/>
        </w:rPr>
        <w:t xml:space="preserve">subalpine and </w:t>
      </w:r>
      <w:proofErr w:type="spellStart"/>
      <w:r w:rsidR="005F4E96" w:rsidRPr="005A0763">
        <w:rPr>
          <w:sz w:val="22"/>
          <w:szCs w:val="22"/>
        </w:rPr>
        <w:t>amabilis</w:t>
      </w:r>
      <w:proofErr w:type="spellEnd"/>
      <w:r w:rsidR="005F4E96" w:rsidRPr="005A0763">
        <w:rPr>
          <w:sz w:val="22"/>
          <w:szCs w:val="22"/>
        </w:rPr>
        <w:t xml:space="preserve"> fir</w:t>
      </w:r>
      <w:r w:rsidRPr="005A0763">
        <w:rPr>
          <w:sz w:val="22"/>
          <w:szCs w:val="22"/>
        </w:rPr>
        <w:t xml:space="preserve"> </w:t>
      </w:r>
      <w:r w:rsidR="00C61B5A">
        <w:rPr>
          <w:sz w:val="22"/>
          <w:szCs w:val="22"/>
        </w:rPr>
        <w:t xml:space="preserve">(including </w:t>
      </w:r>
      <w:r w:rsidRPr="005A0763">
        <w:rPr>
          <w:sz w:val="22"/>
          <w:szCs w:val="22"/>
        </w:rPr>
        <w:t xml:space="preserve">access to Interior Appraisal Manual </w:t>
      </w:r>
      <w:r w:rsidR="007603FD" w:rsidRPr="005A0763">
        <w:rPr>
          <w:sz w:val="22"/>
          <w:szCs w:val="22"/>
        </w:rPr>
        <w:t xml:space="preserve">Table 6-4 </w:t>
      </w:r>
      <w:proofErr w:type="spellStart"/>
      <w:r w:rsidR="005F4E96" w:rsidRPr="005A0763">
        <w:rPr>
          <w:sz w:val="22"/>
          <w:szCs w:val="22"/>
        </w:rPr>
        <w:t>sawlog</w:t>
      </w:r>
      <w:proofErr w:type="spellEnd"/>
      <w:r w:rsidR="005F4E96" w:rsidRPr="005A0763">
        <w:rPr>
          <w:sz w:val="22"/>
          <w:szCs w:val="22"/>
        </w:rPr>
        <w:t xml:space="preserve"> </w:t>
      </w:r>
      <w:r w:rsidR="00AF3B47" w:rsidRPr="005A0763">
        <w:rPr>
          <w:bCs/>
          <w:sz w:val="22"/>
          <w:szCs w:val="22"/>
        </w:rPr>
        <w:t xml:space="preserve">stumpage rates for salvage of damaged </w:t>
      </w:r>
      <w:r w:rsidR="00C61B5A">
        <w:rPr>
          <w:bCs/>
          <w:sz w:val="22"/>
          <w:szCs w:val="22"/>
        </w:rPr>
        <w:t xml:space="preserve">timber) </w:t>
      </w:r>
      <w:r w:rsidRPr="005A0763">
        <w:rPr>
          <w:sz w:val="22"/>
          <w:szCs w:val="22"/>
        </w:rPr>
        <w:t xml:space="preserve">and/or for the use of the comparative cruise option. </w:t>
      </w:r>
    </w:p>
    <w:p w:rsidR="008D72E4" w:rsidRPr="005A0763" w:rsidRDefault="008D72E4" w:rsidP="008D72E4">
      <w:pPr>
        <w:spacing w:after="120"/>
        <w:rPr>
          <w:sz w:val="22"/>
          <w:szCs w:val="22"/>
        </w:rPr>
      </w:pPr>
      <w:r w:rsidRPr="005A0763">
        <w:rPr>
          <w:sz w:val="22"/>
          <w:szCs w:val="22"/>
        </w:rPr>
        <w:t xml:space="preserve">Consistent with the July 2014 FLNRO Deputy Minister memorandum regarding Blanket Salvage Cutting Permits </w:t>
      </w:r>
      <w:hyperlink r:id="rId10" w:history="1">
        <w:r w:rsidRPr="005A0763">
          <w:rPr>
            <w:rStyle w:val="Hyperlink"/>
            <w:color w:val="FF0000"/>
            <w:sz w:val="22"/>
            <w:szCs w:val="22"/>
          </w:rPr>
          <w:t>https://www.for.gov.bc.ca/ftp/HTH/external/!publish/web/timber-tenures/BSP/Memo-july-3-2014.pdf</w:t>
        </w:r>
      </w:hyperlink>
      <w:r w:rsidRPr="005A0763">
        <w:rPr>
          <w:sz w:val="22"/>
          <w:szCs w:val="22"/>
        </w:rPr>
        <w:t xml:space="preserve">, the DDM will also consider case by case approval of </w:t>
      </w:r>
      <w:r w:rsidR="00AF3B47" w:rsidRPr="005A0763">
        <w:rPr>
          <w:sz w:val="22"/>
          <w:szCs w:val="22"/>
        </w:rPr>
        <w:t>client</w:t>
      </w:r>
      <w:r w:rsidRPr="005A0763">
        <w:rPr>
          <w:sz w:val="22"/>
          <w:szCs w:val="22"/>
        </w:rPr>
        <w:t xml:space="preserve"> application for blanket salvage permits to harvest dead or damaged timber outside the “aggressive” management area, where it can be established that the timber cannot logically be added to an approved or potentially planned harvesting opportunity.</w:t>
      </w:r>
    </w:p>
    <w:p w:rsidR="006C28E0" w:rsidRPr="005A0763" w:rsidRDefault="00AF3B47" w:rsidP="008B41AE">
      <w:pPr>
        <w:autoSpaceDE w:val="0"/>
        <w:autoSpaceDN w:val="0"/>
        <w:adjustRightInd w:val="0"/>
        <w:spacing w:after="120"/>
        <w:rPr>
          <w:sz w:val="22"/>
          <w:szCs w:val="22"/>
        </w:rPr>
      </w:pPr>
      <w:r w:rsidRPr="005A0763">
        <w:rPr>
          <w:sz w:val="22"/>
          <w:szCs w:val="22"/>
        </w:rPr>
        <w:t xml:space="preserve">The District Forest Health Strategy as annually updated will be the vehicle used by the DDM to communicate the extent of an IBB “aggressive” management area. </w:t>
      </w:r>
      <w:r w:rsidRPr="00001EBA">
        <w:rPr>
          <w:b/>
          <w:sz w:val="22"/>
          <w:szCs w:val="22"/>
          <w:u w:val="single"/>
        </w:rPr>
        <w:t>The 2015/16 extent is set to [</w:t>
      </w:r>
      <w:r w:rsidR="0099003B">
        <w:rPr>
          <w:b/>
          <w:sz w:val="22"/>
          <w:szCs w:val="22"/>
          <w:u w:val="single"/>
        </w:rPr>
        <w:t xml:space="preserve">Timber Harvesting </w:t>
      </w:r>
      <w:proofErr w:type="spellStart"/>
      <w:r w:rsidR="0099003B">
        <w:rPr>
          <w:b/>
          <w:sz w:val="22"/>
          <w:szCs w:val="22"/>
          <w:u w:val="single"/>
        </w:rPr>
        <w:t>Landbase</w:t>
      </w:r>
      <w:proofErr w:type="spellEnd"/>
      <w:r w:rsidR="0099003B">
        <w:rPr>
          <w:b/>
          <w:sz w:val="22"/>
          <w:szCs w:val="22"/>
          <w:u w:val="single"/>
        </w:rPr>
        <w:t xml:space="preserve"> (THLB) </w:t>
      </w:r>
      <w:r w:rsidRPr="00001EBA">
        <w:rPr>
          <w:b/>
          <w:sz w:val="22"/>
          <w:szCs w:val="22"/>
          <w:u w:val="single"/>
        </w:rPr>
        <w:t xml:space="preserve">within the ESSF </w:t>
      </w:r>
      <w:proofErr w:type="spellStart"/>
      <w:r w:rsidRPr="00001EBA">
        <w:rPr>
          <w:b/>
          <w:sz w:val="22"/>
          <w:szCs w:val="22"/>
          <w:u w:val="single"/>
        </w:rPr>
        <w:t>biogeoclimatic</w:t>
      </w:r>
      <w:proofErr w:type="spellEnd"/>
      <w:r w:rsidRPr="00001EBA">
        <w:rPr>
          <w:b/>
          <w:sz w:val="22"/>
          <w:szCs w:val="22"/>
          <w:u w:val="single"/>
        </w:rPr>
        <w:t xml:space="preserve"> zone </w:t>
      </w:r>
      <w:r w:rsidR="005F4E96" w:rsidRPr="00001EBA">
        <w:rPr>
          <w:b/>
          <w:sz w:val="22"/>
          <w:szCs w:val="22"/>
          <w:u w:val="single"/>
        </w:rPr>
        <w:t xml:space="preserve">of </w:t>
      </w:r>
      <w:proofErr w:type="spellStart"/>
      <w:r w:rsidR="005F4E96" w:rsidRPr="00001EBA">
        <w:rPr>
          <w:b/>
          <w:sz w:val="22"/>
          <w:szCs w:val="22"/>
          <w:u w:val="single"/>
        </w:rPr>
        <w:t>Bulkley</w:t>
      </w:r>
      <w:proofErr w:type="spellEnd"/>
      <w:r w:rsidR="005F4E96" w:rsidRPr="00001EBA">
        <w:rPr>
          <w:b/>
          <w:sz w:val="22"/>
          <w:szCs w:val="22"/>
          <w:u w:val="single"/>
        </w:rPr>
        <w:t xml:space="preserve"> TSA]</w:t>
      </w:r>
      <w:r w:rsidR="005F4E96" w:rsidRPr="00001EBA">
        <w:rPr>
          <w:sz w:val="22"/>
          <w:szCs w:val="22"/>
        </w:rPr>
        <w:t xml:space="preserve">, </w:t>
      </w:r>
      <w:r w:rsidR="005F4E96" w:rsidRPr="005A0763">
        <w:rPr>
          <w:sz w:val="22"/>
          <w:szCs w:val="22"/>
        </w:rPr>
        <w:t>for the following reasons:</w:t>
      </w:r>
    </w:p>
    <w:p w:rsidR="00001EBA" w:rsidRPr="009D0141" w:rsidRDefault="005A0763" w:rsidP="009D0141">
      <w:pPr>
        <w:pStyle w:val="ListParagraph"/>
        <w:numPr>
          <w:ilvl w:val="0"/>
          <w:numId w:val="6"/>
        </w:numPr>
        <w:autoSpaceDE w:val="0"/>
        <w:autoSpaceDN w:val="0"/>
        <w:adjustRightInd w:val="0"/>
        <w:spacing w:after="120"/>
        <w:rPr>
          <w:sz w:val="22"/>
          <w:szCs w:val="22"/>
        </w:rPr>
      </w:pPr>
      <w:r w:rsidRPr="009D0141">
        <w:rPr>
          <w:sz w:val="22"/>
          <w:szCs w:val="22"/>
        </w:rPr>
        <w:t>The largest concentration of</w:t>
      </w:r>
      <w:r w:rsidR="005F4E96" w:rsidRPr="009D0141">
        <w:rPr>
          <w:sz w:val="22"/>
          <w:szCs w:val="22"/>
        </w:rPr>
        <w:t xml:space="preserve"> forest susceptible to IBB </w:t>
      </w:r>
      <w:r w:rsidRPr="009D0141">
        <w:rPr>
          <w:sz w:val="22"/>
          <w:szCs w:val="22"/>
        </w:rPr>
        <w:t>is</w:t>
      </w:r>
      <w:r w:rsidR="005F4E96" w:rsidRPr="009D0141">
        <w:rPr>
          <w:sz w:val="22"/>
          <w:szCs w:val="22"/>
        </w:rPr>
        <w:t xml:space="preserve"> present in the ESSF</w:t>
      </w:r>
      <w:r w:rsidR="00001EBA" w:rsidRPr="009D0141">
        <w:rPr>
          <w:sz w:val="22"/>
          <w:szCs w:val="22"/>
        </w:rPr>
        <w:t>;</w:t>
      </w:r>
      <w:r w:rsidRPr="009D0141">
        <w:rPr>
          <w:sz w:val="22"/>
          <w:szCs w:val="22"/>
        </w:rPr>
        <w:t xml:space="preserve"> </w:t>
      </w:r>
    </w:p>
    <w:p w:rsidR="005F4E96" w:rsidRPr="009D0141" w:rsidRDefault="00001EBA" w:rsidP="009D0141">
      <w:pPr>
        <w:pStyle w:val="ListParagraph"/>
        <w:numPr>
          <w:ilvl w:val="0"/>
          <w:numId w:val="6"/>
        </w:numPr>
        <w:autoSpaceDE w:val="0"/>
        <w:autoSpaceDN w:val="0"/>
        <w:adjustRightInd w:val="0"/>
        <w:spacing w:after="120"/>
        <w:rPr>
          <w:sz w:val="22"/>
          <w:szCs w:val="22"/>
        </w:rPr>
      </w:pPr>
      <w:r w:rsidRPr="009D0141">
        <w:rPr>
          <w:sz w:val="22"/>
          <w:szCs w:val="22"/>
        </w:rPr>
        <w:t>H</w:t>
      </w:r>
      <w:r w:rsidR="005A0763" w:rsidRPr="009D0141">
        <w:rPr>
          <w:sz w:val="22"/>
          <w:szCs w:val="22"/>
        </w:rPr>
        <w:t xml:space="preserve">istoric and </w:t>
      </w:r>
      <w:r w:rsidR="005F4E96" w:rsidRPr="009D0141">
        <w:rPr>
          <w:sz w:val="22"/>
          <w:szCs w:val="22"/>
        </w:rPr>
        <w:t xml:space="preserve">current IBB incidence is </w:t>
      </w:r>
      <w:r w:rsidR="00E27D97">
        <w:rPr>
          <w:sz w:val="22"/>
          <w:szCs w:val="22"/>
        </w:rPr>
        <w:t>strongly</w:t>
      </w:r>
      <w:r w:rsidR="005F4E96" w:rsidRPr="009D0141">
        <w:rPr>
          <w:sz w:val="22"/>
          <w:szCs w:val="22"/>
        </w:rPr>
        <w:t xml:space="preserve"> associated with</w:t>
      </w:r>
      <w:r w:rsidR="00C61B5A">
        <w:rPr>
          <w:sz w:val="22"/>
          <w:szCs w:val="22"/>
        </w:rPr>
        <w:t xml:space="preserve"> the</w:t>
      </w:r>
      <w:r w:rsidR="005F4E96" w:rsidRPr="009D0141">
        <w:rPr>
          <w:sz w:val="22"/>
          <w:szCs w:val="22"/>
        </w:rPr>
        <w:t xml:space="preserve"> ESSF</w:t>
      </w:r>
      <w:r w:rsidRPr="009D0141">
        <w:rPr>
          <w:sz w:val="22"/>
          <w:szCs w:val="22"/>
        </w:rPr>
        <w:t>;</w:t>
      </w:r>
    </w:p>
    <w:p w:rsidR="00C61B5A" w:rsidRDefault="005A0763" w:rsidP="00FF4BA1">
      <w:pPr>
        <w:pStyle w:val="ListParagraph"/>
        <w:numPr>
          <w:ilvl w:val="0"/>
          <w:numId w:val="6"/>
        </w:numPr>
        <w:autoSpaceDE w:val="0"/>
        <w:autoSpaceDN w:val="0"/>
        <w:adjustRightInd w:val="0"/>
        <w:spacing w:after="120"/>
        <w:ind w:left="357" w:hanging="357"/>
        <w:contextualSpacing w:val="0"/>
        <w:rPr>
          <w:sz w:val="22"/>
          <w:szCs w:val="22"/>
        </w:rPr>
      </w:pPr>
      <w:proofErr w:type="spellStart"/>
      <w:r w:rsidRPr="00C61B5A">
        <w:rPr>
          <w:sz w:val="22"/>
          <w:szCs w:val="22"/>
        </w:rPr>
        <w:t>Bulkley</w:t>
      </w:r>
      <w:proofErr w:type="spellEnd"/>
      <w:r w:rsidRPr="00C61B5A">
        <w:rPr>
          <w:sz w:val="22"/>
          <w:szCs w:val="22"/>
        </w:rPr>
        <w:t xml:space="preserve"> TSA is unique amongst </w:t>
      </w:r>
      <w:r w:rsidR="0039514A" w:rsidRPr="00C61B5A">
        <w:rPr>
          <w:sz w:val="22"/>
          <w:szCs w:val="22"/>
        </w:rPr>
        <w:t>the TSA’s managed by DSS</w:t>
      </w:r>
      <w:r w:rsidRPr="00C61B5A">
        <w:rPr>
          <w:sz w:val="22"/>
          <w:szCs w:val="22"/>
        </w:rPr>
        <w:t xml:space="preserve"> in that it</w:t>
      </w:r>
      <w:r w:rsidR="00234172" w:rsidRPr="00C61B5A">
        <w:rPr>
          <w:sz w:val="22"/>
          <w:szCs w:val="22"/>
        </w:rPr>
        <w:t>s Allowable Annual Cut (AAC) includes</w:t>
      </w:r>
      <w:r w:rsidRPr="00C61B5A">
        <w:rPr>
          <w:sz w:val="22"/>
          <w:szCs w:val="22"/>
        </w:rPr>
        <w:t xml:space="preserve"> a quality-based </w:t>
      </w:r>
      <w:r w:rsidR="00001EBA" w:rsidRPr="00C61B5A">
        <w:rPr>
          <w:sz w:val="22"/>
          <w:szCs w:val="22"/>
        </w:rPr>
        <w:t>partition: t</w:t>
      </w:r>
      <w:r w:rsidR="00234172" w:rsidRPr="00C61B5A">
        <w:rPr>
          <w:sz w:val="22"/>
          <w:szCs w:val="22"/>
        </w:rPr>
        <w:t xml:space="preserve">he </w:t>
      </w:r>
      <w:r w:rsidR="0039514A" w:rsidRPr="00C61B5A">
        <w:rPr>
          <w:sz w:val="22"/>
          <w:szCs w:val="22"/>
        </w:rPr>
        <w:t xml:space="preserve">852 000 </w:t>
      </w:r>
      <w:r w:rsidR="00234172" w:rsidRPr="00C61B5A">
        <w:rPr>
          <w:sz w:val="22"/>
          <w:szCs w:val="22"/>
        </w:rPr>
        <w:t>m3/year overall AAC</w:t>
      </w:r>
      <w:r w:rsidR="0039514A" w:rsidRPr="00C61B5A">
        <w:rPr>
          <w:sz w:val="22"/>
          <w:szCs w:val="22"/>
        </w:rPr>
        <w:t xml:space="preserve"> </w:t>
      </w:r>
      <w:r w:rsidR="00234172" w:rsidRPr="00C61B5A">
        <w:rPr>
          <w:sz w:val="22"/>
          <w:szCs w:val="22"/>
        </w:rPr>
        <w:t>has a partition of 502,</w:t>
      </w:r>
      <w:r w:rsidR="0039514A" w:rsidRPr="00C61B5A">
        <w:rPr>
          <w:sz w:val="22"/>
          <w:szCs w:val="22"/>
        </w:rPr>
        <w:t xml:space="preserve">700 </w:t>
      </w:r>
      <w:r w:rsidR="00234172" w:rsidRPr="00C61B5A">
        <w:rPr>
          <w:sz w:val="22"/>
          <w:szCs w:val="22"/>
        </w:rPr>
        <w:t xml:space="preserve">m3/year </w:t>
      </w:r>
      <w:r w:rsidR="0039514A" w:rsidRPr="00C61B5A">
        <w:rPr>
          <w:sz w:val="22"/>
          <w:szCs w:val="22"/>
        </w:rPr>
        <w:t xml:space="preserve">attributable to </w:t>
      </w:r>
      <w:proofErr w:type="spellStart"/>
      <w:r w:rsidR="0039514A" w:rsidRPr="00C61B5A">
        <w:rPr>
          <w:sz w:val="22"/>
          <w:szCs w:val="22"/>
        </w:rPr>
        <w:t>sawlog</w:t>
      </w:r>
      <w:proofErr w:type="spellEnd"/>
      <w:r w:rsidR="0039514A" w:rsidRPr="00C61B5A">
        <w:rPr>
          <w:sz w:val="22"/>
          <w:szCs w:val="22"/>
        </w:rPr>
        <w:t xml:space="preserve"> stan</w:t>
      </w:r>
      <w:r w:rsidR="00234172" w:rsidRPr="00C61B5A">
        <w:rPr>
          <w:sz w:val="22"/>
          <w:szCs w:val="22"/>
        </w:rPr>
        <w:t>d</w:t>
      </w:r>
      <w:r w:rsidR="00624656" w:rsidRPr="00C61B5A">
        <w:rPr>
          <w:sz w:val="22"/>
          <w:szCs w:val="22"/>
        </w:rPr>
        <w:t xml:space="preserve"> type</w:t>
      </w:r>
      <w:r w:rsidR="00234172" w:rsidRPr="00C61B5A">
        <w:rPr>
          <w:sz w:val="22"/>
          <w:szCs w:val="22"/>
        </w:rPr>
        <w:t xml:space="preserve">s. Remaining </w:t>
      </w:r>
      <w:r w:rsidR="009D0141" w:rsidRPr="00C61B5A">
        <w:rPr>
          <w:sz w:val="22"/>
          <w:szCs w:val="22"/>
        </w:rPr>
        <w:t>AAC harvest</w:t>
      </w:r>
      <w:r w:rsidR="00624656" w:rsidRPr="00C61B5A">
        <w:rPr>
          <w:sz w:val="22"/>
          <w:szCs w:val="22"/>
        </w:rPr>
        <w:t xml:space="preserve"> </w:t>
      </w:r>
      <w:r w:rsidR="002B7A78" w:rsidRPr="00C61B5A">
        <w:rPr>
          <w:sz w:val="22"/>
          <w:szCs w:val="22"/>
        </w:rPr>
        <w:t>must</w:t>
      </w:r>
      <w:r w:rsidR="00234172" w:rsidRPr="00C61B5A">
        <w:rPr>
          <w:sz w:val="22"/>
          <w:szCs w:val="22"/>
        </w:rPr>
        <w:t xml:space="preserve"> </w:t>
      </w:r>
      <w:r w:rsidR="00624656" w:rsidRPr="00C61B5A">
        <w:rPr>
          <w:sz w:val="22"/>
          <w:szCs w:val="22"/>
        </w:rPr>
        <w:t>be from</w:t>
      </w:r>
      <w:r w:rsidR="00234172" w:rsidRPr="00C61B5A">
        <w:rPr>
          <w:sz w:val="22"/>
          <w:szCs w:val="22"/>
        </w:rPr>
        <w:t xml:space="preserve"> </w:t>
      </w:r>
      <w:r w:rsidR="00624656" w:rsidRPr="00C61B5A">
        <w:rPr>
          <w:sz w:val="22"/>
          <w:szCs w:val="22"/>
        </w:rPr>
        <w:t>stand types</w:t>
      </w:r>
      <w:r w:rsidR="00234172" w:rsidRPr="00C61B5A">
        <w:rPr>
          <w:sz w:val="22"/>
          <w:szCs w:val="22"/>
        </w:rPr>
        <w:t xml:space="preserve"> characterized as “marginal </w:t>
      </w:r>
      <w:proofErr w:type="spellStart"/>
      <w:r w:rsidR="00234172" w:rsidRPr="00C61B5A">
        <w:rPr>
          <w:sz w:val="22"/>
          <w:szCs w:val="22"/>
        </w:rPr>
        <w:t>sawlog</w:t>
      </w:r>
      <w:proofErr w:type="spellEnd"/>
      <w:r w:rsidR="00234172" w:rsidRPr="00C61B5A">
        <w:rPr>
          <w:sz w:val="22"/>
          <w:szCs w:val="22"/>
        </w:rPr>
        <w:t>” or “pulp” quality.</w:t>
      </w:r>
      <w:r w:rsidR="00A00BA0" w:rsidRPr="00C61B5A">
        <w:rPr>
          <w:sz w:val="22"/>
          <w:szCs w:val="22"/>
        </w:rPr>
        <w:t xml:space="preserve"> </w:t>
      </w:r>
    </w:p>
    <w:p w:rsidR="009D0141" w:rsidRPr="00C61B5A" w:rsidRDefault="00A00BA0" w:rsidP="00A1011C">
      <w:pPr>
        <w:pStyle w:val="ListParagraph"/>
        <w:numPr>
          <w:ilvl w:val="1"/>
          <w:numId w:val="6"/>
        </w:numPr>
        <w:autoSpaceDE w:val="0"/>
        <w:autoSpaceDN w:val="0"/>
        <w:adjustRightInd w:val="0"/>
        <w:spacing w:after="120"/>
        <w:ind w:left="567"/>
        <w:rPr>
          <w:sz w:val="22"/>
          <w:szCs w:val="22"/>
        </w:rPr>
      </w:pPr>
      <w:r w:rsidRPr="00C61B5A">
        <w:rPr>
          <w:sz w:val="22"/>
          <w:szCs w:val="22"/>
        </w:rPr>
        <w:t>There is a concentration of these types in the ESSF</w:t>
      </w:r>
      <w:r w:rsidR="00C61B5A" w:rsidRPr="00C61B5A">
        <w:rPr>
          <w:sz w:val="22"/>
          <w:szCs w:val="22"/>
        </w:rPr>
        <w:t xml:space="preserve">, including </w:t>
      </w:r>
      <w:r w:rsidR="00C61B5A" w:rsidRPr="00C61B5A">
        <w:rPr>
          <w:rFonts w:cstheme="minorHAnsi"/>
          <w:sz w:val="22"/>
          <w:szCs w:val="22"/>
        </w:rPr>
        <w:t>stands that have been subject to recurrent IBB infestation</w:t>
      </w:r>
      <w:r w:rsidRPr="00C61B5A">
        <w:rPr>
          <w:sz w:val="22"/>
          <w:szCs w:val="22"/>
        </w:rPr>
        <w:t>.</w:t>
      </w:r>
      <w:r w:rsidR="00234172" w:rsidRPr="00C61B5A">
        <w:rPr>
          <w:sz w:val="22"/>
          <w:szCs w:val="22"/>
        </w:rPr>
        <w:t xml:space="preserve"> </w:t>
      </w:r>
    </w:p>
    <w:p w:rsidR="009D0141" w:rsidRPr="009D0141" w:rsidRDefault="00A00BA0" w:rsidP="00A1011C">
      <w:pPr>
        <w:pStyle w:val="ListParagraph"/>
        <w:numPr>
          <w:ilvl w:val="1"/>
          <w:numId w:val="6"/>
        </w:numPr>
        <w:autoSpaceDE w:val="0"/>
        <w:autoSpaceDN w:val="0"/>
        <w:adjustRightInd w:val="0"/>
        <w:spacing w:after="120"/>
        <w:ind w:left="567"/>
        <w:rPr>
          <w:sz w:val="22"/>
          <w:szCs w:val="22"/>
        </w:rPr>
      </w:pPr>
      <w:r>
        <w:rPr>
          <w:sz w:val="22"/>
          <w:szCs w:val="22"/>
        </w:rPr>
        <w:t>H</w:t>
      </w:r>
      <w:r w:rsidR="00001EBA" w:rsidRPr="009D0141">
        <w:rPr>
          <w:sz w:val="22"/>
          <w:szCs w:val="22"/>
        </w:rPr>
        <w:t xml:space="preserve">arvest performance in the marginal </w:t>
      </w:r>
      <w:proofErr w:type="spellStart"/>
      <w:r w:rsidR="00001EBA" w:rsidRPr="009D0141">
        <w:rPr>
          <w:sz w:val="22"/>
          <w:szCs w:val="22"/>
        </w:rPr>
        <w:t>sawlog</w:t>
      </w:r>
      <w:proofErr w:type="spellEnd"/>
      <w:r w:rsidR="00001EBA" w:rsidRPr="009D0141">
        <w:rPr>
          <w:sz w:val="22"/>
          <w:szCs w:val="22"/>
        </w:rPr>
        <w:t>/pulp profile has been poor</w:t>
      </w:r>
      <w:r w:rsidR="009D0141" w:rsidRPr="009D0141">
        <w:rPr>
          <w:sz w:val="22"/>
          <w:szCs w:val="22"/>
        </w:rPr>
        <w:t xml:space="preserve">, e.g. averaging less than 25% of available </w:t>
      </w:r>
      <w:r w:rsidR="009D0141">
        <w:rPr>
          <w:sz w:val="22"/>
          <w:szCs w:val="22"/>
        </w:rPr>
        <w:t xml:space="preserve">AAC </w:t>
      </w:r>
      <w:proofErr w:type="gramStart"/>
      <w:r w:rsidR="009D0141" w:rsidRPr="009D0141">
        <w:rPr>
          <w:sz w:val="22"/>
          <w:szCs w:val="22"/>
        </w:rPr>
        <w:t>between 2006-2010</w:t>
      </w:r>
      <w:proofErr w:type="gramEnd"/>
      <w:r w:rsidR="009D0141" w:rsidRPr="009D0141">
        <w:rPr>
          <w:sz w:val="22"/>
          <w:szCs w:val="22"/>
        </w:rPr>
        <w:t xml:space="preserve">. </w:t>
      </w:r>
    </w:p>
    <w:p w:rsidR="0039514A" w:rsidRPr="009D0141" w:rsidRDefault="009D0141" w:rsidP="00A1011C">
      <w:pPr>
        <w:pStyle w:val="ListParagraph"/>
        <w:numPr>
          <w:ilvl w:val="1"/>
          <w:numId w:val="6"/>
        </w:numPr>
        <w:autoSpaceDE w:val="0"/>
        <w:autoSpaceDN w:val="0"/>
        <w:adjustRightInd w:val="0"/>
        <w:spacing w:after="120"/>
        <w:ind w:left="567"/>
        <w:rPr>
          <w:sz w:val="22"/>
          <w:szCs w:val="22"/>
        </w:rPr>
      </w:pPr>
      <w:r w:rsidRPr="009D0141">
        <w:rPr>
          <w:sz w:val="22"/>
          <w:szCs w:val="22"/>
        </w:rPr>
        <w:t xml:space="preserve">The stability of the mid- to long-term </w:t>
      </w:r>
      <w:proofErr w:type="spellStart"/>
      <w:r w:rsidRPr="009D0141">
        <w:rPr>
          <w:sz w:val="22"/>
          <w:szCs w:val="22"/>
        </w:rPr>
        <w:t>sawlog</w:t>
      </w:r>
      <w:proofErr w:type="spellEnd"/>
      <w:r w:rsidRPr="009D0141">
        <w:rPr>
          <w:sz w:val="22"/>
          <w:szCs w:val="22"/>
        </w:rPr>
        <w:t xml:space="preserve"> timber supply forecast </w:t>
      </w:r>
      <w:r w:rsidR="00A00BA0">
        <w:rPr>
          <w:sz w:val="22"/>
          <w:szCs w:val="22"/>
        </w:rPr>
        <w:t xml:space="preserve">is </w:t>
      </w:r>
      <w:r>
        <w:rPr>
          <w:sz w:val="22"/>
          <w:szCs w:val="22"/>
        </w:rPr>
        <w:t>reliant</w:t>
      </w:r>
      <w:r w:rsidRPr="009D0141">
        <w:rPr>
          <w:sz w:val="22"/>
          <w:szCs w:val="22"/>
        </w:rPr>
        <w:t xml:space="preserve"> on full harvest of the AAC for </w:t>
      </w:r>
      <w:r w:rsidR="00C61B5A" w:rsidRPr="009D0141">
        <w:rPr>
          <w:sz w:val="22"/>
          <w:szCs w:val="22"/>
        </w:rPr>
        <w:t xml:space="preserve">the marginal </w:t>
      </w:r>
      <w:proofErr w:type="spellStart"/>
      <w:r w:rsidR="00C61B5A" w:rsidRPr="009D0141">
        <w:rPr>
          <w:sz w:val="22"/>
          <w:szCs w:val="22"/>
        </w:rPr>
        <w:t>sawlog</w:t>
      </w:r>
      <w:proofErr w:type="spellEnd"/>
      <w:r w:rsidR="00C61B5A" w:rsidRPr="009D0141">
        <w:rPr>
          <w:sz w:val="22"/>
          <w:szCs w:val="22"/>
        </w:rPr>
        <w:t xml:space="preserve">/pulp quality profile </w:t>
      </w:r>
      <w:r w:rsidRPr="009D0141">
        <w:rPr>
          <w:sz w:val="22"/>
          <w:szCs w:val="22"/>
        </w:rPr>
        <w:t>and conversion to thrifty second growth stands.</w:t>
      </w:r>
      <w:r w:rsidR="00A00BA0">
        <w:rPr>
          <w:sz w:val="22"/>
          <w:szCs w:val="22"/>
        </w:rPr>
        <w:t xml:space="preserve"> Licensees advise that current market conditions do not permit economical harvest of these stands. Access to the administrative tools made available within a defined IBB “aggressive” management area </w:t>
      </w:r>
      <w:r w:rsidR="009B29A8">
        <w:rPr>
          <w:sz w:val="22"/>
          <w:szCs w:val="22"/>
        </w:rPr>
        <w:t>c</w:t>
      </w:r>
      <w:r w:rsidR="00A00BA0">
        <w:rPr>
          <w:sz w:val="22"/>
          <w:szCs w:val="22"/>
        </w:rPr>
        <w:t>ould improve economic viability</w:t>
      </w:r>
      <w:r w:rsidR="00C61B5A">
        <w:rPr>
          <w:sz w:val="22"/>
          <w:szCs w:val="22"/>
        </w:rPr>
        <w:t xml:space="preserve"> of these more marginal types that are affected by IBB.</w:t>
      </w:r>
    </w:p>
    <w:p w:rsidR="006C28E0" w:rsidRPr="00C61B5A" w:rsidRDefault="00C61B5A" w:rsidP="0083746A">
      <w:pPr>
        <w:autoSpaceDE w:val="0"/>
        <w:autoSpaceDN w:val="0"/>
        <w:adjustRightInd w:val="0"/>
        <w:spacing w:before="240" w:after="120"/>
        <w:rPr>
          <w:b/>
        </w:rPr>
      </w:pPr>
      <w:r>
        <w:rPr>
          <w:b/>
          <w:i/>
        </w:rPr>
        <w:t xml:space="preserve">Tactic: </w:t>
      </w:r>
      <w:r w:rsidR="00601F92">
        <w:rPr>
          <w:b/>
          <w:i/>
        </w:rPr>
        <w:t>Spatially</w:t>
      </w:r>
      <w:r w:rsidRPr="00C61B5A">
        <w:rPr>
          <w:b/>
          <w:i/>
        </w:rPr>
        <w:t xml:space="preserve"> capture </w:t>
      </w:r>
      <w:r w:rsidR="00601F92">
        <w:rPr>
          <w:b/>
          <w:i/>
        </w:rPr>
        <w:t xml:space="preserve">spots and </w:t>
      </w:r>
      <w:r w:rsidRPr="00C61B5A">
        <w:rPr>
          <w:b/>
          <w:i/>
        </w:rPr>
        <w:t xml:space="preserve">patches of </w:t>
      </w:r>
      <w:r w:rsidR="00601F92">
        <w:rPr>
          <w:b/>
          <w:i/>
        </w:rPr>
        <w:t>significant historic and current incidence</w:t>
      </w:r>
      <w:r w:rsidRPr="00C61B5A">
        <w:rPr>
          <w:b/>
          <w:i/>
        </w:rPr>
        <w:t>; compile information</w:t>
      </w:r>
    </w:p>
    <w:p w:rsidR="00E27D97" w:rsidRPr="00004D3E" w:rsidRDefault="00E27D97" w:rsidP="00E27D97">
      <w:pPr>
        <w:autoSpaceDE w:val="0"/>
        <w:autoSpaceDN w:val="0"/>
        <w:adjustRightInd w:val="0"/>
        <w:spacing w:after="120"/>
        <w:rPr>
          <w:sz w:val="22"/>
          <w:szCs w:val="22"/>
        </w:rPr>
      </w:pPr>
      <w:r w:rsidRPr="00004D3E">
        <w:rPr>
          <w:sz w:val="22"/>
          <w:szCs w:val="22"/>
        </w:rPr>
        <w:t xml:space="preserve">To advise creation of an </w:t>
      </w:r>
      <w:r w:rsidR="00F66754" w:rsidRPr="00004D3E">
        <w:rPr>
          <w:sz w:val="22"/>
          <w:szCs w:val="22"/>
        </w:rPr>
        <w:t xml:space="preserve">initial </w:t>
      </w:r>
      <w:r w:rsidRPr="00004D3E">
        <w:rPr>
          <w:sz w:val="22"/>
          <w:szCs w:val="22"/>
        </w:rPr>
        <w:t xml:space="preserve">IBB Tactical Plan for 2015, the District has </w:t>
      </w:r>
      <w:r w:rsidR="0099003B" w:rsidRPr="00004D3E">
        <w:rPr>
          <w:sz w:val="22"/>
          <w:szCs w:val="22"/>
        </w:rPr>
        <w:t>spatial</w:t>
      </w:r>
      <w:r w:rsidR="00373AAE">
        <w:rPr>
          <w:sz w:val="22"/>
          <w:szCs w:val="22"/>
        </w:rPr>
        <w:t>ly compiled</w:t>
      </w:r>
      <w:r w:rsidRPr="00004D3E">
        <w:rPr>
          <w:sz w:val="22"/>
          <w:szCs w:val="22"/>
        </w:rPr>
        <w:t xml:space="preserve"> IBB patches and spots from sources including the 2011 </w:t>
      </w:r>
      <w:proofErr w:type="spellStart"/>
      <w:r w:rsidRPr="00004D3E">
        <w:rPr>
          <w:sz w:val="22"/>
          <w:szCs w:val="22"/>
        </w:rPr>
        <w:t>Bulkley</w:t>
      </w:r>
      <w:proofErr w:type="spellEnd"/>
      <w:r w:rsidRPr="00004D3E">
        <w:rPr>
          <w:sz w:val="22"/>
          <w:szCs w:val="22"/>
        </w:rPr>
        <w:t xml:space="preserve"> Vegetation Resources Inventory</w:t>
      </w:r>
      <w:r w:rsidR="00004D3E">
        <w:rPr>
          <w:sz w:val="22"/>
          <w:szCs w:val="22"/>
        </w:rPr>
        <w:t xml:space="preserve"> (VRI)</w:t>
      </w:r>
      <w:r w:rsidR="00F66754" w:rsidRPr="00004D3E">
        <w:rPr>
          <w:sz w:val="22"/>
          <w:szCs w:val="22"/>
        </w:rPr>
        <w:t xml:space="preserve">, and Provincial Aerial Overview Survey </w:t>
      </w:r>
      <w:r w:rsidR="00E66883">
        <w:rPr>
          <w:sz w:val="22"/>
          <w:szCs w:val="22"/>
        </w:rPr>
        <w:t xml:space="preserve">(PAOS) </w:t>
      </w:r>
      <w:proofErr w:type="spellStart"/>
      <w:r w:rsidR="00F66754" w:rsidRPr="00004D3E">
        <w:rPr>
          <w:sz w:val="22"/>
          <w:szCs w:val="22"/>
        </w:rPr>
        <w:t>spatials</w:t>
      </w:r>
      <w:proofErr w:type="spellEnd"/>
      <w:r w:rsidR="00F66754" w:rsidRPr="00004D3E">
        <w:rPr>
          <w:sz w:val="22"/>
          <w:szCs w:val="22"/>
        </w:rPr>
        <w:t xml:space="preserve">. </w:t>
      </w:r>
    </w:p>
    <w:p w:rsidR="0030088B" w:rsidRDefault="00F66754" w:rsidP="0030088B">
      <w:pPr>
        <w:pStyle w:val="ListParagraph"/>
        <w:numPr>
          <w:ilvl w:val="0"/>
          <w:numId w:val="7"/>
        </w:numPr>
        <w:autoSpaceDE w:val="0"/>
        <w:autoSpaceDN w:val="0"/>
        <w:adjustRightInd w:val="0"/>
        <w:spacing w:after="120"/>
        <w:ind w:hanging="357"/>
        <w:contextualSpacing w:val="0"/>
        <w:rPr>
          <w:sz w:val="22"/>
          <w:szCs w:val="22"/>
        </w:rPr>
      </w:pPr>
      <w:r w:rsidRPr="0030088B">
        <w:rPr>
          <w:sz w:val="22"/>
          <w:szCs w:val="22"/>
        </w:rPr>
        <w:t>The</w:t>
      </w:r>
      <w:r w:rsidR="00E27D97" w:rsidRPr="0030088B">
        <w:rPr>
          <w:sz w:val="22"/>
          <w:szCs w:val="22"/>
        </w:rPr>
        <w:t xml:space="preserve"> 2011 </w:t>
      </w:r>
      <w:proofErr w:type="spellStart"/>
      <w:r w:rsidR="00E27D97" w:rsidRPr="0030088B">
        <w:rPr>
          <w:sz w:val="22"/>
          <w:szCs w:val="22"/>
        </w:rPr>
        <w:t>Bulkley</w:t>
      </w:r>
      <w:proofErr w:type="spellEnd"/>
      <w:r w:rsidR="00E27D97" w:rsidRPr="0030088B">
        <w:rPr>
          <w:sz w:val="22"/>
          <w:szCs w:val="22"/>
        </w:rPr>
        <w:t xml:space="preserve"> </w:t>
      </w:r>
      <w:r w:rsidR="00004D3E" w:rsidRPr="0030088B">
        <w:rPr>
          <w:sz w:val="22"/>
          <w:szCs w:val="22"/>
        </w:rPr>
        <w:t>VRI</w:t>
      </w:r>
      <w:r w:rsidRPr="0030088B">
        <w:rPr>
          <w:sz w:val="22"/>
          <w:szCs w:val="22"/>
        </w:rPr>
        <w:t xml:space="preserve"> was queried to compile an inventory of balsam-leading ESSF VRI polygons within the THLB,</w:t>
      </w:r>
      <w:r w:rsidR="00004D3E" w:rsidRPr="0030088B">
        <w:rPr>
          <w:sz w:val="22"/>
          <w:szCs w:val="22"/>
        </w:rPr>
        <w:t xml:space="preserve"> </w:t>
      </w:r>
      <w:r w:rsidRPr="0030088B">
        <w:rPr>
          <w:sz w:val="22"/>
          <w:szCs w:val="22"/>
        </w:rPr>
        <w:t xml:space="preserve">photo-interpreted as having trace to very severe levels of IBB incidence occurring </w:t>
      </w:r>
      <w:r w:rsidR="00004D3E" w:rsidRPr="0030088B">
        <w:rPr>
          <w:sz w:val="22"/>
          <w:szCs w:val="22"/>
        </w:rPr>
        <w:t>between</w:t>
      </w:r>
      <w:r w:rsidRPr="0030088B">
        <w:rPr>
          <w:sz w:val="22"/>
          <w:szCs w:val="22"/>
        </w:rPr>
        <w:t xml:space="preserve"> 2001 </w:t>
      </w:r>
      <w:r w:rsidR="00004D3E" w:rsidRPr="0030088B">
        <w:rPr>
          <w:sz w:val="22"/>
          <w:szCs w:val="22"/>
        </w:rPr>
        <w:t>and</w:t>
      </w:r>
      <w:r w:rsidRPr="0030088B">
        <w:rPr>
          <w:sz w:val="22"/>
          <w:szCs w:val="22"/>
        </w:rPr>
        <w:t xml:space="preserve"> 2011. </w:t>
      </w:r>
    </w:p>
    <w:p w:rsidR="00E27D97" w:rsidRPr="0030088B" w:rsidRDefault="0099003B" w:rsidP="0030088B">
      <w:pPr>
        <w:pStyle w:val="ListParagraph"/>
        <w:numPr>
          <w:ilvl w:val="1"/>
          <w:numId w:val="7"/>
        </w:numPr>
        <w:autoSpaceDE w:val="0"/>
        <w:autoSpaceDN w:val="0"/>
        <w:adjustRightInd w:val="0"/>
        <w:spacing w:after="120"/>
        <w:ind w:hanging="357"/>
        <w:contextualSpacing w:val="0"/>
        <w:rPr>
          <w:sz w:val="22"/>
          <w:szCs w:val="22"/>
        </w:rPr>
      </w:pPr>
      <w:r w:rsidRPr="0030088B">
        <w:rPr>
          <w:sz w:val="22"/>
          <w:szCs w:val="22"/>
        </w:rPr>
        <w:t xml:space="preserve">Affected </w:t>
      </w:r>
      <w:proofErr w:type="gramStart"/>
      <w:r w:rsidRPr="0030088B">
        <w:rPr>
          <w:sz w:val="22"/>
          <w:szCs w:val="22"/>
        </w:rPr>
        <w:t xml:space="preserve">balsam </w:t>
      </w:r>
      <w:r w:rsidR="00861CD3">
        <w:rPr>
          <w:sz w:val="22"/>
          <w:szCs w:val="22"/>
        </w:rPr>
        <w:t>are</w:t>
      </w:r>
      <w:proofErr w:type="gramEnd"/>
      <w:r w:rsidR="001C6288" w:rsidRPr="0030088B">
        <w:rPr>
          <w:sz w:val="22"/>
          <w:szCs w:val="22"/>
        </w:rPr>
        <w:t xml:space="preserve"> now</w:t>
      </w:r>
      <w:r w:rsidRPr="0030088B">
        <w:rPr>
          <w:sz w:val="22"/>
          <w:szCs w:val="22"/>
        </w:rPr>
        <w:t xml:space="preserve"> grey-attack</w:t>
      </w:r>
      <w:r w:rsidR="001C6288" w:rsidRPr="0030088B">
        <w:rPr>
          <w:sz w:val="22"/>
          <w:szCs w:val="22"/>
        </w:rPr>
        <w:t xml:space="preserve">, but </w:t>
      </w:r>
      <w:r w:rsidR="00004D3E" w:rsidRPr="0030088B">
        <w:rPr>
          <w:sz w:val="22"/>
          <w:szCs w:val="22"/>
        </w:rPr>
        <w:t xml:space="preserve">from operational experience </w:t>
      </w:r>
      <w:r w:rsidRPr="0030088B">
        <w:rPr>
          <w:sz w:val="22"/>
          <w:szCs w:val="22"/>
        </w:rPr>
        <w:t xml:space="preserve">dead balsam </w:t>
      </w:r>
      <w:r w:rsidR="00004D3E" w:rsidRPr="0030088B">
        <w:rPr>
          <w:sz w:val="22"/>
          <w:szCs w:val="22"/>
        </w:rPr>
        <w:t xml:space="preserve">has been </w:t>
      </w:r>
      <w:r w:rsidRPr="0030088B">
        <w:rPr>
          <w:sz w:val="22"/>
          <w:szCs w:val="22"/>
        </w:rPr>
        <w:t xml:space="preserve">known </w:t>
      </w:r>
      <w:r w:rsidR="001C6288" w:rsidRPr="0030088B">
        <w:rPr>
          <w:sz w:val="22"/>
          <w:szCs w:val="22"/>
        </w:rPr>
        <w:t xml:space="preserve">to retain merchantability </w:t>
      </w:r>
      <w:r w:rsidR="00004D3E" w:rsidRPr="0030088B">
        <w:rPr>
          <w:sz w:val="22"/>
          <w:szCs w:val="22"/>
        </w:rPr>
        <w:t>characteristics</w:t>
      </w:r>
      <w:r w:rsidR="001C6288" w:rsidRPr="0030088B">
        <w:rPr>
          <w:sz w:val="22"/>
          <w:szCs w:val="22"/>
        </w:rPr>
        <w:t xml:space="preserve"> </w:t>
      </w:r>
      <w:r w:rsidR="00004D3E" w:rsidRPr="0030088B">
        <w:rPr>
          <w:sz w:val="22"/>
          <w:szCs w:val="22"/>
        </w:rPr>
        <w:t xml:space="preserve">(i.e. stay sound) for 20 or more years </w:t>
      </w:r>
      <w:r w:rsidR="0030088B">
        <w:rPr>
          <w:sz w:val="22"/>
          <w:szCs w:val="22"/>
        </w:rPr>
        <w:t xml:space="preserve">following mortality. </w:t>
      </w:r>
      <w:r w:rsidRPr="0030088B">
        <w:rPr>
          <w:sz w:val="22"/>
          <w:szCs w:val="22"/>
        </w:rPr>
        <w:t xml:space="preserve">VRI polygons with severe to very severe IBB incidence (&gt;30%) </w:t>
      </w:r>
      <w:r w:rsidR="00004D3E" w:rsidRPr="0030088B">
        <w:rPr>
          <w:sz w:val="22"/>
          <w:szCs w:val="22"/>
        </w:rPr>
        <w:t>are a potential focus for salvage</w:t>
      </w:r>
      <w:r w:rsidR="0030088B">
        <w:rPr>
          <w:sz w:val="22"/>
          <w:szCs w:val="22"/>
        </w:rPr>
        <w:t xml:space="preserve"> operations, and</w:t>
      </w:r>
      <w:r w:rsidR="00E66883">
        <w:rPr>
          <w:sz w:val="22"/>
          <w:szCs w:val="22"/>
        </w:rPr>
        <w:t xml:space="preserve"> there is strong </w:t>
      </w:r>
      <w:r w:rsidR="009A38DF">
        <w:rPr>
          <w:sz w:val="22"/>
          <w:szCs w:val="22"/>
        </w:rPr>
        <w:t>likelihood that</w:t>
      </w:r>
      <w:r w:rsidR="00E66883">
        <w:rPr>
          <w:sz w:val="22"/>
          <w:szCs w:val="22"/>
        </w:rPr>
        <w:t xml:space="preserve"> </w:t>
      </w:r>
      <w:r w:rsidR="0030088B">
        <w:rPr>
          <w:sz w:val="22"/>
          <w:szCs w:val="22"/>
        </w:rPr>
        <w:t xml:space="preserve">IBB </w:t>
      </w:r>
      <w:r w:rsidR="009A38DF">
        <w:rPr>
          <w:sz w:val="22"/>
          <w:szCs w:val="22"/>
        </w:rPr>
        <w:t>will</w:t>
      </w:r>
      <w:r w:rsidR="0030088B">
        <w:rPr>
          <w:sz w:val="22"/>
          <w:szCs w:val="22"/>
        </w:rPr>
        <w:t xml:space="preserve"> be present in the residual stand </w:t>
      </w:r>
      <w:r w:rsidR="00E66883">
        <w:rPr>
          <w:sz w:val="22"/>
          <w:szCs w:val="22"/>
        </w:rPr>
        <w:t>or</w:t>
      </w:r>
      <w:r w:rsidR="0030088B">
        <w:rPr>
          <w:sz w:val="22"/>
          <w:szCs w:val="22"/>
        </w:rPr>
        <w:t xml:space="preserve"> surrounding balsam-leading stands</w:t>
      </w:r>
      <w:r w:rsidR="00004D3E" w:rsidRPr="0030088B">
        <w:rPr>
          <w:sz w:val="22"/>
          <w:szCs w:val="22"/>
        </w:rPr>
        <w:t>.</w:t>
      </w:r>
    </w:p>
    <w:p w:rsidR="00E66883" w:rsidRPr="00E66883" w:rsidRDefault="00004D3E" w:rsidP="00E66883">
      <w:pPr>
        <w:pStyle w:val="ListParagraph"/>
        <w:numPr>
          <w:ilvl w:val="0"/>
          <w:numId w:val="7"/>
        </w:numPr>
        <w:autoSpaceDE w:val="0"/>
        <w:autoSpaceDN w:val="0"/>
        <w:adjustRightInd w:val="0"/>
        <w:spacing w:after="120"/>
        <w:ind w:left="357" w:hanging="357"/>
        <w:contextualSpacing w:val="0"/>
      </w:pPr>
      <w:r w:rsidRPr="00E66883">
        <w:rPr>
          <w:sz w:val="22"/>
          <w:szCs w:val="22"/>
        </w:rPr>
        <w:t>PAOS</w:t>
      </w:r>
      <w:r w:rsidR="00E27D97" w:rsidRPr="00E66883">
        <w:rPr>
          <w:sz w:val="22"/>
          <w:szCs w:val="22"/>
        </w:rPr>
        <w:t xml:space="preserve"> </w:t>
      </w:r>
      <w:r w:rsidR="0030088B" w:rsidRPr="00E66883">
        <w:rPr>
          <w:sz w:val="22"/>
          <w:szCs w:val="22"/>
        </w:rPr>
        <w:t>provides</w:t>
      </w:r>
      <w:r w:rsidRPr="00E66883">
        <w:rPr>
          <w:sz w:val="22"/>
          <w:szCs w:val="22"/>
        </w:rPr>
        <w:t xml:space="preserve"> </w:t>
      </w:r>
      <w:r w:rsidR="0030088B" w:rsidRPr="00E66883">
        <w:rPr>
          <w:sz w:val="22"/>
          <w:szCs w:val="22"/>
        </w:rPr>
        <w:t>spatial</w:t>
      </w:r>
      <w:r w:rsidRPr="00E66883">
        <w:rPr>
          <w:sz w:val="22"/>
          <w:szCs w:val="22"/>
        </w:rPr>
        <w:t xml:space="preserve"> capture of infestation patches and spots</w:t>
      </w:r>
      <w:r w:rsidR="0030088B" w:rsidRPr="00E66883">
        <w:rPr>
          <w:sz w:val="22"/>
          <w:szCs w:val="22"/>
        </w:rPr>
        <w:t xml:space="preserve"> -</w:t>
      </w:r>
      <w:r w:rsidRPr="00E66883">
        <w:rPr>
          <w:sz w:val="22"/>
          <w:szCs w:val="22"/>
        </w:rPr>
        <w:t xml:space="preserve"> to &lt;1:50,000 scale accuracy</w:t>
      </w:r>
      <w:r w:rsidR="0030088B" w:rsidRPr="00E66883">
        <w:rPr>
          <w:sz w:val="22"/>
          <w:szCs w:val="22"/>
        </w:rPr>
        <w:t xml:space="preserve"> – and a statement of relative attack intensity. The District has compiled 2009-2014 patches </w:t>
      </w:r>
      <w:r w:rsidR="00E66883" w:rsidRPr="00E66883">
        <w:rPr>
          <w:sz w:val="22"/>
          <w:szCs w:val="22"/>
        </w:rPr>
        <w:t xml:space="preserve">(severe to very severe </w:t>
      </w:r>
      <w:r w:rsidR="00E66883">
        <w:rPr>
          <w:sz w:val="22"/>
          <w:szCs w:val="22"/>
        </w:rPr>
        <w:t xml:space="preserve">IBB </w:t>
      </w:r>
      <w:r w:rsidR="00E66883" w:rsidRPr="00E66883">
        <w:rPr>
          <w:sz w:val="22"/>
          <w:szCs w:val="22"/>
        </w:rPr>
        <w:t xml:space="preserve">incidence) </w:t>
      </w:r>
      <w:r w:rsidR="0030088B" w:rsidRPr="00E66883">
        <w:rPr>
          <w:sz w:val="22"/>
          <w:szCs w:val="22"/>
        </w:rPr>
        <w:t>and spots</w:t>
      </w:r>
      <w:r w:rsidR="00E66883" w:rsidRPr="00E66883">
        <w:rPr>
          <w:sz w:val="22"/>
          <w:szCs w:val="22"/>
        </w:rPr>
        <w:t xml:space="preserve"> (severe incidence only) associated with ESSF balsam-leading stands in the THLB as best available information on locations for </w:t>
      </w:r>
      <w:r w:rsidR="00A1011C">
        <w:rPr>
          <w:sz w:val="22"/>
          <w:szCs w:val="22"/>
        </w:rPr>
        <w:t xml:space="preserve">recent and </w:t>
      </w:r>
      <w:r w:rsidR="00E66883" w:rsidRPr="00E66883">
        <w:rPr>
          <w:sz w:val="22"/>
          <w:szCs w:val="22"/>
        </w:rPr>
        <w:t xml:space="preserve">current IBB attack. </w:t>
      </w:r>
    </w:p>
    <w:p w:rsidR="00601F92" w:rsidRDefault="00E66883" w:rsidP="00E66883">
      <w:pPr>
        <w:pStyle w:val="ListParagraph"/>
        <w:numPr>
          <w:ilvl w:val="1"/>
          <w:numId w:val="7"/>
        </w:numPr>
        <w:autoSpaceDE w:val="0"/>
        <w:autoSpaceDN w:val="0"/>
        <w:adjustRightInd w:val="0"/>
        <w:spacing w:after="120"/>
        <w:rPr>
          <w:sz w:val="22"/>
          <w:szCs w:val="22"/>
        </w:rPr>
      </w:pPr>
      <w:r>
        <w:rPr>
          <w:sz w:val="22"/>
          <w:szCs w:val="22"/>
        </w:rPr>
        <w:t>PAOS</w:t>
      </w:r>
      <w:r w:rsidR="00B150B5" w:rsidRPr="00E66883">
        <w:rPr>
          <w:sz w:val="22"/>
          <w:szCs w:val="22"/>
        </w:rPr>
        <w:t xml:space="preserve"> </w:t>
      </w:r>
      <w:r>
        <w:rPr>
          <w:sz w:val="22"/>
          <w:szCs w:val="22"/>
        </w:rPr>
        <w:t>“</w:t>
      </w:r>
      <w:r w:rsidR="00B150B5" w:rsidRPr="00E66883">
        <w:rPr>
          <w:sz w:val="22"/>
          <w:szCs w:val="22"/>
        </w:rPr>
        <w:t>spot</w:t>
      </w:r>
      <w:r>
        <w:rPr>
          <w:sz w:val="22"/>
          <w:szCs w:val="22"/>
        </w:rPr>
        <w:t>s” average</w:t>
      </w:r>
      <w:r w:rsidR="00B150B5" w:rsidRPr="00E66883">
        <w:rPr>
          <w:sz w:val="22"/>
          <w:szCs w:val="22"/>
        </w:rPr>
        <w:t xml:space="preserve"> 10-25 </w:t>
      </w:r>
      <w:r>
        <w:rPr>
          <w:sz w:val="22"/>
          <w:szCs w:val="22"/>
        </w:rPr>
        <w:t xml:space="preserve">red-attack </w:t>
      </w:r>
      <w:r w:rsidR="00B150B5" w:rsidRPr="00E66883">
        <w:rPr>
          <w:sz w:val="22"/>
          <w:szCs w:val="22"/>
        </w:rPr>
        <w:t xml:space="preserve">trees, </w:t>
      </w:r>
      <w:r>
        <w:rPr>
          <w:sz w:val="22"/>
          <w:szCs w:val="22"/>
        </w:rPr>
        <w:t>and by convention are considered to represent 0.25-</w:t>
      </w:r>
      <w:r w:rsidR="00B150B5" w:rsidRPr="00E66883">
        <w:rPr>
          <w:sz w:val="22"/>
          <w:szCs w:val="22"/>
        </w:rPr>
        <w:t xml:space="preserve">0.5 ha of severely (&gt;30%) infested forest. </w:t>
      </w:r>
    </w:p>
    <w:p w:rsidR="0083746A" w:rsidRDefault="00861CD3" w:rsidP="00861CD3">
      <w:pPr>
        <w:autoSpaceDE w:val="0"/>
        <w:autoSpaceDN w:val="0"/>
        <w:adjustRightInd w:val="0"/>
        <w:spacing w:after="120"/>
        <w:rPr>
          <w:sz w:val="22"/>
          <w:szCs w:val="22"/>
        </w:rPr>
      </w:pPr>
      <w:r w:rsidRPr="0083746A">
        <w:rPr>
          <w:sz w:val="22"/>
          <w:szCs w:val="22"/>
        </w:rPr>
        <w:t xml:space="preserve">PAOS mapping is </w:t>
      </w:r>
      <w:r w:rsidR="0083746A" w:rsidRPr="0083746A">
        <w:rPr>
          <w:sz w:val="22"/>
          <w:szCs w:val="22"/>
        </w:rPr>
        <w:t>relatively low</w:t>
      </w:r>
      <w:r w:rsidRPr="0083746A">
        <w:rPr>
          <w:sz w:val="22"/>
          <w:szCs w:val="22"/>
        </w:rPr>
        <w:t xml:space="preserve"> accuracy. Ideally </w:t>
      </w:r>
      <w:r w:rsidR="005628BF">
        <w:rPr>
          <w:sz w:val="22"/>
          <w:szCs w:val="22"/>
        </w:rPr>
        <w:t>an</w:t>
      </w:r>
      <w:r w:rsidRPr="0083746A">
        <w:rPr>
          <w:sz w:val="22"/>
          <w:szCs w:val="22"/>
        </w:rPr>
        <w:t xml:space="preserve"> IBB Tactical Plan </w:t>
      </w:r>
      <w:r w:rsidR="005628BF">
        <w:rPr>
          <w:sz w:val="22"/>
          <w:szCs w:val="22"/>
        </w:rPr>
        <w:t>would be supported by an annual program of Detailed Aerial Overview Surveys (AOS)</w:t>
      </w:r>
      <w:r w:rsidRPr="0083746A">
        <w:rPr>
          <w:sz w:val="22"/>
          <w:szCs w:val="22"/>
        </w:rPr>
        <w:t xml:space="preserve">, but IBB infestation is widespread </w:t>
      </w:r>
      <w:r w:rsidR="0083746A" w:rsidRPr="0083746A">
        <w:rPr>
          <w:sz w:val="22"/>
          <w:szCs w:val="22"/>
        </w:rPr>
        <w:t xml:space="preserve">throughout </w:t>
      </w:r>
      <w:proofErr w:type="spellStart"/>
      <w:r w:rsidR="0083746A" w:rsidRPr="0083746A">
        <w:rPr>
          <w:sz w:val="22"/>
          <w:szCs w:val="22"/>
        </w:rPr>
        <w:t>Bulkley</w:t>
      </w:r>
      <w:proofErr w:type="spellEnd"/>
      <w:r w:rsidR="0083746A" w:rsidRPr="0083746A">
        <w:rPr>
          <w:sz w:val="22"/>
          <w:szCs w:val="22"/>
        </w:rPr>
        <w:t xml:space="preserve"> TSA </w:t>
      </w:r>
      <w:r w:rsidR="005628BF">
        <w:rPr>
          <w:sz w:val="22"/>
          <w:szCs w:val="22"/>
        </w:rPr>
        <w:t>an</w:t>
      </w:r>
      <w:r w:rsidR="00A1011C">
        <w:rPr>
          <w:sz w:val="22"/>
          <w:szCs w:val="22"/>
        </w:rPr>
        <w:t xml:space="preserve">d the Forest Health LBIS budget </w:t>
      </w:r>
      <w:r w:rsidR="0083746A" w:rsidRPr="0083746A">
        <w:rPr>
          <w:sz w:val="22"/>
          <w:szCs w:val="22"/>
        </w:rPr>
        <w:t>for DSS (</w:t>
      </w:r>
      <w:r w:rsidR="009B29A8">
        <w:rPr>
          <w:sz w:val="22"/>
          <w:szCs w:val="22"/>
        </w:rPr>
        <w:t xml:space="preserve">typically </w:t>
      </w:r>
      <w:r w:rsidR="0083746A" w:rsidRPr="0083746A">
        <w:rPr>
          <w:sz w:val="22"/>
          <w:szCs w:val="22"/>
        </w:rPr>
        <w:t>$3000)</w:t>
      </w:r>
      <w:r w:rsidRPr="0083746A">
        <w:rPr>
          <w:sz w:val="22"/>
          <w:szCs w:val="22"/>
        </w:rPr>
        <w:t xml:space="preserve"> </w:t>
      </w:r>
      <w:r w:rsidR="00A1011C">
        <w:rPr>
          <w:sz w:val="22"/>
          <w:szCs w:val="22"/>
        </w:rPr>
        <w:t>is</w:t>
      </w:r>
      <w:r w:rsidRPr="0083746A">
        <w:rPr>
          <w:sz w:val="22"/>
          <w:szCs w:val="22"/>
        </w:rPr>
        <w:t xml:space="preserve"> insufficient. </w:t>
      </w:r>
    </w:p>
    <w:p w:rsidR="0083746A" w:rsidRDefault="00861CD3" w:rsidP="0083746A">
      <w:pPr>
        <w:pStyle w:val="ListParagraph"/>
        <w:numPr>
          <w:ilvl w:val="0"/>
          <w:numId w:val="9"/>
        </w:numPr>
        <w:autoSpaceDE w:val="0"/>
        <w:autoSpaceDN w:val="0"/>
        <w:adjustRightInd w:val="0"/>
        <w:spacing w:after="120"/>
        <w:ind w:left="357" w:hanging="357"/>
        <w:contextualSpacing w:val="0"/>
        <w:rPr>
          <w:sz w:val="22"/>
          <w:szCs w:val="22"/>
        </w:rPr>
      </w:pPr>
      <w:r w:rsidRPr="0083746A">
        <w:rPr>
          <w:sz w:val="22"/>
          <w:szCs w:val="22"/>
        </w:rPr>
        <w:t xml:space="preserve">District will continue to compile new PAOS </w:t>
      </w:r>
      <w:proofErr w:type="spellStart"/>
      <w:r w:rsidRPr="0083746A">
        <w:rPr>
          <w:sz w:val="22"/>
          <w:szCs w:val="22"/>
        </w:rPr>
        <w:t>spatials</w:t>
      </w:r>
      <w:proofErr w:type="spellEnd"/>
      <w:r w:rsidRPr="0083746A">
        <w:rPr>
          <w:sz w:val="22"/>
          <w:szCs w:val="22"/>
        </w:rPr>
        <w:t xml:space="preserve"> </w:t>
      </w:r>
      <w:r w:rsidR="0083746A">
        <w:rPr>
          <w:sz w:val="22"/>
          <w:szCs w:val="22"/>
        </w:rPr>
        <w:t xml:space="preserve">for </w:t>
      </w:r>
      <w:r w:rsidRPr="0083746A">
        <w:rPr>
          <w:sz w:val="22"/>
          <w:szCs w:val="22"/>
        </w:rPr>
        <w:t>future IBB Tactical Plan</w:t>
      </w:r>
      <w:r w:rsidR="0083746A">
        <w:rPr>
          <w:sz w:val="22"/>
          <w:szCs w:val="22"/>
        </w:rPr>
        <w:t>s</w:t>
      </w:r>
      <w:r w:rsidRPr="0083746A">
        <w:rPr>
          <w:sz w:val="22"/>
          <w:szCs w:val="22"/>
        </w:rPr>
        <w:t xml:space="preserve">. </w:t>
      </w:r>
    </w:p>
    <w:p w:rsidR="0083746A" w:rsidRPr="0083746A" w:rsidRDefault="0083746A" w:rsidP="0083746A">
      <w:pPr>
        <w:pStyle w:val="ListParagraph"/>
        <w:numPr>
          <w:ilvl w:val="0"/>
          <w:numId w:val="9"/>
        </w:numPr>
        <w:autoSpaceDE w:val="0"/>
        <w:autoSpaceDN w:val="0"/>
        <w:adjustRightInd w:val="0"/>
        <w:spacing w:after="120"/>
        <w:ind w:left="357" w:hanging="357"/>
        <w:contextualSpacing w:val="0"/>
        <w:rPr>
          <w:sz w:val="22"/>
          <w:szCs w:val="22"/>
        </w:rPr>
      </w:pPr>
      <w:r>
        <w:rPr>
          <w:sz w:val="22"/>
          <w:szCs w:val="22"/>
        </w:rPr>
        <w:t xml:space="preserve">The Regional Entomologist </w:t>
      </w:r>
      <w:r w:rsidR="00861CD3" w:rsidRPr="0083746A">
        <w:rPr>
          <w:sz w:val="22"/>
          <w:szCs w:val="22"/>
        </w:rPr>
        <w:t xml:space="preserve">has </w:t>
      </w:r>
      <w:r>
        <w:rPr>
          <w:sz w:val="22"/>
          <w:szCs w:val="22"/>
        </w:rPr>
        <w:t>also committed</w:t>
      </w:r>
      <w:r w:rsidR="00861CD3" w:rsidRPr="0083746A">
        <w:rPr>
          <w:sz w:val="22"/>
          <w:szCs w:val="22"/>
        </w:rPr>
        <w:t xml:space="preserve"> to present </w:t>
      </w:r>
      <w:r w:rsidR="00B57206" w:rsidRPr="0083746A">
        <w:rPr>
          <w:sz w:val="22"/>
          <w:szCs w:val="22"/>
        </w:rPr>
        <w:t xml:space="preserve">a case </w:t>
      </w:r>
      <w:r w:rsidR="00861CD3" w:rsidRPr="0083746A">
        <w:rPr>
          <w:sz w:val="22"/>
          <w:szCs w:val="22"/>
        </w:rPr>
        <w:t>to have</w:t>
      </w:r>
      <w:r w:rsidR="00B57206" w:rsidRPr="0083746A">
        <w:rPr>
          <w:sz w:val="22"/>
          <w:szCs w:val="22"/>
        </w:rPr>
        <w:t xml:space="preserve"> </w:t>
      </w:r>
      <w:r w:rsidR="00861CD3" w:rsidRPr="0083746A">
        <w:rPr>
          <w:sz w:val="22"/>
          <w:szCs w:val="22"/>
        </w:rPr>
        <w:t xml:space="preserve">the </w:t>
      </w:r>
      <w:r w:rsidR="00B57206" w:rsidRPr="0083746A">
        <w:rPr>
          <w:sz w:val="22"/>
          <w:szCs w:val="22"/>
        </w:rPr>
        <w:t xml:space="preserve">PAOS </w:t>
      </w:r>
      <w:r w:rsidR="00861CD3" w:rsidRPr="0083746A">
        <w:rPr>
          <w:sz w:val="22"/>
          <w:szCs w:val="22"/>
        </w:rPr>
        <w:t xml:space="preserve">survey </w:t>
      </w:r>
      <w:r w:rsidR="00B57206" w:rsidRPr="0083746A">
        <w:rPr>
          <w:sz w:val="22"/>
          <w:szCs w:val="22"/>
        </w:rPr>
        <w:t xml:space="preserve">approach modified </w:t>
      </w:r>
      <w:r>
        <w:rPr>
          <w:sz w:val="22"/>
          <w:szCs w:val="22"/>
        </w:rPr>
        <w:br/>
      </w:r>
      <w:r w:rsidRPr="0083746A">
        <w:rPr>
          <w:sz w:val="22"/>
          <w:szCs w:val="22"/>
        </w:rPr>
        <w:t xml:space="preserve">– specifically for </w:t>
      </w:r>
      <w:proofErr w:type="spellStart"/>
      <w:r>
        <w:rPr>
          <w:sz w:val="22"/>
          <w:szCs w:val="22"/>
        </w:rPr>
        <w:t>Bulkley</w:t>
      </w:r>
      <w:proofErr w:type="spellEnd"/>
      <w:r>
        <w:rPr>
          <w:sz w:val="22"/>
          <w:szCs w:val="22"/>
        </w:rPr>
        <w:t xml:space="preserve"> TSA -</w:t>
      </w:r>
      <w:r w:rsidRPr="0083746A">
        <w:rPr>
          <w:sz w:val="22"/>
          <w:szCs w:val="22"/>
        </w:rPr>
        <w:t xml:space="preserve"> </w:t>
      </w:r>
      <w:r w:rsidR="00B57206" w:rsidRPr="0083746A">
        <w:rPr>
          <w:sz w:val="22"/>
          <w:szCs w:val="22"/>
        </w:rPr>
        <w:t xml:space="preserve">to </w:t>
      </w:r>
      <w:r w:rsidR="00861CD3" w:rsidRPr="0083746A">
        <w:rPr>
          <w:sz w:val="22"/>
          <w:szCs w:val="22"/>
        </w:rPr>
        <w:t xml:space="preserve">permit more accurate </w:t>
      </w:r>
      <w:r w:rsidR="00B57206" w:rsidRPr="0083746A">
        <w:rPr>
          <w:sz w:val="22"/>
          <w:szCs w:val="22"/>
        </w:rPr>
        <w:t>map</w:t>
      </w:r>
      <w:r>
        <w:rPr>
          <w:sz w:val="22"/>
          <w:szCs w:val="22"/>
        </w:rPr>
        <w:t>ping</w:t>
      </w:r>
      <w:r w:rsidR="00B57206" w:rsidRPr="0083746A">
        <w:rPr>
          <w:sz w:val="22"/>
          <w:szCs w:val="22"/>
        </w:rPr>
        <w:t xml:space="preserve"> </w:t>
      </w:r>
      <w:r w:rsidR="00861CD3" w:rsidRPr="0083746A">
        <w:rPr>
          <w:sz w:val="22"/>
          <w:szCs w:val="22"/>
        </w:rPr>
        <w:t>of &gt;5ha</w:t>
      </w:r>
      <w:r w:rsidR="00B57206" w:rsidRPr="0083746A">
        <w:rPr>
          <w:sz w:val="22"/>
          <w:szCs w:val="22"/>
        </w:rPr>
        <w:t xml:space="preserve"> </w:t>
      </w:r>
      <w:r>
        <w:rPr>
          <w:sz w:val="22"/>
          <w:szCs w:val="22"/>
        </w:rPr>
        <w:t xml:space="preserve">patches </w:t>
      </w:r>
      <w:r w:rsidR="00B57206" w:rsidRPr="0083746A">
        <w:rPr>
          <w:sz w:val="22"/>
          <w:szCs w:val="22"/>
        </w:rPr>
        <w:t>of combined r</w:t>
      </w:r>
      <w:r w:rsidR="00861CD3" w:rsidRPr="0083746A">
        <w:rPr>
          <w:sz w:val="22"/>
          <w:szCs w:val="22"/>
        </w:rPr>
        <w:t>ed/grey IBB attack</w:t>
      </w:r>
      <w:r>
        <w:rPr>
          <w:sz w:val="22"/>
          <w:szCs w:val="22"/>
        </w:rPr>
        <w:t xml:space="preserve">. </w:t>
      </w:r>
      <w:r w:rsidR="00861CD3" w:rsidRPr="0083746A">
        <w:rPr>
          <w:sz w:val="22"/>
          <w:szCs w:val="22"/>
        </w:rPr>
        <w:t xml:space="preserve"> </w:t>
      </w:r>
    </w:p>
    <w:p w:rsidR="00861CD3" w:rsidRPr="0083746A" w:rsidRDefault="00861CD3" w:rsidP="00861CD3">
      <w:pPr>
        <w:autoSpaceDE w:val="0"/>
        <w:autoSpaceDN w:val="0"/>
        <w:adjustRightInd w:val="0"/>
        <w:spacing w:after="120"/>
        <w:rPr>
          <w:sz w:val="22"/>
          <w:szCs w:val="22"/>
        </w:rPr>
      </w:pPr>
      <w:r w:rsidRPr="0083746A">
        <w:rPr>
          <w:sz w:val="22"/>
          <w:szCs w:val="22"/>
        </w:rPr>
        <w:t xml:space="preserve">Licensees are </w:t>
      </w:r>
      <w:r w:rsidR="005628BF">
        <w:rPr>
          <w:sz w:val="22"/>
          <w:szCs w:val="22"/>
        </w:rPr>
        <w:t xml:space="preserve">also </w:t>
      </w:r>
      <w:r w:rsidRPr="0083746A">
        <w:rPr>
          <w:sz w:val="22"/>
          <w:szCs w:val="22"/>
        </w:rPr>
        <w:t xml:space="preserve">encouraged to </w:t>
      </w:r>
      <w:r w:rsidR="005628BF">
        <w:rPr>
          <w:sz w:val="22"/>
          <w:szCs w:val="22"/>
        </w:rPr>
        <w:t xml:space="preserve">continue to </w:t>
      </w:r>
      <w:r w:rsidRPr="0083746A">
        <w:rPr>
          <w:sz w:val="22"/>
          <w:szCs w:val="22"/>
        </w:rPr>
        <w:t xml:space="preserve">employ approaches that </w:t>
      </w:r>
      <w:r w:rsidR="0083746A" w:rsidRPr="0083746A">
        <w:rPr>
          <w:sz w:val="22"/>
          <w:szCs w:val="22"/>
        </w:rPr>
        <w:t xml:space="preserve">may </w:t>
      </w:r>
      <w:r w:rsidRPr="0083746A">
        <w:rPr>
          <w:sz w:val="22"/>
          <w:szCs w:val="22"/>
        </w:rPr>
        <w:t>yield comparable information, e.g.:</w:t>
      </w:r>
    </w:p>
    <w:p w:rsidR="00861CD3" w:rsidRPr="0083746A" w:rsidRDefault="00861CD3" w:rsidP="00FF4BA1">
      <w:pPr>
        <w:pStyle w:val="ListParagraph"/>
        <w:numPr>
          <w:ilvl w:val="0"/>
          <w:numId w:val="8"/>
        </w:numPr>
        <w:ind w:left="357" w:hanging="357"/>
        <w:contextualSpacing w:val="0"/>
        <w:rPr>
          <w:sz w:val="22"/>
          <w:szCs w:val="22"/>
        </w:rPr>
      </w:pPr>
      <w:r w:rsidRPr="0083746A">
        <w:rPr>
          <w:sz w:val="22"/>
          <w:szCs w:val="22"/>
        </w:rPr>
        <w:t>helicopter reconnaissance (recce) of s</w:t>
      </w:r>
      <w:bookmarkStart w:id="1" w:name="_GoBack"/>
      <w:bookmarkEnd w:id="1"/>
      <w:r w:rsidRPr="0083746A">
        <w:rPr>
          <w:sz w:val="22"/>
          <w:szCs w:val="22"/>
        </w:rPr>
        <w:t xml:space="preserve">usceptible forest within operating areas; </w:t>
      </w:r>
    </w:p>
    <w:p w:rsidR="00861CD3" w:rsidRPr="0083746A" w:rsidRDefault="00861CD3" w:rsidP="00FF4BA1">
      <w:pPr>
        <w:pStyle w:val="ListParagraph"/>
        <w:numPr>
          <w:ilvl w:val="0"/>
          <w:numId w:val="8"/>
        </w:numPr>
        <w:ind w:left="357" w:hanging="357"/>
        <w:contextualSpacing w:val="0"/>
        <w:rPr>
          <w:sz w:val="22"/>
          <w:szCs w:val="22"/>
        </w:rPr>
      </w:pPr>
      <w:r w:rsidRPr="0083746A">
        <w:rPr>
          <w:sz w:val="22"/>
          <w:szCs w:val="22"/>
        </w:rPr>
        <w:t xml:space="preserve">obtain oblique photos of red/grey attack areas; delineate potential harvest areas and transfer to ground recce/ ground survey plan; </w:t>
      </w:r>
    </w:p>
    <w:p w:rsidR="00861CD3" w:rsidRPr="0083746A" w:rsidRDefault="00861CD3" w:rsidP="00FF4BA1">
      <w:pPr>
        <w:pStyle w:val="ListParagraph"/>
        <w:numPr>
          <w:ilvl w:val="0"/>
          <w:numId w:val="8"/>
        </w:numPr>
        <w:ind w:left="357" w:hanging="357"/>
        <w:contextualSpacing w:val="0"/>
        <w:rPr>
          <w:sz w:val="22"/>
          <w:szCs w:val="22"/>
        </w:rPr>
      </w:pPr>
      <w:proofErr w:type="gramStart"/>
      <w:r w:rsidRPr="0083746A">
        <w:rPr>
          <w:sz w:val="22"/>
          <w:szCs w:val="22"/>
        </w:rPr>
        <w:t>ensure</w:t>
      </w:r>
      <w:proofErr w:type="gramEnd"/>
      <w:r w:rsidRPr="0083746A">
        <w:rPr>
          <w:sz w:val="22"/>
          <w:szCs w:val="22"/>
        </w:rPr>
        <w:t xml:space="preserve"> recce captures intensity and extent of currents </w:t>
      </w:r>
      <w:r w:rsidR="000675DF">
        <w:rPr>
          <w:sz w:val="22"/>
          <w:szCs w:val="22"/>
        </w:rPr>
        <w:t>associated with red/grey attack.</w:t>
      </w:r>
    </w:p>
    <w:p w:rsidR="00861CD3" w:rsidRPr="0083746A" w:rsidRDefault="00861CD3" w:rsidP="00861CD3">
      <w:pPr>
        <w:rPr>
          <w:sz w:val="22"/>
          <w:szCs w:val="22"/>
        </w:rPr>
      </w:pPr>
    </w:p>
    <w:p w:rsidR="00861CD3" w:rsidRPr="0083746A" w:rsidRDefault="00861CD3" w:rsidP="00861CD3">
      <w:pPr>
        <w:rPr>
          <w:sz w:val="22"/>
          <w:szCs w:val="22"/>
        </w:rPr>
      </w:pPr>
      <w:r w:rsidRPr="0083746A">
        <w:rPr>
          <w:sz w:val="22"/>
          <w:szCs w:val="22"/>
        </w:rPr>
        <w:t xml:space="preserve">The District will </w:t>
      </w:r>
      <w:r w:rsidR="0083746A" w:rsidRPr="0083746A">
        <w:rPr>
          <w:sz w:val="22"/>
          <w:szCs w:val="22"/>
        </w:rPr>
        <w:t>commit to compile</w:t>
      </w:r>
      <w:r w:rsidRPr="0083746A">
        <w:rPr>
          <w:sz w:val="22"/>
          <w:szCs w:val="22"/>
        </w:rPr>
        <w:t xml:space="preserve"> any </w:t>
      </w:r>
      <w:r w:rsidR="0083746A">
        <w:rPr>
          <w:sz w:val="22"/>
          <w:szCs w:val="22"/>
        </w:rPr>
        <w:t>such</w:t>
      </w:r>
      <w:r w:rsidR="0083746A" w:rsidRPr="0083746A">
        <w:rPr>
          <w:sz w:val="22"/>
          <w:szCs w:val="22"/>
        </w:rPr>
        <w:t xml:space="preserve"> spatial</w:t>
      </w:r>
      <w:r w:rsidRPr="0083746A">
        <w:rPr>
          <w:sz w:val="22"/>
          <w:szCs w:val="22"/>
        </w:rPr>
        <w:t xml:space="preserve"> data submitted by licensees.</w:t>
      </w:r>
    </w:p>
    <w:p w:rsidR="00B57206" w:rsidRDefault="00B57206" w:rsidP="00861CD3">
      <w:pPr>
        <w:autoSpaceDE w:val="0"/>
        <w:autoSpaceDN w:val="0"/>
        <w:adjustRightInd w:val="0"/>
        <w:spacing w:after="120"/>
      </w:pPr>
    </w:p>
    <w:p w:rsidR="00C61B5A" w:rsidRPr="009B2D43" w:rsidRDefault="00B57206" w:rsidP="008B41AE">
      <w:pPr>
        <w:autoSpaceDE w:val="0"/>
        <w:autoSpaceDN w:val="0"/>
        <w:adjustRightInd w:val="0"/>
        <w:spacing w:after="120"/>
        <w:rPr>
          <w:b/>
          <w:i/>
        </w:rPr>
      </w:pPr>
      <w:r w:rsidRPr="009B2D43">
        <w:rPr>
          <w:b/>
          <w:i/>
        </w:rPr>
        <w:t xml:space="preserve">Tactic: Assign </w:t>
      </w:r>
      <w:proofErr w:type="spellStart"/>
      <w:r w:rsidRPr="009B2D43">
        <w:rPr>
          <w:b/>
          <w:i/>
        </w:rPr>
        <w:t>Actioning</w:t>
      </w:r>
      <w:proofErr w:type="spellEnd"/>
      <w:r w:rsidRPr="009B2D43">
        <w:rPr>
          <w:b/>
          <w:i/>
        </w:rPr>
        <w:t xml:space="preserve"> Strategy</w:t>
      </w:r>
      <w:r w:rsidR="009B2D43">
        <w:rPr>
          <w:b/>
          <w:i/>
        </w:rPr>
        <w:t>; update Beetle Tactical Plan</w:t>
      </w:r>
    </w:p>
    <w:p w:rsidR="000675DF" w:rsidRDefault="00A12662" w:rsidP="00FF4BA1">
      <w:pPr>
        <w:pStyle w:val="BodyText"/>
        <w:spacing w:before="120"/>
        <w:rPr>
          <w:sz w:val="22"/>
          <w:szCs w:val="22"/>
        </w:rPr>
      </w:pPr>
      <w:r w:rsidRPr="00A12662">
        <w:rPr>
          <w:sz w:val="22"/>
          <w:szCs w:val="22"/>
        </w:rPr>
        <w:t xml:space="preserve">The District will collaborate with Regional Forest Health staff and licensees in assigning a preliminary Treatment Tactic to </w:t>
      </w:r>
      <w:r>
        <w:rPr>
          <w:sz w:val="22"/>
          <w:szCs w:val="22"/>
        </w:rPr>
        <w:t>IBB spots and patches</w:t>
      </w:r>
      <w:r w:rsidRPr="00A12662">
        <w:rPr>
          <w:sz w:val="22"/>
          <w:szCs w:val="22"/>
        </w:rPr>
        <w:t xml:space="preserve">, annually by end of September. The collection of </w:t>
      </w:r>
      <w:r>
        <w:rPr>
          <w:sz w:val="22"/>
          <w:szCs w:val="22"/>
        </w:rPr>
        <w:t>spots</w:t>
      </w:r>
      <w:r w:rsidRPr="00A12662">
        <w:rPr>
          <w:sz w:val="22"/>
          <w:szCs w:val="22"/>
        </w:rPr>
        <w:t xml:space="preserve">/ </w:t>
      </w:r>
      <w:r>
        <w:rPr>
          <w:sz w:val="22"/>
          <w:szCs w:val="22"/>
        </w:rPr>
        <w:t>patches</w:t>
      </w:r>
      <w:r w:rsidRPr="00A12662">
        <w:rPr>
          <w:sz w:val="22"/>
          <w:szCs w:val="22"/>
        </w:rPr>
        <w:t xml:space="preserve"> and their preliminary Treatment Tactic are the basis of </w:t>
      </w:r>
      <w:r>
        <w:rPr>
          <w:sz w:val="22"/>
          <w:szCs w:val="22"/>
        </w:rPr>
        <w:t>the IBB</w:t>
      </w:r>
      <w:r w:rsidRPr="00A12662">
        <w:rPr>
          <w:sz w:val="22"/>
          <w:szCs w:val="22"/>
        </w:rPr>
        <w:t xml:space="preserve"> Tactical Plan (section 5), which guide</w:t>
      </w:r>
      <w:r>
        <w:rPr>
          <w:sz w:val="22"/>
          <w:szCs w:val="22"/>
        </w:rPr>
        <w:t>s</w:t>
      </w:r>
      <w:r w:rsidRPr="00A12662">
        <w:rPr>
          <w:sz w:val="22"/>
          <w:szCs w:val="22"/>
        </w:rPr>
        <w:t xml:space="preserve"> treatment activities.  Intent is to complete a revisit of Tactical Plans by November 30 of each year.</w:t>
      </w:r>
      <w:r w:rsidR="00FF4BA1">
        <w:rPr>
          <w:sz w:val="22"/>
          <w:szCs w:val="22"/>
        </w:rPr>
        <w:t xml:space="preserve"> </w:t>
      </w:r>
    </w:p>
    <w:p w:rsidR="00A12662" w:rsidRDefault="00A12662" w:rsidP="000675DF">
      <w:pPr>
        <w:pStyle w:val="BodyText"/>
        <w:spacing w:before="120"/>
        <w:rPr>
          <w:sz w:val="22"/>
          <w:szCs w:val="22"/>
        </w:rPr>
      </w:pPr>
      <w:r w:rsidRPr="00A12662">
        <w:rPr>
          <w:sz w:val="22"/>
          <w:szCs w:val="22"/>
        </w:rPr>
        <w:t xml:space="preserve">Table XX </w:t>
      </w:r>
      <w:r>
        <w:rPr>
          <w:sz w:val="22"/>
          <w:szCs w:val="22"/>
        </w:rPr>
        <w:t xml:space="preserve">lists considerations that can be used to guide </w:t>
      </w:r>
      <w:r w:rsidRPr="00A12662">
        <w:rPr>
          <w:sz w:val="22"/>
          <w:szCs w:val="22"/>
        </w:rPr>
        <w:t>Treatment Tactic selection.</w:t>
      </w:r>
      <w:r w:rsidR="00FF4BA1">
        <w:rPr>
          <w:sz w:val="22"/>
          <w:szCs w:val="22"/>
        </w:rPr>
        <w:t xml:space="preserve"> </w:t>
      </w:r>
    </w:p>
    <w:p w:rsidR="00A12662" w:rsidRPr="000675DF" w:rsidRDefault="00A12662" w:rsidP="000675DF">
      <w:pPr>
        <w:pStyle w:val="Caption"/>
        <w:ind w:left="120"/>
        <w:rPr>
          <w:rFonts w:asciiTheme="minorHAnsi" w:hAnsiTheme="minorHAnsi" w:cstheme="minorHAnsi"/>
          <w:color w:val="FF0000"/>
          <w:sz w:val="22"/>
          <w:szCs w:val="22"/>
        </w:rPr>
      </w:pPr>
      <w:bookmarkStart w:id="2" w:name="_Toc488036038"/>
      <w:bookmarkStart w:id="3" w:name="_Toc490546606"/>
      <w:bookmarkStart w:id="4" w:name="_Toc490550964"/>
      <w:bookmarkStart w:id="5" w:name="_Toc490551034"/>
      <w:bookmarkStart w:id="6" w:name="_Toc490551380"/>
      <w:bookmarkStart w:id="7" w:name="_Toc490552595"/>
      <w:bookmarkStart w:id="8" w:name="_Toc490553796"/>
      <w:bookmarkStart w:id="9" w:name="_Toc490556848"/>
      <w:bookmarkStart w:id="10" w:name="_Toc490625938"/>
      <w:r w:rsidRPr="000675DF">
        <w:rPr>
          <w:rFonts w:asciiTheme="minorHAnsi" w:hAnsiTheme="minorHAnsi" w:cstheme="minorHAnsi"/>
          <w:color w:val="FF0000"/>
          <w:sz w:val="22"/>
          <w:szCs w:val="22"/>
        </w:rPr>
        <w:t xml:space="preserve">Table XX: </w:t>
      </w:r>
      <w:r w:rsidR="009E39E7" w:rsidRPr="000675DF">
        <w:rPr>
          <w:rFonts w:asciiTheme="minorHAnsi" w:hAnsiTheme="minorHAnsi" w:cstheme="minorHAnsi"/>
          <w:color w:val="FF0000"/>
          <w:sz w:val="22"/>
          <w:szCs w:val="22"/>
        </w:rPr>
        <w:t>IBB</w:t>
      </w:r>
      <w:r w:rsidRPr="000675DF">
        <w:rPr>
          <w:rFonts w:asciiTheme="minorHAnsi" w:hAnsiTheme="minorHAnsi" w:cstheme="minorHAnsi"/>
          <w:snapToGrid w:val="0"/>
          <w:color w:val="FF0000"/>
          <w:sz w:val="22"/>
          <w:szCs w:val="22"/>
          <w:lang w:eastAsia="en-US"/>
        </w:rPr>
        <w:t xml:space="preserve"> </w:t>
      </w:r>
      <w:bookmarkEnd w:id="2"/>
      <w:bookmarkEnd w:id="3"/>
      <w:bookmarkEnd w:id="4"/>
      <w:bookmarkEnd w:id="5"/>
      <w:bookmarkEnd w:id="6"/>
      <w:bookmarkEnd w:id="7"/>
      <w:bookmarkEnd w:id="8"/>
      <w:bookmarkEnd w:id="9"/>
      <w:bookmarkEnd w:id="10"/>
      <w:proofErr w:type="spellStart"/>
      <w:r w:rsidR="009E39E7" w:rsidRPr="000675DF">
        <w:rPr>
          <w:rFonts w:asciiTheme="minorHAnsi" w:hAnsiTheme="minorHAnsi" w:cstheme="minorHAnsi"/>
          <w:snapToGrid w:val="0"/>
          <w:color w:val="FF0000"/>
          <w:sz w:val="22"/>
          <w:szCs w:val="22"/>
          <w:lang w:eastAsia="en-US"/>
        </w:rPr>
        <w:t>Actioning</w:t>
      </w:r>
      <w:proofErr w:type="spellEnd"/>
      <w:r w:rsidR="009E39E7" w:rsidRPr="000675DF">
        <w:rPr>
          <w:rFonts w:asciiTheme="minorHAnsi" w:hAnsiTheme="minorHAnsi" w:cstheme="minorHAnsi"/>
          <w:snapToGrid w:val="0"/>
          <w:color w:val="FF0000"/>
          <w:sz w:val="22"/>
          <w:szCs w:val="22"/>
          <w:lang w:eastAsia="en-US"/>
        </w:rPr>
        <w:t xml:space="preserve"> </w:t>
      </w:r>
      <w:r w:rsidRPr="000675DF">
        <w:rPr>
          <w:rFonts w:asciiTheme="minorHAnsi" w:hAnsiTheme="minorHAnsi" w:cstheme="minorHAnsi"/>
          <w:snapToGrid w:val="0"/>
          <w:color w:val="FF0000"/>
          <w:sz w:val="22"/>
          <w:szCs w:val="22"/>
          <w:lang w:eastAsia="en-US"/>
        </w:rPr>
        <w:t>Strategy</w:t>
      </w:r>
      <w:r w:rsidR="004E79F7" w:rsidRPr="000675DF">
        <w:rPr>
          <w:rFonts w:asciiTheme="minorHAnsi" w:hAnsiTheme="minorHAnsi" w:cstheme="minorHAnsi"/>
          <w:snapToGrid w:val="0"/>
          <w:color w:val="FF0000"/>
          <w:sz w:val="22"/>
          <w:szCs w:val="22"/>
          <w:lang w:eastAsia="en-US"/>
        </w:rPr>
        <w:t xml:space="preserve"> (Assumes High Hazard Forest)</w:t>
      </w:r>
    </w:p>
    <w:tbl>
      <w:tblPr>
        <w:tblW w:w="0" w:type="auto"/>
        <w:jc w:val="center"/>
        <w:tblLayout w:type="fixed"/>
        <w:tblCellMar>
          <w:left w:w="54" w:type="dxa"/>
          <w:right w:w="54" w:type="dxa"/>
        </w:tblCellMar>
        <w:tblLook w:val="0000" w:firstRow="0" w:lastRow="0" w:firstColumn="0" w:lastColumn="0" w:noHBand="0" w:noVBand="0"/>
      </w:tblPr>
      <w:tblGrid>
        <w:gridCol w:w="2367"/>
        <w:gridCol w:w="2694"/>
        <w:gridCol w:w="981"/>
        <w:gridCol w:w="153"/>
        <w:gridCol w:w="981"/>
        <w:gridCol w:w="153"/>
        <w:gridCol w:w="1095"/>
      </w:tblGrid>
      <w:tr w:rsidR="00A12662" w:rsidTr="009E39E7">
        <w:trPr>
          <w:cantSplit/>
          <w:jc w:val="center"/>
        </w:trPr>
        <w:tc>
          <w:tcPr>
            <w:tcW w:w="2367" w:type="dxa"/>
          </w:tcPr>
          <w:p w:rsidR="00A12662" w:rsidRDefault="00A12662" w:rsidP="009E39E7">
            <w:pPr>
              <w:widowControl w:val="0"/>
              <w:jc w:val="center"/>
              <w:rPr>
                <w:b/>
                <w:snapToGrid w:val="0"/>
                <w:sz w:val="20"/>
              </w:rPr>
            </w:pPr>
            <w:r>
              <w:rPr>
                <w:b/>
                <w:snapToGrid w:val="0"/>
                <w:sz w:val="20"/>
              </w:rPr>
              <w:t xml:space="preserve">LRMP </w:t>
            </w:r>
            <w:r w:rsidRPr="00833132">
              <w:rPr>
                <w:b/>
                <w:snapToGrid w:val="0"/>
                <w:sz w:val="20"/>
              </w:rPr>
              <w:t>Zonation</w:t>
            </w:r>
          </w:p>
          <w:p w:rsidR="00A12662" w:rsidRDefault="00A12662" w:rsidP="009E39E7">
            <w:pPr>
              <w:widowControl w:val="0"/>
              <w:jc w:val="center"/>
              <w:rPr>
                <w:b/>
                <w:snapToGrid w:val="0"/>
                <w:sz w:val="20"/>
              </w:rPr>
            </w:pPr>
          </w:p>
        </w:tc>
        <w:tc>
          <w:tcPr>
            <w:tcW w:w="2694" w:type="dxa"/>
          </w:tcPr>
          <w:p w:rsidR="00A12662" w:rsidRDefault="009E39E7" w:rsidP="009E39E7">
            <w:pPr>
              <w:widowControl w:val="0"/>
              <w:jc w:val="center"/>
              <w:rPr>
                <w:b/>
                <w:snapToGrid w:val="0"/>
                <w:sz w:val="20"/>
              </w:rPr>
            </w:pPr>
            <w:r>
              <w:rPr>
                <w:b/>
                <w:snapToGrid w:val="0"/>
                <w:sz w:val="20"/>
              </w:rPr>
              <w:t>Distance from active road</w:t>
            </w:r>
          </w:p>
        </w:tc>
        <w:tc>
          <w:tcPr>
            <w:tcW w:w="3363" w:type="dxa"/>
            <w:gridSpan w:val="5"/>
          </w:tcPr>
          <w:p w:rsidR="00A12662" w:rsidRDefault="009E39E7" w:rsidP="009E39E7">
            <w:pPr>
              <w:widowControl w:val="0"/>
              <w:jc w:val="center"/>
              <w:rPr>
                <w:b/>
                <w:snapToGrid w:val="0"/>
                <w:sz w:val="20"/>
              </w:rPr>
            </w:pPr>
            <w:r>
              <w:rPr>
                <w:b/>
                <w:snapToGrid w:val="0"/>
                <w:sz w:val="20"/>
              </w:rPr>
              <w:t>Spot versus Patch</w:t>
            </w:r>
          </w:p>
          <w:p w:rsidR="00A12662" w:rsidRDefault="00A12662" w:rsidP="009E39E7">
            <w:pPr>
              <w:widowControl w:val="0"/>
              <w:jc w:val="center"/>
              <w:rPr>
                <w:b/>
                <w:snapToGrid w:val="0"/>
                <w:sz w:val="20"/>
              </w:rPr>
            </w:pPr>
          </w:p>
        </w:tc>
      </w:tr>
      <w:tr w:rsidR="00A12662" w:rsidTr="009E39E7">
        <w:trPr>
          <w:jc w:val="center"/>
        </w:trPr>
        <w:tc>
          <w:tcPr>
            <w:tcW w:w="2367" w:type="dxa"/>
            <w:vAlign w:val="center"/>
          </w:tcPr>
          <w:p w:rsidR="00A12662" w:rsidRPr="00833132" w:rsidRDefault="00A12662" w:rsidP="00FB4547">
            <w:pPr>
              <w:widowControl w:val="0"/>
              <w:jc w:val="center"/>
              <w:rPr>
                <w:b/>
                <w:snapToGrid w:val="0"/>
                <w:sz w:val="20"/>
              </w:rPr>
            </w:pPr>
          </w:p>
        </w:tc>
        <w:tc>
          <w:tcPr>
            <w:tcW w:w="2694" w:type="dxa"/>
          </w:tcPr>
          <w:p w:rsidR="00A12662" w:rsidRDefault="00A12662" w:rsidP="00FB4547">
            <w:pPr>
              <w:widowControl w:val="0"/>
              <w:jc w:val="center"/>
              <w:rPr>
                <w:snapToGrid w:val="0"/>
                <w:sz w:val="20"/>
              </w:rPr>
            </w:pPr>
          </w:p>
        </w:tc>
        <w:tc>
          <w:tcPr>
            <w:tcW w:w="981" w:type="dxa"/>
            <w:vAlign w:val="center"/>
          </w:tcPr>
          <w:p w:rsidR="00A12662" w:rsidRDefault="009E39E7" w:rsidP="00FB4547">
            <w:pPr>
              <w:widowControl w:val="0"/>
              <w:jc w:val="center"/>
              <w:rPr>
                <w:snapToGrid w:val="0"/>
                <w:sz w:val="20"/>
              </w:rPr>
            </w:pPr>
            <w:r>
              <w:rPr>
                <w:snapToGrid w:val="0"/>
                <w:sz w:val="20"/>
              </w:rPr>
              <w:t>Spot</w:t>
            </w:r>
          </w:p>
        </w:tc>
        <w:tc>
          <w:tcPr>
            <w:tcW w:w="1134" w:type="dxa"/>
            <w:gridSpan w:val="2"/>
            <w:vAlign w:val="center"/>
          </w:tcPr>
          <w:p w:rsidR="00A12662" w:rsidRDefault="009E39E7" w:rsidP="00FB4547">
            <w:pPr>
              <w:widowControl w:val="0"/>
              <w:jc w:val="center"/>
              <w:rPr>
                <w:snapToGrid w:val="0"/>
                <w:sz w:val="20"/>
              </w:rPr>
            </w:pPr>
            <w:r>
              <w:rPr>
                <w:snapToGrid w:val="0"/>
                <w:sz w:val="20"/>
              </w:rPr>
              <w:t>Patch &lt;5ha</w:t>
            </w:r>
          </w:p>
        </w:tc>
        <w:tc>
          <w:tcPr>
            <w:tcW w:w="1248" w:type="dxa"/>
            <w:gridSpan w:val="2"/>
            <w:vAlign w:val="center"/>
          </w:tcPr>
          <w:p w:rsidR="00A12662" w:rsidRDefault="009E39E7" w:rsidP="00FB4547">
            <w:pPr>
              <w:widowControl w:val="0"/>
              <w:jc w:val="center"/>
              <w:rPr>
                <w:snapToGrid w:val="0"/>
                <w:sz w:val="20"/>
              </w:rPr>
            </w:pPr>
            <w:r>
              <w:rPr>
                <w:snapToGrid w:val="0"/>
                <w:sz w:val="20"/>
              </w:rPr>
              <w:t>Patch &gt;=5 ha</w:t>
            </w:r>
          </w:p>
        </w:tc>
      </w:tr>
      <w:tr w:rsidR="00A12662" w:rsidTr="00FB4547">
        <w:trPr>
          <w:jc w:val="center"/>
        </w:trPr>
        <w:tc>
          <w:tcPr>
            <w:tcW w:w="2367" w:type="dxa"/>
          </w:tcPr>
          <w:p w:rsidR="00A12662" w:rsidRDefault="00A12662" w:rsidP="00FB4547">
            <w:pPr>
              <w:widowControl w:val="0"/>
              <w:jc w:val="center"/>
              <w:rPr>
                <w:snapToGrid w:val="0"/>
                <w:sz w:val="20"/>
              </w:rPr>
            </w:pPr>
          </w:p>
        </w:tc>
        <w:tc>
          <w:tcPr>
            <w:tcW w:w="2694" w:type="dxa"/>
          </w:tcPr>
          <w:p w:rsidR="00A12662" w:rsidRDefault="00A12662" w:rsidP="00FB4547">
            <w:pPr>
              <w:widowControl w:val="0"/>
              <w:rPr>
                <w:snapToGrid w:val="0"/>
                <w:sz w:val="20"/>
              </w:rPr>
            </w:pPr>
          </w:p>
        </w:tc>
        <w:tc>
          <w:tcPr>
            <w:tcW w:w="1134" w:type="dxa"/>
            <w:gridSpan w:val="2"/>
          </w:tcPr>
          <w:p w:rsidR="00A12662" w:rsidRDefault="00A12662" w:rsidP="00FB4547">
            <w:pPr>
              <w:widowControl w:val="0"/>
              <w:jc w:val="center"/>
              <w:rPr>
                <w:snapToGrid w:val="0"/>
                <w:sz w:val="20"/>
              </w:rPr>
            </w:pPr>
          </w:p>
        </w:tc>
        <w:tc>
          <w:tcPr>
            <w:tcW w:w="1134" w:type="dxa"/>
            <w:gridSpan w:val="2"/>
          </w:tcPr>
          <w:p w:rsidR="00A12662" w:rsidRDefault="00A12662" w:rsidP="00FB4547">
            <w:pPr>
              <w:widowControl w:val="0"/>
              <w:jc w:val="center"/>
              <w:rPr>
                <w:snapToGrid w:val="0"/>
                <w:sz w:val="20"/>
              </w:rPr>
            </w:pPr>
          </w:p>
        </w:tc>
        <w:tc>
          <w:tcPr>
            <w:tcW w:w="1095" w:type="dxa"/>
          </w:tcPr>
          <w:p w:rsidR="00A12662" w:rsidRDefault="00A12662" w:rsidP="00FB4547">
            <w:pPr>
              <w:widowControl w:val="0"/>
              <w:jc w:val="center"/>
              <w:rPr>
                <w:snapToGrid w:val="0"/>
                <w:sz w:val="20"/>
              </w:rPr>
            </w:pPr>
          </w:p>
        </w:tc>
      </w:tr>
      <w:tr w:rsidR="00A12662" w:rsidTr="00FB4547">
        <w:trPr>
          <w:cantSplit/>
          <w:trHeight w:val="270"/>
          <w:jc w:val="center"/>
        </w:trPr>
        <w:tc>
          <w:tcPr>
            <w:tcW w:w="2367" w:type="dxa"/>
          </w:tcPr>
          <w:p w:rsidR="00A12662" w:rsidRDefault="00A12662" w:rsidP="00FB4547">
            <w:pPr>
              <w:widowControl w:val="0"/>
              <w:rPr>
                <w:snapToGrid w:val="0"/>
                <w:sz w:val="20"/>
              </w:rPr>
            </w:pPr>
          </w:p>
        </w:tc>
        <w:tc>
          <w:tcPr>
            <w:tcW w:w="2694" w:type="dxa"/>
          </w:tcPr>
          <w:p w:rsidR="00A12662" w:rsidRDefault="00A12662" w:rsidP="00FB4547">
            <w:pPr>
              <w:widowControl w:val="0"/>
              <w:rPr>
                <w:snapToGrid w:val="0"/>
                <w:sz w:val="20"/>
              </w:rPr>
            </w:pPr>
          </w:p>
        </w:tc>
        <w:tc>
          <w:tcPr>
            <w:tcW w:w="3363" w:type="dxa"/>
            <w:gridSpan w:val="5"/>
          </w:tcPr>
          <w:p w:rsidR="00A12662" w:rsidRPr="00833132" w:rsidRDefault="00A12662" w:rsidP="00FB4547">
            <w:pPr>
              <w:widowControl w:val="0"/>
              <w:jc w:val="center"/>
              <w:rPr>
                <w:b/>
                <w:snapToGrid w:val="0"/>
                <w:sz w:val="20"/>
              </w:rPr>
            </w:pPr>
            <w:r>
              <w:rPr>
                <w:b/>
                <w:snapToGrid w:val="0"/>
                <w:sz w:val="20"/>
              </w:rPr>
              <w:t>Treatment Tactic</w:t>
            </w:r>
          </w:p>
        </w:tc>
      </w:tr>
      <w:tr w:rsidR="004E79F7" w:rsidTr="00FB4547">
        <w:trPr>
          <w:jc w:val="center"/>
        </w:trPr>
        <w:tc>
          <w:tcPr>
            <w:tcW w:w="2367" w:type="dxa"/>
          </w:tcPr>
          <w:p w:rsidR="004E79F7" w:rsidRPr="009E39E7" w:rsidRDefault="004E79F7" w:rsidP="00FB4547">
            <w:pPr>
              <w:widowControl w:val="0"/>
              <w:jc w:val="center"/>
              <w:rPr>
                <w:b/>
                <w:snapToGrid w:val="0"/>
                <w:sz w:val="20"/>
              </w:rPr>
            </w:pPr>
            <w:r>
              <w:rPr>
                <w:b/>
                <w:snapToGrid w:val="0"/>
                <w:sz w:val="20"/>
              </w:rPr>
              <w:t>“Protected”</w:t>
            </w:r>
          </w:p>
        </w:tc>
        <w:tc>
          <w:tcPr>
            <w:tcW w:w="2694" w:type="dxa"/>
          </w:tcPr>
          <w:p w:rsidR="004E79F7" w:rsidRDefault="004E79F7" w:rsidP="00FB4547">
            <w:pPr>
              <w:widowControl w:val="0"/>
              <w:jc w:val="center"/>
              <w:rPr>
                <w:snapToGrid w:val="0"/>
                <w:sz w:val="20"/>
              </w:rPr>
            </w:pPr>
            <w:r>
              <w:rPr>
                <w:snapToGrid w:val="0"/>
                <w:sz w:val="20"/>
              </w:rPr>
              <w:t xml:space="preserve"> &gt; 500m</w:t>
            </w:r>
          </w:p>
        </w:tc>
        <w:tc>
          <w:tcPr>
            <w:tcW w:w="1134" w:type="dxa"/>
            <w:gridSpan w:val="2"/>
            <w:tcBorders>
              <w:top w:val="single" w:sz="12" w:space="0" w:color="auto"/>
              <w:left w:val="single" w:sz="12" w:space="0" w:color="auto"/>
              <w:bottom w:val="single" w:sz="6" w:space="0" w:color="auto"/>
              <w:right w:val="single" w:sz="6" w:space="0" w:color="auto"/>
            </w:tcBorders>
          </w:tcPr>
          <w:p w:rsidR="004E79F7" w:rsidRDefault="004E79F7" w:rsidP="00FB4547">
            <w:pPr>
              <w:widowControl w:val="0"/>
              <w:jc w:val="center"/>
              <w:rPr>
                <w:snapToGrid w:val="0"/>
                <w:sz w:val="20"/>
              </w:rPr>
            </w:pPr>
            <w:r>
              <w:rPr>
                <w:snapToGrid w:val="0"/>
                <w:sz w:val="20"/>
              </w:rPr>
              <w:t>A</w:t>
            </w:r>
          </w:p>
        </w:tc>
        <w:tc>
          <w:tcPr>
            <w:tcW w:w="1134" w:type="dxa"/>
            <w:gridSpan w:val="2"/>
            <w:tcBorders>
              <w:top w:val="single" w:sz="12" w:space="0" w:color="auto"/>
              <w:left w:val="single" w:sz="6" w:space="0" w:color="auto"/>
              <w:bottom w:val="single" w:sz="6" w:space="0" w:color="auto"/>
              <w:right w:val="single" w:sz="6" w:space="0" w:color="auto"/>
            </w:tcBorders>
          </w:tcPr>
          <w:p w:rsidR="004E79F7" w:rsidRDefault="004E79F7" w:rsidP="00FB4547">
            <w:pPr>
              <w:widowControl w:val="0"/>
              <w:jc w:val="center"/>
              <w:rPr>
                <w:snapToGrid w:val="0"/>
                <w:sz w:val="20"/>
              </w:rPr>
            </w:pPr>
            <w:r>
              <w:rPr>
                <w:snapToGrid w:val="0"/>
                <w:sz w:val="20"/>
              </w:rPr>
              <w:t>A</w:t>
            </w:r>
          </w:p>
        </w:tc>
        <w:tc>
          <w:tcPr>
            <w:tcW w:w="1095" w:type="dxa"/>
            <w:tcBorders>
              <w:top w:val="single" w:sz="12" w:space="0" w:color="auto"/>
              <w:left w:val="single" w:sz="6" w:space="0" w:color="auto"/>
              <w:bottom w:val="single" w:sz="6" w:space="0" w:color="auto"/>
              <w:right w:val="single" w:sz="12" w:space="0" w:color="auto"/>
            </w:tcBorders>
          </w:tcPr>
          <w:p w:rsidR="004E79F7" w:rsidRDefault="004E79F7" w:rsidP="00FB4547">
            <w:pPr>
              <w:widowControl w:val="0"/>
              <w:jc w:val="center"/>
              <w:rPr>
                <w:snapToGrid w:val="0"/>
                <w:sz w:val="20"/>
              </w:rPr>
            </w:pPr>
            <w:r>
              <w:rPr>
                <w:snapToGrid w:val="0"/>
                <w:sz w:val="20"/>
              </w:rPr>
              <w:t>A</w:t>
            </w:r>
          </w:p>
        </w:tc>
      </w:tr>
      <w:tr w:rsidR="004E79F7" w:rsidTr="00256988">
        <w:trPr>
          <w:jc w:val="center"/>
        </w:trPr>
        <w:tc>
          <w:tcPr>
            <w:tcW w:w="2367" w:type="dxa"/>
          </w:tcPr>
          <w:p w:rsidR="004E79F7" w:rsidRDefault="004E79F7" w:rsidP="00775442">
            <w:pPr>
              <w:widowControl w:val="0"/>
              <w:jc w:val="center"/>
              <w:rPr>
                <w:i/>
                <w:snapToGrid w:val="0"/>
                <w:sz w:val="20"/>
              </w:rPr>
            </w:pPr>
            <w:r>
              <w:rPr>
                <w:i/>
                <w:snapToGrid w:val="0"/>
                <w:sz w:val="20"/>
              </w:rPr>
              <w:t xml:space="preserve">PR, SMZ1, </w:t>
            </w:r>
            <w:r w:rsidR="00775442">
              <w:rPr>
                <w:i/>
                <w:snapToGrid w:val="0"/>
                <w:sz w:val="20"/>
              </w:rPr>
              <w:t>NCO. PVQ,</w:t>
            </w:r>
          </w:p>
        </w:tc>
        <w:tc>
          <w:tcPr>
            <w:tcW w:w="2694" w:type="dxa"/>
          </w:tcPr>
          <w:p w:rsidR="004E79F7" w:rsidRDefault="004E79F7" w:rsidP="00FB4547">
            <w:pPr>
              <w:widowControl w:val="0"/>
              <w:jc w:val="center"/>
              <w:rPr>
                <w:snapToGrid w:val="0"/>
                <w:sz w:val="20"/>
              </w:rPr>
            </w:pPr>
            <w:r>
              <w:rPr>
                <w:snapToGrid w:val="0"/>
                <w:sz w:val="20"/>
              </w:rPr>
              <w:t>&lt;= 500m</w:t>
            </w:r>
          </w:p>
        </w:tc>
        <w:tc>
          <w:tcPr>
            <w:tcW w:w="1134" w:type="dxa"/>
            <w:gridSpan w:val="2"/>
            <w:tcBorders>
              <w:top w:val="single" w:sz="6" w:space="0" w:color="auto"/>
              <w:left w:val="single" w:sz="12" w:space="0" w:color="auto"/>
              <w:bottom w:val="single" w:sz="12" w:space="0" w:color="auto"/>
              <w:right w:val="single" w:sz="6" w:space="0" w:color="auto"/>
            </w:tcBorders>
          </w:tcPr>
          <w:p w:rsidR="004E79F7" w:rsidRDefault="004E79F7" w:rsidP="00FB4547">
            <w:pPr>
              <w:widowControl w:val="0"/>
              <w:jc w:val="center"/>
              <w:rPr>
                <w:snapToGrid w:val="0"/>
                <w:sz w:val="20"/>
              </w:rPr>
            </w:pPr>
            <w:r>
              <w:rPr>
                <w:snapToGrid w:val="0"/>
                <w:sz w:val="20"/>
              </w:rPr>
              <w:t>B</w:t>
            </w:r>
          </w:p>
        </w:tc>
        <w:tc>
          <w:tcPr>
            <w:tcW w:w="1134" w:type="dxa"/>
            <w:gridSpan w:val="2"/>
            <w:tcBorders>
              <w:top w:val="single" w:sz="6" w:space="0" w:color="auto"/>
              <w:left w:val="single" w:sz="6" w:space="0" w:color="auto"/>
              <w:bottom w:val="single" w:sz="12" w:space="0" w:color="auto"/>
              <w:right w:val="single" w:sz="6" w:space="0" w:color="auto"/>
            </w:tcBorders>
          </w:tcPr>
          <w:p w:rsidR="004E79F7" w:rsidRDefault="004E79F7" w:rsidP="00FB4547">
            <w:pPr>
              <w:widowControl w:val="0"/>
              <w:jc w:val="center"/>
              <w:rPr>
                <w:snapToGrid w:val="0"/>
                <w:sz w:val="20"/>
              </w:rPr>
            </w:pPr>
            <w:r>
              <w:rPr>
                <w:snapToGrid w:val="0"/>
                <w:sz w:val="20"/>
              </w:rPr>
              <w:t>A</w:t>
            </w:r>
          </w:p>
        </w:tc>
        <w:tc>
          <w:tcPr>
            <w:tcW w:w="1095" w:type="dxa"/>
            <w:tcBorders>
              <w:top w:val="single" w:sz="6" w:space="0" w:color="auto"/>
              <w:left w:val="single" w:sz="6" w:space="0" w:color="auto"/>
              <w:bottom w:val="single" w:sz="12" w:space="0" w:color="auto"/>
              <w:right w:val="single" w:sz="12" w:space="0" w:color="auto"/>
            </w:tcBorders>
          </w:tcPr>
          <w:p w:rsidR="004E79F7" w:rsidRDefault="004E79F7" w:rsidP="00FB4547">
            <w:pPr>
              <w:widowControl w:val="0"/>
              <w:jc w:val="center"/>
              <w:rPr>
                <w:snapToGrid w:val="0"/>
                <w:sz w:val="20"/>
              </w:rPr>
            </w:pPr>
            <w:r>
              <w:rPr>
                <w:snapToGrid w:val="0"/>
                <w:sz w:val="20"/>
              </w:rPr>
              <w:t>A</w:t>
            </w:r>
          </w:p>
        </w:tc>
      </w:tr>
      <w:tr w:rsidR="004E79F7" w:rsidTr="00256988">
        <w:trPr>
          <w:trHeight w:val="270"/>
          <w:jc w:val="center"/>
        </w:trPr>
        <w:tc>
          <w:tcPr>
            <w:tcW w:w="2367" w:type="dxa"/>
          </w:tcPr>
          <w:p w:rsidR="004E79F7" w:rsidRDefault="00775442" w:rsidP="00FB4547">
            <w:pPr>
              <w:widowControl w:val="0"/>
              <w:jc w:val="center"/>
              <w:rPr>
                <w:snapToGrid w:val="0"/>
                <w:sz w:val="20"/>
              </w:rPr>
            </w:pPr>
            <w:r>
              <w:rPr>
                <w:i/>
                <w:snapToGrid w:val="0"/>
                <w:sz w:val="20"/>
              </w:rPr>
              <w:t>WTRA, RRZ</w:t>
            </w:r>
          </w:p>
        </w:tc>
        <w:tc>
          <w:tcPr>
            <w:tcW w:w="2694" w:type="dxa"/>
          </w:tcPr>
          <w:p w:rsidR="004E79F7" w:rsidRDefault="004E79F7" w:rsidP="00FB4547">
            <w:pPr>
              <w:widowControl w:val="0"/>
              <w:jc w:val="center"/>
              <w:rPr>
                <w:snapToGrid w:val="0"/>
                <w:sz w:val="20"/>
              </w:rPr>
            </w:pPr>
          </w:p>
        </w:tc>
        <w:tc>
          <w:tcPr>
            <w:tcW w:w="1134" w:type="dxa"/>
            <w:gridSpan w:val="2"/>
          </w:tcPr>
          <w:p w:rsidR="004E79F7" w:rsidRDefault="004E79F7" w:rsidP="00FB4547">
            <w:pPr>
              <w:widowControl w:val="0"/>
              <w:jc w:val="center"/>
              <w:rPr>
                <w:snapToGrid w:val="0"/>
                <w:sz w:val="20"/>
              </w:rPr>
            </w:pPr>
          </w:p>
        </w:tc>
        <w:tc>
          <w:tcPr>
            <w:tcW w:w="1134" w:type="dxa"/>
            <w:gridSpan w:val="2"/>
          </w:tcPr>
          <w:p w:rsidR="004E79F7" w:rsidRDefault="004E79F7" w:rsidP="00FB4547">
            <w:pPr>
              <w:widowControl w:val="0"/>
              <w:jc w:val="center"/>
              <w:rPr>
                <w:snapToGrid w:val="0"/>
                <w:sz w:val="20"/>
              </w:rPr>
            </w:pPr>
          </w:p>
        </w:tc>
        <w:tc>
          <w:tcPr>
            <w:tcW w:w="1095" w:type="dxa"/>
          </w:tcPr>
          <w:p w:rsidR="004E79F7" w:rsidRDefault="004E79F7" w:rsidP="00FB4547">
            <w:pPr>
              <w:widowControl w:val="0"/>
              <w:jc w:val="center"/>
              <w:rPr>
                <w:snapToGrid w:val="0"/>
                <w:sz w:val="20"/>
              </w:rPr>
            </w:pPr>
          </w:p>
        </w:tc>
      </w:tr>
      <w:tr w:rsidR="004E79F7" w:rsidTr="00775442">
        <w:trPr>
          <w:jc w:val="center"/>
        </w:trPr>
        <w:tc>
          <w:tcPr>
            <w:tcW w:w="2367" w:type="dxa"/>
          </w:tcPr>
          <w:p w:rsidR="004E79F7" w:rsidRDefault="004E79F7" w:rsidP="00FB4547">
            <w:pPr>
              <w:widowControl w:val="0"/>
              <w:rPr>
                <w:snapToGrid w:val="0"/>
                <w:sz w:val="20"/>
              </w:rPr>
            </w:pPr>
          </w:p>
        </w:tc>
        <w:tc>
          <w:tcPr>
            <w:tcW w:w="2694" w:type="dxa"/>
          </w:tcPr>
          <w:p w:rsidR="004E79F7" w:rsidRDefault="004E79F7" w:rsidP="00FB4547">
            <w:pPr>
              <w:widowControl w:val="0"/>
              <w:jc w:val="center"/>
              <w:rPr>
                <w:snapToGrid w:val="0"/>
                <w:sz w:val="20"/>
              </w:rPr>
            </w:pPr>
          </w:p>
        </w:tc>
        <w:tc>
          <w:tcPr>
            <w:tcW w:w="1134" w:type="dxa"/>
            <w:gridSpan w:val="2"/>
          </w:tcPr>
          <w:p w:rsidR="004E79F7" w:rsidRDefault="004E79F7" w:rsidP="00FB4547">
            <w:pPr>
              <w:widowControl w:val="0"/>
              <w:jc w:val="center"/>
              <w:rPr>
                <w:snapToGrid w:val="0"/>
                <w:sz w:val="20"/>
              </w:rPr>
            </w:pPr>
          </w:p>
        </w:tc>
        <w:tc>
          <w:tcPr>
            <w:tcW w:w="1134" w:type="dxa"/>
            <w:gridSpan w:val="2"/>
          </w:tcPr>
          <w:p w:rsidR="004E79F7" w:rsidRDefault="004E79F7" w:rsidP="00FB4547">
            <w:pPr>
              <w:widowControl w:val="0"/>
              <w:jc w:val="center"/>
              <w:rPr>
                <w:snapToGrid w:val="0"/>
                <w:sz w:val="20"/>
              </w:rPr>
            </w:pPr>
          </w:p>
        </w:tc>
        <w:tc>
          <w:tcPr>
            <w:tcW w:w="1095" w:type="dxa"/>
          </w:tcPr>
          <w:p w:rsidR="004E79F7" w:rsidRDefault="004E79F7" w:rsidP="00FB4547">
            <w:pPr>
              <w:widowControl w:val="0"/>
              <w:jc w:val="center"/>
              <w:rPr>
                <w:snapToGrid w:val="0"/>
                <w:sz w:val="20"/>
              </w:rPr>
            </w:pPr>
          </w:p>
        </w:tc>
      </w:tr>
      <w:tr w:rsidR="004E79F7" w:rsidTr="00775442">
        <w:trPr>
          <w:trHeight w:val="270"/>
          <w:jc w:val="center"/>
        </w:trPr>
        <w:tc>
          <w:tcPr>
            <w:tcW w:w="2367" w:type="dxa"/>
          </w:tcPr>
          <w:p w:rsidR="004E79F7" w:rsidRDefault="004E79F7" w:rsidP="00FB4547">
            <w:pPr>
              <w:widowControl w:val="0"/>
              <w:rPr>
                <w:snapToGrid w:val="0"/>
                <w:sz w:val="20"/>
              </w:rPr>
            </w:pPr>
          </w:p>
        </w:tc>
        <w:tc>
          <w:tcPr>
            <w:tcW w:w="2694" w:type="dxa"/>
          </w:tcPr>
          <w:p w:rsidR="004E79F7" w:rsidRDefault="004E79F7" w:rsidP="00FB4547">
            <w:pPr>
              <w:widowControl w:val="0"/>
              <w:jc w:val="center"/>
              <w:rPr>
                <w:snapToGrid w:val="0"/>
                <w:sz w:val="20"/>
              </w:rPr>
            </w:pPr>
          </w:p>
        </w:tc>
        <w:tc>
          <w:tcPr>
            <w:tcW w:w="1134" w:type="dxa"/>
            <w:gridSpan w:val="2"/>
            <w:tcBorders>
              <w:bottom w:val="single" w:sz="12" w:space="0" w:color="auto"/>
            </w:tcBorders>
            <w:vAlign w:val="center"/>
          </w:tcPr>
          <w:p w:rsidR="004E79F7" w:rsidRDefault="004E79F7" w:rsidP="00FB4547">
            <w:pPr>
              <w:widowControl w:val="0"/>
              <w:jc w:val="center"/>
              <w:rPr>
                <w:snapToGrid w:val="0"/>
                <w:sz w:val="20"/>
              </w:rPr>
            </w:pPr>
          </w:p>
        </w:tc>
        <w:tc>
          <w:tcPr>
            <w:tcW w:w="1134" w:type="dxa"/>
            <w:gridSpan w:val="2"/>
            <w:tcBorders>
              <w:bottom w:val="single" w:sz="12" w:space="0" w:color="auto"/>
            </w:tcBorders>
            <w:vAlign w:val="center"/>
          </w:tcPr>
          <w:p w:rsidR="004E79F7" w:rsidRDefault="004E79F7" w:rsidP="00FB4547">
            <w:pPr>
              <w:widowControl w:val="0"/>
              <w:jc w:val="center"/>
              <w:rPr>
                <w:snapToGrid w:val="0"/>
                <w:sz w:val="20"/>
              </w:rPr>
            </w:pPr>
          </w:p>
        </w:tc>
        <w:tc>
          <w:tcPr>
            <w:tcW w:w="1095" w:type="dxa"/>
            <w:tcBorders>
              <w:bottom w:val="single" w:sz="12" w:space="0" w:color="auto"/>
            </w:tcBorders>
            <w:vAlign w:val="center"/>
          </w:tcPr>
          <w:p w:rsidR="004E79F7" w:rsidRDefault="004E79F7" w:rsidP="00FB4547">
            <w:pPr>
              <w:widowControl w:val="0"/>
              <w:jc w:val="center"/>
              <w:rPr>
                <w:snapToGrid w:val="0"/>
                <w:sz w:val="20"/>
              </w:rPr>
            </w:pPr>
          </w:p>
        </w:tc>
      </w:tr>
      <w:tr w:rsidR="004E79F7" w:rsidTr="00775442">
        <w:trPr>
          <w:jc w:val="center"/>
        </w:trPr>
        <w:tc>
          <w:tcPr>
            <w:tcW w:w="2367" w:type="dxa"/>
          </w:tcPr>
          <w:p w:rsidR="004E79F7" w:rsidRDefault="004E79F7" w:rsidP="00FB4547">
            <w:pPr>
              <w:widowControl w:val="0"/>
              <w:jc w:val="center"/>
              <w:rPr>
                <w:snapToGrid w:val="0"/>
                <w:sz w:val="20"/>
              </w:rPr>
            </w:pPr>
            <w:r w:rsidRPr="009E39E7">
              <w:rPr>
                <w:b/>
                <w:snapToGrid w:val="0"/>
                <w:sz w:val="20"/>
              </w:rPr>
              <w:t>"Special Consideration"</w:t>
            </w:r>
          </w:p>
        </w:tc>
        <w:tc>
          <w:tcPr>
            <w:tcW w:w="2694" w:type="dxa"/>
          </w:tcPr>
          <w:p w:rsidR="004E79F7" w:rsidRDefault="004E79F7" w:rsidP="00FB4547">
            <w:pPr>
              <w:widowControl w:val="0"/>
              <w:jc w:val="center"/>
              <w:rPr>
                <w:snapToGrid w:val="0"/>
                <w:sz w:val="20"/>
              </w:rPr>
            </w:pPr>
            <w:r>
              <w:rPr>
                <w:snapToGrid w:val="0"/>
                <w:sz w:val="20"/>
              </w:rPr>
              <w:t xml:space="preserve"> &gt; 500m</w:t>
            </w:r>
          </w:p>
        </w:tc>
        <w:tc>
          <w:tcPr>
            <w:tcW w:w="1134" w:type="dxa"/>
            <w:gridSpan w:val="2"/>
            <w:tcBorders>
              <w:top w:val="single" w:sz="12" w:space="0" w:color="auto"/>
              <w:left w:val="single" w:sz="12" w:space="0" w:color="auto"/>
              <w:bottom w:val="single" w:sz="6" w:space="0" w:color="auto"/>
              <w:right w:val="single" w:sz="6" w:space="0" w:color="auto"/>
            </w:tcBorders>
            <w:vAlign w:val="center"/>
          </w:tcPr>
          <w:p w:rsidR="004E79F7" w:rsidRDefault="00775442" w:rsidP="00FB4547">
            <w:pPr>
              <w:widowControl w:val="0"/>
              <w:jc w:val="center"/>
              <w:rPr>
                <w:snapToGrid w:val="0"/>
                <w:sz w:val="20"/>
              </w:rPr>
            </w:pPr>
            <w:r>
              <w:rPr>
                <w:snapToGrid w:val="0"/>
                <w:sz w:val="20"/>
              </w:rPr>
              <w:t>A</w:t>
            </w:r>
          </w:p>
        </w:tc>
        <w:tc>
          <w:tcPr>
            <w:tcW w:w="1134" w:type="dxa"/>
            <w:gridSpan w:val="2"/>
            <w:tcBorders>
              <w:top w:val="single" w:sz="12" w:space="0" w:color="auto"/>
              <w:left w:val="single" w:sz="6" w:space="0" w:color="auto"/>
              <w:bottom w:val="single" w:sz="6" w:space="0" w:color="auto"/>
              <w:right w:val="single" w:sz="6" w:space="0" w:color="auto"/>
            </w:tcBorders>
            <w:vAlign w:val="center"/>
          </w:tcPr>
          <w:p w:rsidR="004E79F7" w:rsidRDefault="00775442" w:rsidP="00FB4547">
            <w:pPr>
              <w:widowControl w:val="0"/>
              <w:jc w:val="center"/>
              <w:rPr>
                <w:snapToGrid w:val="0"/>
                <w:sz w:val="20"/>
              </w:rPr>
            </w:pPr>
            <w:r>
              <w:rPr>
                <w:snapToGrid w:val="0"/>
                <w:sz w:val="20"/>
              </w:rPr>
              <w:t>A</w:t>
            </w:r>
          </w:p>
        </w:tc>
        <w:tc>
          <w:tcPr>
            <w:tcW w:w="1095" w:type="dxa"/>
            <w:tcBorders>
              <w:top w:val="single" w:sz="12" w:space="0" w:color="auto"/>
              <w:left w:val="single" w:sz="6" w:space="0" w:color="auto"/>
              <w:bottom w:val="single" w:sz="6" w:space="0" w:color="auto"/>
              <w:right w:val="single" w:sz="12" w:space="0" w:color="auto"/>
            </w:tcBorders>
            <w:vAlign w:val="center"/>
          </w:tcPr>
          <w:p w:rsidR="004E79F7" w:rsidRDefault="00775442" w:rsidP="00FB4547">
            <w:pPr>
              <w:widowControl w:val="0"/>
              <w:jc w:val="center"/>
              <w:rPr>
                <w:snapToGrid w:val="0"/>
                <w:sz w:val="20"/>
              </w:rPr>
            </w:pPr>
            <w:r>
              <w:rPr>
                <w:snapToGrid w:val="0"/>
                <w:sz w:val="20"/>
              </w:rPr>
              <w:t>A</w:t>
            </w:r>
          </w:p>
        </w:tc>
      </w:tr>
      <w:tr w:rsidR="00775442" w:rsidTr="007023D4">
        <w:trPr>
          <w:jc w:val="center"/>
        </w:trPr>
        <w:tc>
          <w:tcPr>
            <w:tcW w:w="2367" w:type="dxa"/>
          </w:tcPr>
          <w:p w:rsidR="00775442" w:rsidRDefault="00775442" w:rsidP="00775442">
            <w:pPr>
              <w:widowControl w:val="0"/>
              <w:jc w:val="center"/>
              <w:rPr>
                <w:i/>
                <w:snapToGrid w:val="0"/>
                <w:sz w:val="20"/>
              </w:rPr>
            </w:pPr>
            <w:r>
              <w:rPr>
                <w:i/>
                <w:snapToGrid w:val="0"/>
                <w:sz w:val="20"/>
              </w:rPr>
              <w:t>CE</w:t>
            </w:r>
            <w:r w:rsidR="00BA7C4C">
              <w:rPr>
                <w:i/>
                <w:snapToGrid w:val="0"/>
                <w:sz w:val="20"/>
              </w:rPr>
              <w:t>, WHA</w:t>
            </w:r>
          </w:p>
        </w:tc>
        <w:tc>
          <w:tcPr>
            <w:tcW w:w="2694" w:type="dxa"/>
          </w:tcPr>
          <w:p w:rsidR="00775442" w:rsidRDefault="00775442" w:rsidP="00FB4547">
            <w:pPr>
              <w:widowControl w:val="0"/>
              <w:jc w:val="center"/>
              <w:rPr>
                <w:snapToGrid w:val="0"/>
                <w:sz w:val="20"/>
              </w:rPr>
            </w:pPr>
            <w:r>
              <w:rPr>
                <w:snapToGrid w:val="0"/>
                <w:sz w:val="20"/>
              </w:rPr>
              <w:t>&lt;= 500m</w:t>
            </w:r>
          </w:p>
        </w:tc>
        <w:tc>
          <w:tcPr>
            <w:tcW w:w="1134" w:type="dxa"/>
            <w:gridSpan w:val="2"/>
            <w:tcBorders>
              <w:top w:val="single" w:sz="6" w:space="0" w:color="auto"/>
              <w:left w:val="single" w:sz="12" w:space="0" w:color="auto"/>
              <w:bottom w:val="single" w:sz="12" w:space="0" w:color="auto"/>
              <w:right w:val="single" w:sz="6" w:space="0" w:color="auto"/>
            </w:tcBorders>
            <w:vAlign w:val="center"/>
          </w:tcPr>
          <w:p w:rsidR="00775442" w:rsidRDefault="00775442" w:rsidP="00FB4547">
            <w:pPr>
              <w:widowControl w:val="0"/>
              <w:jc w:val="center"/>
              <w:rPr>
                <w:snapToGrid w:val="0"/>
                <w:sz w:val="20"/>
              </w:rPr>
            </w:pPr>
            <w:r>
              <w:rPr>
                <w:snapToGrid w:val="0"/>
                <w:sz w:val="20"/>
              </w:rPr>
              <w:t>B</w:t>
            </w:r>
          </w:p>
        </w:tc>
        <w:tc>
          <w:tcPr>
            <w:tcW w:w="1134" w:type="dxa"/>
            <w:gridSpan w:val="2"/>
            <w:tcBorders>
              <w:top w:val="single" w:sz="6" w:space="0" w:color="auto"/>
              <w:left w:val="single" w:sz="6" w:space="0" w:color="auto"/>
              <w:bottom w:val="single" w:sz="12" w:space="0" w:color="auto"/>
              <w:right w:val="single" w:sz="6" w:space="0" w:color="auto"/>
            </w:tcBorders>
            <w:vAlign w:val="center"/>
          </w:tcPr>
          <w:p w:rsidR="00775442" w:rsidRDefault="00775442" w:rsidP="00FB4547">
            <w:pPr>
              <w:widowControl w:val="0"/>
              <w:jc w:val="center"/>
              <w:rPr>
                <w:snapToGrid w:val="0"/>
                <w:sz w:val="20"/>
              </w:rPr>
            </w:pPr>
            <w:r>
              <w:rPr>
                <w:snapToGrid w:val="0"/>
                <w:sz w:val="20"/>
              </w:rPr>
              <w:t>C, D</w:t>
            </w:r>
          </w:p>
        </w:tc>
        <w:tc>
          <w:tcPr>
            <w:tcW w:w="1095" w:type="dxa"/>
            <w:tcBorders>
              <w:top w:val="single" w:sz="6" w:space="0" w:color="auto"/>
              <w:left w:val="single" w:sz="6" w:space="0" w:color="auto"/>
              <w:bottom w:val="single" w:sz="12" w:space="0" w:color="auto"/>
              <w:right w:val="single" w:sz="12" w:space="0" w:color="auto"/>
            </w:tcBorders>
            <w:vAlign w:val="center"/>
          </w:tcPr>
          <w:p w:rsidR="00775442" w:rsidRDefault="00775442" w:rsidP="00FB4547">
            <w:pPr>
              <w:widowControl w:val="0"/>
              <w:jc w:val="center"/>
              <w:rPr>
                <w:snapToGrid w:val="0"/>
                <w:sz w:val="20"/>
              </w:rPr>
            </w:pPr>
            <w:r>
              <w:rPr>
                <w:snapToGrid w:val="0"/>
                <w:sz w:val="20"/>
              </w:rPr>
              <w:t>C, D</w:t>
            </w:r>
          </w:p>
        </w:tc>
      </w:tr>
      <w:tr w:rsidR="00775442" w:rsidTr="007023D4">
        <w:trPr>
          <w:trHeight w:val="270"/>
          <w:jc w:val="center"/>
        </w:trPr>
        <w:tc>
          <w:tcPr>
            <w:tcW w:w="2367" w:type="dxa"/>
          </w:tcPr>
          <w:p w:rsidR="00775442" w:rsidRDefault="00775442" w:rsidP="00FB4547">
            <w:pPr>
              <w:widowControl w:val="0"/>
              <w:jc w:val="center"/>
              <w:rPr>
                <w:snapToGrid w:val="0"/>
                <w:sz w:val="20"/>
              </w:rPr>
            </w:pPr>
          </w:p>
        </w:tc>
        <w:tc>
          <w:tcPr>
            <w:tcW w:w="2694" w:type="dxa"/>
          </w:tcPr>
          <w:p w:rsidR="00775442" w:rsidRDefault="00775442" w:rsidP="00FB4547">
            <w:pPr>
              <w:widowControl w:val="0"/>
              <w:jc w:val="center"/>
              <w:rPr>
                <w:snapToGrid w:val="0"/>
                <w:sz w:val="20"/>
              </w:rPr>
            </w:pPr>
          </w:p>
        </w:tc>
        <w:tc>
          <w:tcPr>
            <w:tcW w:w="1134" w:type="dxa"/>
            <w:gridSpan w:val="2"/>
          </w:tcPr>
          <w:p w:rsidR="00775442" w:rsidRDefault="00775442" w:rsidP="00FB4547">
            <w:pPr>
              <w:widowControl w:val="0"/>
              <w:jc w:val="center"/>
              <w:rPr>
                <w:snapToGrid w:val="0"/>
                <w:sz w:val="20"/>
              </w:rPr>
            </w:pPr>
          </w:p>
        </w:tc>
        <w:tc>
          <w:tcPr>
            <w:tcW w:w="1134" w:type="dxa"/>
            <w:gridSpan w:val="2"/>
          </w:tcPr>
          <w:p w:rsidR="00775442" w:rsidRDefault="00775442" w:rsidP="00FB4547">
            <w:pPr>
              <w:widowControl w:val="0"/>
              <w:jc w:val="center"/>
              <w:rPr>
                <w:snapToGrid w:val="0"/>
                <w:sz w:val="20"/>
              </w:rPr>
            </w:pPr>
          </w:p>
        </w:tc>
        <w:tc>
          <w:tcPr>
            <w:tcW w:w="1095" w:type="dxa"/>
          </w:tcPr>
          <w:p w:rsidR="00775442" w:rsidRDefault="00775442" w:rsidP="00FB4547">
            <w:pPr>
              <w:widowControl w:val="0"/>
              <w:jc w:val="center"/>
              <w:rPr>
                <w:snapToGrid w:val="0"/>
                <w:sz w:val="20"/>
              </w:rPr>
            </w:pPr>
          </w:p>
        </w:tc>
      </w:tr>
      <w:tr w:rsidR="00775442" w:rsidTr="00BA7C4C">
        <w:trPr>
          <w:jc w:val="center"/>
        </w:trPr>
        <w:tc>
          <w:tcPr>
            <w:tcW w:w="2367" w:type="dxa"/>
          </w:tcPr>
          <w:p w:rsidR="00775442" w:rsidRDefault="00775442" w:rsidP="00FB4547">
            <w:pPr>
              <w:widowControl w:val="0"/>
              <w:rPr>
                <w:snapToGrid w:val="0"/>
                <w:sz w:val="20"/>
              </w:rPr>
            </w:pPr>
          </w:p>
        </w:tc>
        <w:tc>
          <w:tcPr>
            <w:tcW w:w="2694" w:type="dxa"/>
          </w:tcPr>
          <w:p w:rsidR="00775442" w:rsidRDefault="00775442" w:rsidP="00FB4547">
            <w:pPr>
              <w:widowControl w:val="0"/>
              <w:jc w:val="center"/>
              <w:rPr>
                <w:snapToGrid w:val="0"/>
                <w:sz w:val="20"/>
              </w:rPr>
            </w:pPr>
          </w:p>
        </w:tc>
        <w:tc>
          <w:tcPr>
            <w:tcW w:w="1134" w:type="dxa"/>
            <w:gridSpan w:val="2"/>
          </w:tcPr>
          <w:p w:rsidR="00775442" w:rsidRDefault="00775442" w:rsidP="00FB4547">
            <w:pPr>
              <w:widowControl w:val="0"/>
              <w:rPr>
                <w:snapToGrid w:val="0"/>
                <w:sz w:val="20"/>
              </w:rPr>
            </w:pPr>
          </w:p>
        </w:tc>
        <w:tc>
          <w:tcPr>
            <w:tcW w:w="1134" w:type="dxa"/>
            <w:gridSpan w:val="2"/>
          </w:tcPr>
          <w:p w:rsidR="00775442" w:rsidRDefault="00775442" w:rsidP="00FB4547">
            <w:pPr>
              <w:widowControl w:val="0"/>
              <w:jc w:val="center"/>
              <w:rPr>
                <w:snapToGrid w:val="0"/>
                <w:sz w:val="20"/>
              </w:rPr>
            </w:pPr>
          </w:p>
        </w:tc>
        <w:tc>
          <w:tcPr>
            <w:tcW w:w="1095" w:type="dxa"/>
          </w:tcPr>
          <w:p w:rsidR="00775442" w:rsidRDefault="00775442" w:rsidP="00FB4547">
            <w:pPr>
              <w:widowControl w:val="0"/>
              <w:jc w:val="center"/>
              <w:rPr>
                <w:snapToGrid w:val="0"/>
                <w:sz w:val="20"/>
              </w:rPr>
            </w:pPr>
          </w:p>
        </w:tc>
      </w:tr>
      <w:tr w:rsidR="00775442" w:rsidTr="00BA7C4C">
        <w:trPr>
          <w:trHeight w:val="270"/>
          <w:jc w:val="center"/>
        </w:trPr>
        <w:tc>
          <w:tcPr>
            <w:tcW w:w="2367" w:type="dxa"/>
          </w:tcPr>
          <w:p w:rsidR="00775442" w:rsidRDefault="00775442" w:rsidP="00FB4547">
            <w:pPr>
              <w:widowControl w:val="0"/>
              <w:rPr>
                <w:snapToGrid w:val="0"/>
                <w:sz w:val="20"/>
              </w:rPr>
            </w:pPr>
          </w:p>
        </w:tc>
        <w:tc>
          <w:tcPr>
            <w:tcW w:w="2694" w:type="dxa"/>
          </w:tcPr>
          <w:p w:rsidR="00775442" w:rsidRDefault="00775442" w:rsidP="00FB4547">
            <w:pPr>
              <w:widowControl w:val="0"/>
              <w:jc w:val="center"/>
              <w:rPr>
                <w:snapToGrid w:val="0"/>
                <w:sz w:val="20"/>
              </w:rPr>
            </w:pPr>
          </w:p>
        </w:tc>
        <w:tc>
          <w:tcPr>
            <w:tcW w:w="1134" w:type="dxa"/>
            <w:gridSpan w:val="2"/>
            <w:tcBorders>
              <w:bottom w:val="single" w:sz="12" w:space="0" w:color="auto"/>
            </w:tcBorders>
            <w:vAlign w:val="center"/>
          </w:tcPr>
          <w:p w:rsidR="00775442" w:rsidRDefault="00775442" w:rsidP="00FB4547">
            <w:pPr>
              <w:widowControl w:val="0"/>
              <w:jc w:val="center"/>
              <w:rPr>
                <w:snapToGrid w:val="0"/>
                <w:sz w:val="20"/>
              </w:rPr>
            </w:pPr>
          </w:p>
        </w:tc>
        <w:tc>
          <w:tcPr>
            <w:tcW w:w="1134" w:type="dxa"/>
            <w:gridSpan w:val="2"/>
            <w:tcBorders>
              <w:bottom w:val="single" w:sz="12" w:space="0" w:color="auto"/>
            </w:tcBorders>
            <w:vAlign w:val="center"/>
          </w:tcPr>
          <w:p w:rsidR="00775442" w:rsidRDefault="00775442" w:rsidP="00FB4547">
            <w:pPr>
              <w:widowControl w:val="0"/>
              <w:jc w:val="center"/>
              <w:rPr>
                <w:snapToGrid w:val="0"/>
                <w:sz w:val="20"/>
              </w:rPr>
            </w:pPr>
          </w:p>
        </w:tc>
        <w:tc>
          <w:tcPr>
            <w:tcW w:w="1095" w:type="dxa"/>
            <w:tcBorders>
              <w:bottom w:val="single" w:sz="12" w:space="0" w:color="auto"/>
            </w:tcBorders>
            <w:vAlign w:val="center"/>
          </w:tcPr>
          <w:p w:rsidR="00775442" w:rsidRDefault="00775442" w:rsidP="00FB4547">
            <w:pPr>
              <w:widowControl w:val="0"/>
              <w:jc w:val="center"/>
              <w:rPr>
                <w:snapToGrid w:val="0"/>
                <w:sz w:val="20"/>
              </w:rPr>
            </w:pPr>
          </w:p>
        </w:tc>
      </w:tr>
      <w:tr w:rsidR="00775442" w:rsidTr="00BA7C4C">
        <w:trPr>
          <w:jc w:val="center"/>
        </w:trPr>
        <w:tc>
          <w:tcPr>
            <w:tcW w:w="2367" w:type="dxa"/>
          </w:tcPr>
          <w:p w:rsidR="00775442" w:rsidRPr="009E39E7" w:rsidRDefault="00775442" w:rsidP="00FB4547">
            <w:pPr>
              <w:widowControl w:val="0"/>
              <w:jc w:val="center"/>
              <w:rPr>
                <w:b/>
                <w:snapToGrid w:val="0"/>
                <w:sz w:val="20"/>
              </w:rPr>
            </w:pPr>
            <w:r w:rsidRPr="009E39E7">
              <w:rPr>
                <w:b/>
                <w:snapToGrid w:val="0"/>
                <w:sz w:val="20"/>
              </w:rPr>
              <w:t>"Conventional"</w:t>
            </w:r>
          </w:p>
        </w:tc>
        <w:tc>
          <w:tcPr>
            <w:tcW w:w="2694" w:type="dxa"/>
          </w:tcPr>
          <w:p w:rsidR="00775442" w:rsidRDefault="00775442" w:rsidP="00FB4547">
            <w:pPr>
              <w:widowControl w:val="0"/>
              <w:jc w:val="center"/>
              <w:rPr>
                <w:snapToGrid w:val="0"/>
                <w:sz w:val="20"/>
              </w:rPr>
            </w:pPr>
            <w:r>
              <w:rPr>
                <w:snapToGrid w:val="0"/>
                <w:sz w:val="20"/>
              </w:rPr>
              <w:t xml:space="preserve"> &gt; 1000m</w:t>
            </w:r>
          </w:p>
        </w:tc>
        <w:tc>
          <w:tcPr>
            <w:tcW w:w="1134" w:type="dxa"/>
            <w:gridSpan w:val="2"/>
            <w:tcBorders>
              <w:top w:val="single" w:sz="12" w:space="0" w:color="auto"/>
              <w:left w:val="single" w:sz="12" w:space="0" w:color="auto"/>
              <w:bottom w:val="single" w:sz="6" w:space="0" w:color="auto"/>
              <w:right w:val="single" w:sz="6" w:space="0" w:color="auto"/>
            </w:tcBorders>
            <w:vAlign w:val="center"/>
          </w:tcPr>
          <w:p w:rsidR="00775442" w:rsidRDefault="00775442" w:rsidP="00FB4547">
            <w:pPr>
              <w:widowControl w:val="0"/>
              <w:jc w:val="center"/>
              <w:rPr>
                <w:snapToGrid w:val="0"/>
                <w:sz w:val="20"/>
              </w:rPr>
            </w:pPr>
            <w:r>
              <w:rPr>
                <w:snapToGrid w:val="0"/>
                <w:sz w:val="20"/>
              </w:rPr>
              <w:t>A</w:t>
            </w:r>
          </w:p>
        </w:tc>
        <w:tc>
          <w:tcPr>
            <w:tcW w:w="1134" w:type="dxa"/>
            <w:gridSpan w:val="2"/>
            <w:tcBorders>
              <w:top w:val="single" w:sz="12" w:space="0" w:color="auto"/>
              <w:left w:val="single" w:sz="6" w:space="0" w:color="auto"/>
              <w:bottom w:val="single" w:sz="6" w:space="0" w:color="auto"/>
              <w:right w:val="single" w:sz="6" w:space="0" w:color="auto"/>
            </w:tcBorders>
            <w:vAlign w:val="center"/>
          </w:tcPr>
          <w:p w:rsidR="00775442" w:rsidRDefault="00BA7C4C" w:rsidP="00FB4547">
            <w:pPr>
              <w:widowControl w:val="0"/>
              <w:jc w:val="center"/>
              <w:rPr>
                <w:snapToGrid w:val="0"/>
                <w:sz w:val="20"/>
              </w:rPr>
            </w:pPr>
            <w:r>
              <w:rPr>
                <w:snapToGrid w:val="0"/>
                <w:sz w:val="20"/>
              </w:rPr>
              <w:t>A</w:t>
            </w:r>
          </w:p>
        </w:tc>
        <w:tc>
          <w:tcPr>
            <w:tcW w:w="1095" w:type="dxa"/>
            <w:tcBorders>
              <w:top w:val="single" w:sz="12" w:space="0" w:color="auto"/>
              <w:left w:val="single" w:sz="6" w:space="0" w:color="auto"/>
              <w:bottom w:val="single" w:sz="6" w:space="0" w:color="auto"/>
              <w:right w:val="single" w:sz="12" w:space="0" w:color="auto"/>
            </w:tcBorders>
            <w:vAlign w:val="center"/>
          </w:tcPr>
          <w:p w:rsidR="00775442" w:rsidRDefault="00BA7C4C" w:rsidP="00FB4547">
            <w:pPr>
              <w:widowControl w:val="0"/>
              <w:jc w:val="center"/>
              <w:rPr>
                <w:snapToGrid w:val="0"/>
                <w:sz w:val="20"/>
              </w:rPr>
            </w:pPr>
            <w:r>
              <w:rPr>
                <w:snapToGrid w:val="0"/>
                <w:sz w:val="20"/>
              </w:rPr>
              <w:t>A</w:t>
            </w:r>
          </w:p>
        </w:tc>
      </w:tr>
      <w:tr w:rsidR="00775442" w:rsidTr="007023D4">
        <w:trPr>
          <w:jc w:val="center"/>
        </w:trPr>
        <w:tc>
          <w:tcPr>
            <w:tcW w:w="2367" w:type="dxa"/>
          </w:tcPr>
          <w:p w:rsidR="00775442" w:rsidRDefault="00775442" w:rsidP="00775442">
            <w:pPr>
              <w:widowControl w:val="0"/>
              <w:jc w:val="center"/>
              <w:rPr>
                <w:i/>
                <w:snapToGrid w:val="0"/>
                <w:sz w:val="20"/>
              </w:rPr>
            </w:pPr>
            <w:r>
              <w:rPr>
                <w:i/>
                <w:snapToGrid w:val="0"/>
                <w:sz w:val="20"/>
              </w:rPr>
              <w:t xml:space="preserve">SMZ2, </w:t>
            </w:r>
            <w:r w:rsidR="00A1011C">
              <w:rPr>
                <w:i/>
                <w:snapToGrid w:val="0"/>
                <w:sz w:val="20"/>
              </w:rPr>
              <w:t>ETD, IRM, RMZ</w:t>
            </w:r>
          </w:p>
        </w:tc>
        <w:tc>
          <w:tcPr>
            <w:tcW w:w="2694" w:type="dxa"/>
          </w:tcPr>
          <w:p w:rsidR="00775442" w:rsidRDefault="00775442" w:rsidP="00FB4547">
            <w:pPr>
              <w:widowControl w:val="0"/>
              <w:jc w:val="center"/>
              <w:rPr>
                <w:snapToGrid w:val="0"/>
                <w:sz w:val="20"/>
              </w:rPr>
            </w:pPr>
            <w:r>
              <w:rPr>
                <w:snapToGrid w:val="0"/>
                <w:sz w:val="20"/>
              </w:rPr>
              <w:t>&lt;= 1000m</w:t>
            </w:r>
          </w:p>
        </w:tc>
        <w:tc>
          <w:tcPr>
            <w:tcW w:w="1134" w:type="dxa"/>
            <w:gridSpan w:val="2"/>
            <w:tcBorders>
              <w:top w:val="single" w:sz="6" w:space="0" w:color="auto"/>
              <w:left w:val="single" w:sz="12" w:space="0" w:color="auto"/>
              <w:bottom w:val="single" w:sz="12" w:space="0" w:color="auto"/>
              <w:right w:val="single" w:sz="6" w:space="0" w:color="auto"/>
            </w:tcBorders>
            <w:vAlign w:val="center"/>
          </w:tcPr>
          <w:p w:rsidR="00775442" w:rsidRDefault="00BA7C4C" w:rsidP="00FB4547">
            <w:pPr>
              <w:widowControl w:val="0"/>
              <w:jc w:val="center"/>
              <w:rPr>
                <w:snapToGrid w:val="0"/>
                <w:sz w:val="20"/>
              </w:rPr>
            </w:pPr>
            <w:r>
              <w:rPr>
                <w:snapToGrid w:val="0"/>
                <w:sz w:val="20"/>
              </w:rPr>
              <w:t>B</w:t>
            </w:r>
          </w:p>
        </w:tc>
        <w:tc>
          <w:tcPr>
            <w:tcW w:w="1134" w:type="dxa"/>
            <w:gridSpan w:val="2"/>
            <w:tcBorders>
              <w:top w:val="single" w:sz="6" w:space="0" w:color="auto"/>
              <w:left w:val="single" w:sz="6" w:space="0" w:color="auto"/>
              <w:bottom w:val="single" w:sz="12" w:space="0" w:color="auto"/>
              <w:right w:val="single" w:sz="6" w:space="0" w:color="auto"/>
            </w:tcBorders>
            <w:vAlign w:val="center"/>
          </w:tcPr>
          <w:p w:rsidR="00775442" w:rsidRDefault="00BA7C4C" w:rsidP="00FB4547">
            <w:pPr>
              <w:widowControl w:val="0"/>
              <w:jc w:val="center"/>
              <w:rPr>
                <w:snapToGrid w:val="0"/>
                <w:sz w:val="20"/>
              </w:rPr>
            </w:pPr>
            <w:r>
              <w:rPr>
                <w:snapToGrid w:val="0"/>
                <w:sz w:val="20"/>
              </w:rPr>
              <w:t>C, D</w:t>
            </w:r>
          </w:p>
        </w:tc>
        <w:tc>
          <w:tcPr>
            <w:tcW w:w="1095" w:type="dxa"/>
            <w:tcBorders>
              <w:top w:val="single" w:sz="6" w:space="0" w:color="auto"/>
              <w:left w:val="single" w:sz="6" w:space="0" w:color="auto"/>
              <w:bottom w:val="single" w:sz="12" w:space="0" w:color="auto"/>
              <w:right w:val="single" w:sz="12" w:space="0" w:color="auto"/>
            </w:tcBorders>
            <w:vAlign w:val="center"/>
          </w:tcPr>
          <w:p w:rsidR="00775442" w:rsidRDefault="00BA7C4C" w:rsidP="00FB4547">
            <w:pPr>
              <w:widowControl w:val="0"/>
              <w:jc w:val="center"/>
              <w:rPr>
                <w:snapToGrid w:val="0"/>
                <w:sz w:val="20"/>
              </w:rPr>
            </w:pPr>
            <w:r>
              <w:rPr>
                <w:snapToGrid w:val="0"/>
                <w:sz w:val="20"/>
              </w:rPr>
              <w:t xml:space="preserve">C, </w:t>
            </w:r>
            <w:r w:rsidR="009A38DF">
              <w:rPr>
                <w:snapToGrid w:val="0"/>
                <w:sz w:val="20"/>
              </w:rPr>
              <w:t xml:space="preserve">D, </w:t>
            </w:r>
            <w:r>
              <w:rPr>
                <w:snapToGrid w:val="0"/>
                <w:sz w:val="20"/>
              </w:rPr>
              <w:t>E</w:t>
            </w:r>
          </w:p>
        </w:tc>
      </w:tr>
    </w:tbl>
    <w:p w:rsidR="00A12662" w:rsidRDefault="00A12662" w:rsidP="00A12662">
      <w:pPr>
        <w:widowControl w:val="0"/>
        <w:rPr>
          <w:snapToGrid w:val="0"/>
          <w:sz w:val="20"/>
        </w:rPr>
      </w:pPr>
    </w:p>
    <w:p w:rsidR="00A12662" w:rsidRPr="00766EE8" w:rsidRDefault="00A12662" w:rsidP="00A12662">
      <w:pPr>
        <w:ind w:firstLine="720"/>
        <w:rPr>
          <w:sz w:val="20"/>
          <w:u w:val="single"/>
        </w:rPr>
      </w:pPr>
      <w:r w:rsidRPr="00766EE8">
        <w:rPr>
          <w:sz w:val="20"/>
          <w:u w:val="single"/>
        </w:rPr>
        <w:t>Zonation</w:t>
      </w:r>
    </w:p>
    <w:p w:rsidR="00A12662" w:rsidRDefault="00A12662" w:rsidP="00A12662">
      <w:pPr>
        <w:widowControl w:val="0"/>
        <w:tabs>
          <w:tab w:val="left" w:pos="1584"/>
          <w:tab w:val="left" w:pos="3574"/>
        </w:tabs>
        <w:ind w:left="720"/>
        <w:rPr>
          <w:snapToGrid w:val="0"/>
          <w:sz w:val="20"/>
        </w:rPr>
      </w:pPr>
      <w:r>
        <w:rPr>
          <w:snapToGrid w:val="0"/>
          <w:sz w:val="20"/>
        </w:rPr>
        <w:t>PR</w:t>
      </w:r>
      <w:r>
        <w:rPr>
          <w:snapToGrid w:val="0"/>
          <w:sz w:val="20"/>
        </w:rPr>
        <w:tab/>
        <w:t xml:space="preserve">Protected (Park, </w:t>
      </w:r>
      <w:proofErr w:type="spellStart"/>
      <w:r>
        <w:rPr>
          <w:snapToGrid w:val="0"/>
          <w:sz w:val="20"/>
        </w:rPr>
        <w:t>EcoReserve</w:t>
      </w:r>
      <w:proofErr w:type="spellEnd"/>
      <w:r>
        <w:rPr>
          <w:snapToGrid w:val="0"/>
          <w:sz w:val="20"/>
        </w:rPr>
        <w:t>)</w:t>
      </w:r>
    </w:p>
    <w:p w:rsidR="00A12662" w:rsidRDefault="00A12662" w:rsidP="00A12662">
      <w:pPr>
        <w:widowControl w:val="0"/>
        <w:tabs>
          <w:tab w:val="left" w:pos="1584"/>
          <w:tab w:val="left" w:pos="3574"/>
        </w:tabs>
        <w:ind w:left="720"/>
        <w:rPr>
          <w:snapToGrid w:val="0"/>
          <w:sz w:val="20"/>
        </w:rPr>
      </w:pPr>
      <w:r>
        <w:rPr>
          <w:snapToGrid w:val="0"/>
          <w:sz w:val="20"/>
        </w:rPr>
        <w:t>SMZ 1</w:t>
      </w:r>
      <w:r>
        <w:rPr>
          <w:snapToGrid w:val="0"/>
          <w:sz w:val="20"/>
        </w:rPr>
        <w:tab/>
        <w:t xml:space="preserve">Special </w:t>
      </w:r>
      <w:proofErr w:type="spellStart"/>
      <w:r>
        <w:rPr>
          <w:snapToGrid w:val="0"/>
          <w:sz w:val="20"/>
        </w:rPr>
        <w:t>Mgt</w:t>
      </w:r>
      <w:proofErr w:type="spellEnd"/>
      <w:r>
        <w:rPr>
          <w:snapToGrid w:val="0"/>
          <w:sz w:val="20"/>
        </w:rPr>
        <w:t xml:space="preserve"> Zone (no harvest)</w:t>
      </w:r>
    </w:p>
    <w:p w:rsidR="00A12662" w:rsidRDefault="00A12662" w:rsidP="00A12662">
      <w:pPr>
        <w:widowControl w:val="0"/>
        <w:tabs>
          <w:tab w:val="left" w:pos="1584"/>
          <w:tab w:val="left" w:pos="3574"/>
        </w:tabs>
        <w:ind w:left="720"/>
        <w:rPr>
          <w:snapToGrid w:val="0"/>
          <w:sz w:val="20"/>
        </w:rPr>
      </w:pPr>
      <w:r>
        <w:rPr>
          <w:snapToGrid w:val="0"/>
          <w:sz w:val="20"/>
        </w:rPr>
        <w:t>CE</w:t>
      </w:r>
      <w:r>
        <w:rPr>
          <w:snapToGrid w:val="0"/>
          <w:sz w:val="20"/>
        </w:rPr>
        <w:tab/>
        <w:t>Forest Ecosystem Network - Core area</w:t>
      </w:r>
    </w:p>
    <w:p w:rsidR="00A12662" w:rsidRDefault="00A12662" w:rsidP="00A12662">
      <w:pPr>
        <w:widowControl w:val="0"/>
        <w:tabs>
          <w:tab w:val="left" w:pos="1584"/>
          <w:tab w:val="left" w:pos="3574"/>
        </w:tabs>
        <w:ind w:left="720"/>
        <w:rPr>
          <w:snapToGrid w:val="0"/>
          <w:sz w:val="20"/>
        </w:rPr>
      </w:pPr>
      <w:r>
        <w:rPr>
          <w:snapToGrid w:val="0"/>
          <w:sz w:val="20"/>
        </w:rPr>
        <w:t xml:space="preserve">NCO </w:t>
      </w:r>
      <w:r>
        <w:rPr>
          <w:snapToGrid w:val="0"/>
          <w:sz w:val="20"/>
        </w:rPr>
        <w:tab/>
        <w:t>Non-Crown</w:t>
      </w:r>
      <w:r w:rsidR="00775442">
        <w:rPr>
          <w:snapToGrid w:val="0"/>
          <w:sz w:val="20"/>
        </w:rPr>
        <w:t xml:space="preserve"> Ownership</w:t>
      </w:r>
      <w:r>
        <w:rPr>
          <w:snapToGrid w:val="0"/>
          <w:sz w:val="20"/>
        </w:rPr>
        <w:t xml:space="preserve"> (e.g. Private Land, Indian Reserve)</w:t>
      </w:r>
    </w:p>
    <w:p w:rsidR="00A12662" w:rsidRDefault="00A12662" w:rsidP="00A12662">
      <w:pPr>
        <w:widowControl w:val="0"/>
        <w:tabs>
          <w:tab w:val="left" w:pos="1584"/>
          <w:tab w:val="left" w:pos="3574"/>
        </w:tabs>
        <w:ind w:left="720"/>
        <w:rPr>
          <w:snapToGrid w:val="0"/>
          <w:sz w:val="20"/>
        </w:rPr>
      </w:pPr>
      <w:r>
        <w:rPr>
          <w:snapToGrid w:val="0"/>
          <w:sz w:val="20"/>
        </w:rPr>
        <w:t>PVQ</w:t>
      </w:r>
      <w:r>
        <w:rPr>
          <w:snapToGrid w:val="0"/>
          <w:sz w:val="20"/>
        </w:rPr>
        <w:tab/>
        <w:t>“Preservation” Visual Quality Objective</w:t>
      </w:r>
    </w:p>
    <w:p w:rsidR="00775442" w:rsidRDefault="00775442" w:rsidP="00A12662">
      <w:pPr>
        <w:widowControl w:val="0"/>
        <w:tabs>
          <w:tab w:val="left" w:pos="1584"/>
          <w:tab w:val="left" w:pos="3574"/>
        </w:tabs>
        <w:ind w:left="720"/>
        <w:rPr>
          <w:snapToGrid w:val="0"/>
          <w:sz w:val="20"/>
        </w:rPr>
      </w:pPr>
      <w:r>
        <w:rPr>
          <w:snapToGrid w:val="0"/>
          <w:sz w:val="20"/>
        </w:rPr>
        <w:t>WHA</w:t>
      </w:r>
      <w:r>
        <w:rPr>
          <w:snapToGrid w:val="0"/>
          <w:sz w:val="20"/>
        </w:rPr>
        <w:tab/>
        <w:t>Wildlife Habitat Area, legal Order</w:t>
      </w:r>
    </w:p>
    <w:p w:rsidR="00A12662" w:rsidRDefault="00A12662" w:rsidP="00A12662">
      <w:pPr>
        <w:widowControl w:val="0"/>
        <w:tabs>
          <w:tab w:val="left" w:pos="1584"/>
          <w:tab w:val="left" w:pos="3574"/>
        </w:tabs>
        <w:ind w:left="720"/>
        <w:rPr>
          <w:snapToGrid w:val="0"/>
          <w:sz w:val="20"/>
        </w:rPr>
      </w:pPr>
    </w:p>
    <w:p w:rsidR="00A12662" w:rsidRDefault="00A12662" w:rsidP="00A12662">
      <w:pPr>
        <w:widowControl w:val="0"/>
        <w:tabs>
          <w:tab w:val="left" w:pos="1584"/>
          <w:tab w:val="left" w:pos="3574"/>
        </w:tabs>
        <w:ind w:left="720"/>
        <w:rPr>
          <w:snapToGrid w:val="0"/>
          <w:sz w:val="20"/>
        </w:rPr>
      </w:pPr>
      <w:r>
        <w:rPr>
          <w:snapToGrid w:val="0"/>
          <w:sz w:val="20"/>
        </w:rPr>
        <w:t>SMZ2</w:t>
      </w:r>
      <w:r>
        <w:rPr>
          <w:snapToGrid w:val="0"/>
          <w:sz w:val="20"/>
        </w:rPr>
        <w:tab/>
        <w:t xml:space="preserve">Special </w:t>
      </w:r>
      <w:proofErr w:type="spellStart"/>
      <w:r>
        <w:rPr>
          <w:snapToGrid w:val="0"/>
          <w:sz w:val="20"/>
        </w:rPr>
        <w:t>Mgt</w:t>
      </w:r>
      <w:proofErr w:type="spellEnd"/>
      <w:r>
        <w:rPr>
          <w:snapToGrid w:val="0"/>
          <w:sz w:val="20"/>
        </w:rPr>
        <w:t xml:space="preserve"> Zone (resource value emphasis)</w:t>
      </w:r>
    </w:p>
    <w:p w:rsidR="00A12662" w:rsidRDefault="00A12662" w:rsidP="00A12662">
      <w:pPr>
        <w:widowControl w:val="0"/>
        <w:tabs>
          <w:tab w:val="left" w:pos="1584"/>
          <w:tab w:val="left" w:pos="3574"/>
        </w:tabs>
        <w:ind w:left="720"/>
        <w:rPr>
          <w:snapToGrid w:val="0"/>
          <w:sz w:val="20"/>
        </w:rPr>
      </w:pPr>
      <w:r>
        <w:rPr>
          <w:snapToGrid w:val="0"/>
          <w:sz w:val="20"/>
        </w:rPr>
        <w:t>RRZ</w:t>
      </w:r>
      <w:r>
        <w:rPr>
          <w:snapToGrid w:val="0"/>
          <w:sz w:val="20"/>
        </w:rPr>
        <w:tab/>
        <w:t>On-block Riparian Reserve Zone</w:t>
      </w:r>
    </w:p>
    <w:p w:rsidR="00A12662" w:rsidRDefault="00A12662" w:rsidP="00A12662">
      <w:pPr>
        <w:widowControl w:val="0"/>
        <w:tabs>
          <w:tab w:val="left" w:pos="1584"/>
          <w:tab w:val="left" w:pos="3574"/>
        </w:tabs>
        <w:ind w:left="720"/>
        <w:rPr>
          <w:snapToGrid w:val="0"/>
          <w:sz w:val="20"/>
        </w:rPr>
      </w:pPr>
      <w:r>
        <w:rPr>
          <w:snapToGrid w:val="0"/>
          <w:sz w:val="20"/>
        </w:rPr>
        <w:t>WLD</w:t>
      </w:r>
      <w:r>
        <w:rPr>
          <w:snapToGrid w:val="0"/>
          <w:sz w:val="20"/>
        </w:rPr>
        <w:tab/>
        <w:t xml:space="preserve">Wildlife Habitat (legal objective) – </w:t>
      </w:r>
      <w:proofErr w:type="spellStart"/>
      <w:r>
        <w:rPr>
          <w:snapToGrid w:val="0"/>
          <w:sz w:val="20"/>
        </w:rPr>
        <w:t>e.g</w:t>
      </w:r>
      <w:proofErr w:type="spellEnd"/>
      <w:r>
        <w:rPr>
          <w:snapToGrid w:val="0"/>
          <w:sz w:val="20"/>
        </w:rPr>
        <w:t xml:space="preserve"> </w:t>
      </w:r>
      <w:proofErr w:type="spellStart"/>
      <w:r>
        <w:rPr>
          <w:snapToGrid w:val="0"/>
          <w:sz w:val="20"/>
        </w:rPr>
        <w:t>Telkwa</w:t>
      </w:r>
      <w:proofErr w:type="spellEnd"/>
      <w:r>
        <w:rPr>
          <w:snapToGrid w:val="0"/>
          <w:sz w:val="20"/>
        </w:rPr>
        <w:t xml:space="preserve"> Caribou</w:t>
      </w:r>
    </w:p>
    <w:p w:rsidR="00A12662" w:rsidRDefault="00A12662" w:rsidP="00A12662">
      <w:pPr>
        <w:widowControl w:val="0"/>
        <w:tabs>
          <w:tab w:val="left" w:pos="1584"/>
          <w:tab w:val="left" w:pos="3574"/>
        </w:tabs>
        <w:ind w:left="720"/>
        <w:rPr>
          <w:snapToGrid w:val="0"/>
          <w:sz w:val="20"/>
        </w:rPr>
      </w:pPr>
      <w:r>
        <w:rPr>
          <w:snapToGrid w:val="0"/>
          <w:sz w:val="20"/>
        </w:rPr>
        <w:t>WTRA</w:t>
      </w:r>
      <w:r>
        <w:rPr>
          <w:snapToGrid w:val="0"/>
          <w:sz w:val="20"/>
        </w:rPr>
        <w:tab/>
        <w:t>Wildlife Tree Retention areas</w:t>
      </w:r>
    </w:p>
    <w:p w:rsidR="00A12662" w:rsidRDefault="00A12662" w:rsidP="00A12662">
      <w:pPr>
        <w:widowControl w:val="0"/>
        <w:tabs>
          <w:tab w:val="left" w:pos="1584"/>
          <w:tab w:val="left" w:pos="3574"/>
        </w:tabs>
        <w:ind w:left="720"/>
        <w:rPr>
          <w:snapToGrid w:val="0"/>
          <w:sz w:val="20"/>
        </w:rPr>
      </w:pPr>
      <w:r>
        <w:rPr>
          <w:snapToGrid w:val="0"/>
          <w:sz w:val="20"/>
        </w:rPr>
        <w:t>CW</w:t>
      </w:r>
      <w:r>
        <w:rPr>
          <w:snapToGrid w:val="0"/>
          <w:sz w:val="20"/>
        </w:rPr>
        <w:tab/>
        <w:t>Community Watersheds</w:t>
      </w:r>
    </w:p>
    <w:p w:rsidR="00A12662" w:rsidRDefault="00A12662" w:rsidP="00A12662">
      <w:pPr>
        <w:widowControl w:val="0"/>
        <w:tabs>
          <w:tab w:val="left" w:pos="1584"/>
          <w:tab w:val="left" w:pos="3574"/>
        </w:tabs>
        <w:ind w:left="720"/>
        <w:rPr>
          <w:snapToGrid w:val="0"/>
          <w:sz w:val="20"/>
        </w:rPr>
      </w:pPr>
      <w:r>
        <w:rPr>
          <w:snapToGrid w:val="0"/>
          <w:sz w:val="20"/>
        </w:rPr>
        <w:t>ETD</w:t>
      </w:r>
      <w:r>
        <w:rPr>
          <w:snapToGrid w:val="0"/>
          <w:sz w:val="20"/>
        </w:rPr>
        <w:tab/>
        <w:t>Enhanced Timber Development</w:t>
      </w:r>
    </w:p>
    <w:p w:rsidR="00A12662" w:rsidRDefault="00A12662" w:rsidP="00A12662">
      <w:pPr>
        <w:widowControl w:val="0"/>
        <w:tabs>
          <w:tab w:val="left" w:pos="1584"/>
          <w:tab w:val="left" w:pos="3574"/>
        </w:tabs>
        <w:ind w:left="720"/>
        <w:rPr>
          <w:snapToGrid w:val="0"/>
          <w:sz w:val="20"/>
        </w:rPr>
      </w:pPr>
      <w:r>
        <w:rPr>
          <w:snapToGrid w:val="0"/>
          <w:sz w:val="20"/>
        </w:rPr>
        <w:t>IRM</w:t>
      </w:r>
      <w:r>
        <w:rPr>
          <w:snapToGrid w:val="0"/>
          <w:sz w:val="20"/>
        </w:rPr>
        <w:tab/>
        <w:t>Integrated Resource Management</w:t>
      </w:r>
    </w:p>
    <w:p w:rsidR="00A12662" w:rsidRDefault="00A12662" w:rsidP="00A12662">
      <w:pPr>
        <w:widowControl w:val="0"/>
        <w:tabs>
          <w:tab w:val="left" w:pos="1584"/>
          <w:tab w:val="left" w:pos="3574"/>
        </w:tabs>
        <w:ind w:left="720"/>
        <w:rPr>
          <w:snapToGrid w:val="0"/>
          <w:sz w:val="20"/>
        </w:rPr>
      </w:pPr>
      <w:r>
        <w:rPr>
          <w:snapToGrid w:val="0"/>
          <w:sz w:val="20"/>
        </w:rPr>
        <w:t>RMZ</w:t>
      </w:r>
      <w:r>
        <w:rPr>
          <w:snapToGrid w:val="0"/>
          <w:sz w:val="20"/>
        </w:rPr>
        <w:tab/>
        <w:t>On-block Riparian Management Zone</w:t>
      </w:r>
    </w:p>
    <w:p w:rsidR="009B2D43" w:rsidRDefault="00A12662" w:rsidP="00A12662">
      <w:pPr>
        <w:autoSpaceDE w:val="0"/>
        <w:autoSpaceDN w:val="0"/>
        <w:adjustRightInd w:val="0"/>
        <w:spacing w:after="120"/>
        <w:ind w:firstLine="720"/>
        <w:rPr>
          <w:snapToGrid w:val="0"/>
          <w:sz w:val="20"/>
        </w:rPr>
      </w:pPr>
      <w:r>
        <w:rPr>
          <w:snapToGrid w:val="0"/>
          <w:sz w:val="20"/>
        </w:rPr>
        <w:t>LRC</w:t>
      </w:r>
      <w:r>
        <w:rPr>
          <w:snapToGrid w:val="0"/>
          <w:sz w:val="20"/>
        </w:rPr>
        <w:tab/>
        <w:t xml:space="preserve">Forest Ecosystem Network – </w:t>
      </w:r>
      <w:proofErr w:type="spellStart"/>
      <w:r>
        <w:rPr>
          <w:snapToGrid w:val="0"/>
          <w:sz w:val="20"/>
        </w:rPr>
        <w:t>Hydroriparian</w:t>
      </w:r>
      <w:proofErr w:type="spellEnd"/>
      <w:r>
        <w:rPr>
          <w:snapToGrid w:val="0"/>
          <w:sz w:val="20"/>
        </w:rPr>
        <w:t xml:space="preserve"> corridor</w:t>
      </w:r>
    </w:p>
    <w:p w:rsidR="00A12662" w:rsidRDefault="00A12662" w:rsidP="00A12662">
      <w:pPr>
        <w:autoSpaceDE w:val="0"/>
        <w:autoSpaceDN w:val="0"/>
        <w:adjustRightInd w:val="0"/>
        <w:spacing w:after="120"/>
        <w:rPr>
          <w:snapToGrid w:val="0"/>
          <w:sz w:val="20"/>
        </w:rPr>
      </w:pPr>
    </w:p>
    <w:p w:rsidR="009E39E7" w:rsidRPr="00D728DA" w:rsidRDefault="009E39E7" w:rsidP="009E39E7">
      <w:pPr>
        <w:widowControl w:val="0"/>
        <w:tabs>
          <w:tab w:val="left" w:pos="1584"/>
          <w:tab w:val="left" w:pos="3574"/>
        </w:tabs>
        <w:ind w:left="709"/>
        <w:outlineLvl w:val="0"/>
        <w:rPr>
          <w:snapToGrid w:val="0"/>
          <w:sz w:val="20"/>
          <w:u w:val="single"/>
        </w:rPr>
      </w:pPr>
      <w:r>
        <w:rPr>
          <w:snapToGrid w:val="0"/>
          <w:sz w:val="20"/>
          <w:u w:val="single"/>
        </w:rPr>
        <w:t>Treatment Tactic</w:t>
      </w:r>
    </w:p>
    <w:p w:rsidR="009E39E7" w:rsidRDefault="009E39E7" w:rsidP="009E39E7">
      <w:pPr>
        <w:widowControl w:val="0"/>
        <w:tabs>
          <w:tab w:val="left" w:pos="3574"/>
        </w:tabs>
        <w:ind w:left="1560" w:hanging="851"/>
        <w:rPr>
          <w:snapToGrid w:val="0"/>
          <w:sz w:val="20"/>
        </w:rPr>
      </w:pPr>
      <w:r>
        <w:rPr>
          <w:snapToGrid w:val="0"/>
          <w:sz w:val="20"/>
        </w:rPr>
        <w:t xml:space="preserve">A </w:t>
      </w:r>
      <w:r>
        <w:rPr>
          <w:snapToGrid w:val="0"/>
          <w:sz w:val="20"/>
        </w:rPr>
        <w:tab/>
        <w:t>No Treatment</w:t>
      </w:r>
    </w:p>
    <w:p w:rsidR="004E79F7" w:rsidRDefault="004E79F7" w:rsidP="009E39E7">
      <w:pPr>
        <w:widowControl w:val="0"/>
        <w:tabs>
          <w:tab w:val="left" w:pos="3574"/>
        </w:tabs>
        <w:ind w:left="1560" w:hanging="851"/>
        <w:rPr>
          <w:snapToGrid w:val="0"/>
          <w:sz w:val="20"/>
        </w:rPr>
      </w:pPr>
      <w:r>
        <w:rPr>
          <w:snapToGrid w:val="0"/>
          <w:sz w:val="20"/>
        </w:rPr>
        <w:t>B</w:t>
      </w:r>
      <w:r>
        <w:rPr>
          <w:snapToGrid w:val="0"/>
          <w:sz w:val="20"/>
        </w:rPr>
        <w:tab/>
        <w:t>Fall &amp; Burn</w:t>
      </w:r>
    </w:p>
    <w:p w:rsidR="009E39E7" w:rsidRDefault="004E79F7" w:rsidP="009E39E7">
      <w:pPr>
        <w:widowControl w:val="0"/>
        <w:tabs>
          <w:tab w:val="left" w:pos="3574"/>
        </w:tabs>
        <w:ind w:left="1560" w:hanging="851"/>
        <w:rPr>
          <w:snapToGrid w:val="0"/>
          <w:sz w:val="20"/>
        </w:rPr>
      </w:pPr>
      <w:r>
        <w:rPr>
          <w:snapToGrid w:val="0"/>
          <w:sz w:val="20"/>
        </w:rPr>
        <w:t>C</w:t>
      </w:r>
      <w:r w:rsidR="009E39E7">
        <w:rPr>
          <w:snapToGrid w:val="0"/>
          <w:sz w:val="20"/>
        </w:rPr>
        <w:t xml:space="preserve"> </w:t>
      </w:r>
      <w:r w:rsidR="009E39E7">
        <w:rPr>
          <w:snapToGrid w:val="0"/>
          <w:sz w:val="20"/>
        </w:rPr>
        <w:tab/>
        <w:t>Baiting/ Hold to Harvest</w:t>
      </w:r>
    </w:p>
    <w:p w:rsidR="009E39E7" w:rsidRDefault="004E79F7" w:rsidP="009E39E7">
      <w:pPr>
        <w:widowControl w:val="0"/>
        <w:tabs>
          <w:tab w:val="left" w:pos="3574"/>
        </w:tabs>
        <w:ind w:left="1560" w:hanging="851"/>
        <w:rPr>
          <w:snapToGrid w:val="0"/>
          <w:sz w:val="20"/>
        </w:rPr>
      </w:pPr>
      <w:r>
        <w:rPr>
          <w:snapToGrid w:val="0"/>
          <w:sz w:val="20"/>
        </w:rPr>
        <w:t>D</w:t>
      </w:r>
      <w:r w:rsidR="009E39E7">
        <w:rPr>
          <w:snapToGrid w:val="0"/>
          <w:sz w:val="20"/>
        </w:rPr>
        <w:t xml:space="preserve"> </w:t>
      </w:r>
      <w:r w:rsidR="009E39E7">
        <w:rPr>
          <w:snapToGrid w:val="0"/>
          <w:sz w:val="20"/>
        </w:rPr>
        <w:tab/>
        <w:t>Harvest – Small-Scale Salvage (SSS)</w:t>
      </w:r>
    </w:p>
    <w:p w:rsidR="009E39E7" w:rsidRDefault="004E79F7" w:rsidP="009E39E7">
      <w:pPr>
        <w:widowControl w:val="0"/>
        <w:tabs>
          <w:tab w:val="left" w:pos="3574"/>
        </w:tabs>
        <w:ind w:left="1560" w:hanging="851"/>
        <w:rPr>
          <w:snapToGrid w:val="0"/>
          <w:sz w:val="20"/>
        </w:rPr>
      </w:pPr>
      <w:r>
        <w:rPr>
          <w:snapToGrid w:val="0"/>
          <w:sz w:val="20"/>
        </w:rPr>
        <w:t>E</w:t>
      </w:r>
      <w:r w:rsidR="009E39E7">
        <w:rPr>
          <w:snapToGrid w:val="0"/>
          <w:sz w:val="20"/>
        </w:rPr>
        <w:t xml:space="preserve"> </w:t>
      </w:r>
      <w:r w:rsidR="009E39E7">
        <w:rPr>
          <w:snapToGrid w:val="0"/>
          <w:sz w:val="20"/>
        </w:rPr>
        <w:tab/>
        <w:t xml:space="preserve">Harvest – </w:t>
      </w:r>
      <w:proofErr w:type="spellStart"/>
      <w:r w:rsidR="009E39E7">
        <w:rPr>
          <w:snapToGrid w:val="0"/>
          <w:sz w:val="20"/>
        </w:rPr>
        <w:t>Clearcut</w:t>
      </w:r>
      <w:proofErr w:type="spellEnd"/>
      <w:r w:rsidR="009E39E7">
        <w:rPr>
          <w:snapToGrid w:val="0"/>
          <w:sz w:val="20"/>
        </w:rPr>
        <w:t xml:space="preserve"> with Reserves (CCR)</w:t>
      </w:r>
    </w:p>
    <w:p w:rsidR="009A38DF" w:rsidRDefault="009A38DF" w:rsidP="008B41AE">
      <w:pPr>
        <w:autoSpaceDE w:val="0"/>
        <w:autoSpaceDN w:val="0"/>
        <w:adjustRightInd w:val="0"/>
        <w:spacing w:after="120"/>
        <w:rPr>
          <w:b/>
          <w:i/>
        </w:rPr>
      </w:pPr>
    </w:p>
    <w:p w:rsidR="009A38DF" w:rsidRDefault="009A38DF" w:rsidP="008B41AE">
      <w:pPr>
        <w:autoSpaceDE w:val="0"/>
        <w:autoSpaceDN w:val="0"/>
        <w:adjustRightInd w:val="0"/>
        <w:spacing w:after="120"/>
        <w:rPr>
          <w:b/>
          <w:i/>
        </w:rPr>
      </w:pPr>
    </w:p>
    <w:p w:rsidR="009A38DF" w:rsidRDefault="009A38DF" w:rsidP="009A38DF">
      <w:pPr>
        <w:pStyle w:val="BodyText"/>
        <w:spacing w:before="120"/>
        <w:rPr>
          <w:sz w:val="22"/>
          <w:szCs w:val="22"/>
        </w:rPr>
      </w:pPr>
      <w:r w:rsidRPr="009A38DF">
        <w:rPr>
          <w:sz w:val="22"/>
          <w:szCs w:val="22"/>
        </w:rPr>
        <w:t xml:space="preserve">Preliminary Treatment Tactics are revisited when ground probing results are available. Ground probing is typically conducted September-November. Sites determined to be likely candidates for Harvest are visited by probing crews. A split of responsibility is proposed, with major licensees responsible for ground probing of candidate Harvest sites, and District for candidate </w:t>
      </w:r>
      <w:proofErr w:type="spellStart"/>
      <w:r w:rsidRPr="009A38DF">
        <w:rPr>
          <w:sz w:val="22"/>
          <w:szCs w:val="22"/>
        </w:rPr>
        <w:t>Fall&amp;Burn</w:t>
      </w:r>
      <w:proofErr w:type="spellEnd"/>
      <w:r w:rsidRPr="009A38DF">
        <w:rPr>
          <w:sz w:val="22"/>
          <w:szCs w:val="22"/>
        </w:rPr>
        <w:t xml:space="preserve"> sites. </w:t>
      </w:r>
    </w:p>
    <w:p w:rsidR="009A38DF" w:rsidRDefault="009A38DF" w:rsidP="009A38DF">
      <w:pPr>
        <w:pStyle w:val="BodyText"/>
        <w:spacing w:before="120"/>
        <w:rPr>
          <w:sz w:val="22"/>
          <w:szCs w:val="22"/>
        </w:rPr>
      </w:pPr>
      <w:r>
        <w:rPr>
          <w:sz w:val="22"/>
          <w:szCs w:val="22"/>
        </w:rPr>
        <w:t xml:space="preserve">Contract specifications for IBM ground probing are captured to Appendix 1X. Comparable procedures apply to IBB, except </w:t>
      </w:r>
      <w:r w:rsidR="0064601D">
        <w:rPr>
          <w:sz w:val="22"/>
          <w:szCs w:val="22"/>
        </w:rPr>
        <w:t>Table XX</w:t>
      </w:r>
      <w:r w:rsidR="00374D35">
        <w:rPr>
          <w:sz w:val="22"/>
          <w:szCs w:val="22"/>
        </w:rPr>
        <w:t xml:space="preserve"> attack codes should be substituted</w:t>
      </w:r>
      <w:r w:rsidR="0064601D">
        <w:rPr>
          <w:sz w:val="22"/>
          <w:szCs w:val="22"/>
        </w:rPr>
        <w:t>.</w:t>
      </w:r>
    </w:p>
    <w:p w:rsidR="0064601D" w:rsidRPr="000675DF" w:rsidRDefault="0064601D" w:rsidP="0064601D">
      <w:pPr>
        <w:pStyle w:val="Caption"/>
        <w:spacing w:before="0" w:after="120" w:line="240" w:lineRule="auto"/>
        <w:ind w:left="119" w:hanging="119"/>
        <w:rPr>
          <w:rFonts w:asciiTheme="minorHAnsi" w:hAnsiTheme="minorHAnsi" w:cstheme="minorHAnsi"/>
          <w:color w:val="FF0000"/>
          <w:sz w:val="22"/>
          <w:szCs w:val="22"/>
        </w:rPr>
      </w:pPr>
      <w:bookmarkStart w:id="11" w:name="_Toc488036055"/>
      <w:bookmarkStart w:id="12" w:name="_Toc490546622"/>
      <w:bookmarkStart w:id="13" w:name="_Toc490550978"/>
      <w:bookmarkStart w:id="14" w:name="_Toc490551048"/>
      <w:bookmarkStart w:id="15" w:name="_Toc490551396"/>
      <w:bookmarkStart w:id="16" w:name="_Toc490552609"/>
      <w:bookmarkStart w:id="17" w:name="_Toc490553811"/>
      <w:bookmarkStart w:id="18" w:name="_Toc490556863"/>
      <w:bookmarkStart w:id="19" w:name="_Toc490625953"/>
      <w:r w:rsidRPr="000675DF">
        <w:rPr>
          <w:rFonts w:asciiTheme="minorHAnsi" w:hAnsiTheme="minorHAnsi" w:cstheme="minorHAnsi"/>
          <w:color w:val="FF0000"/>
          <w:sz w:val="22"/>
          <w:szCs w:val="22"/>
        </w:rPr>
        <w:t>Table XX</w:t>
      </w:r>
      <w:r w:rsidR="000675DF" w:rsidRPr="000675DF">
        <w:rPr>
          <w:rFonts w:asciiTheme="minorHAnsi" w:hAnsiTheme="minorHAnsi" w:cstheme="minorHAnsi"/>
          <w:color w:val="FF0000"/>
          <w:sz w:val="22"/>
          <w:szCs w:val="22"/>
        </w:rPr>
        <w:t xml:space="preserve">: </w:t>
      </w:r>
      <w:r w:rsidRPr="000675DF">
        <w:rPr>
          <w:rFonts w:asciiTheme="minorHAnsi" w:hAnsiTheme="minorHAnsi" w:cstheme="minorHAnsi"/>
          <w:color w:val="FF0000"/>
          <w:sz w:val="22"/>
          <w:szCs w:val="22"/>
        </w:rPr>
        <w:t xml:space="preserve">Balsam Bark Beetle </w:t>
      </w:r>
      <w:r w:rsidR="009245C6">
        <w:rPr>
          <w:rFonts w:asciiTheme="minorHAnsi" w:hAnsiTheme="minorHAnsi" w:cstheme="minorHAnsi"/>
          <w:color w:val="FF0000"/>
          <w:sz w:val="22"/>
          <w:szCs w:val="22"/>
        </w:rPr>
        <w:t xml:space="preserve">(IBB) </w:t>
      </w:r>
      <w:r w:rsidRPr="000675DF">
        <w:rPr>
          <w:rFonts w:asciiTheme="minorHAnsi" w:hAnsiTheme="minorHAnsi" w:cstheme="minorHAnsi"/>
          <w:color w:val="FF0000"/>
          <w:sz w:val="22"/>
          <w:szCs w:val="22"/>
        </w:rPr>
        <w:t>Attack Codes</w:t>
      </w:r>
      <w:bookmarkEnd w:id="11"/>
      <w:bookmarkEnd w:id="12"/>
      <w:bookmarkEnd w:id="13"/>
      <w:bookmarkEnd w:id="14"/>
      <w:bookmarkEnd w:id="15"/>
      <w:bookmarkEnd w:id="16"/>
      <w:bookmarkEnd w:id="17"/>
      <w:bookmarkEnd w:id="18"/>
      <w:bookmarkEnd w:id="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2671"/>
        <w:gridCol w:w="5339"/>
      </w:tblGrid>
      <w:tr w:rsidR="0064601D" w:rsidRPr="0064601D" w:rsidTr="0064601D">
        <w:trPr>
          <w:trHeight w:hRule="exact" w:val="460"/>
        </w:trPr>
        <w:tc>
          <w:tcPr>
            <w:tcW w:w="1548" w:type="dxa"/>
            <w:tcBorders>
              <w:top w:val="single" w:sz="12" w:space="0" w:color="auto"/>
              <w:left w:val="single" w:sz="12" w:space="0" w:color="auto"/>
              <w:bottom w:val="single" w:sz="12" w:space="0" w:color="auto"/>
              <w:right w:val="single" w:sz="12" w:space="0" w:color="auto"/>
            </w:tcBorders>
            <w:vAlign w:val="center"/>
          </w:tcPr>
          <w:p w:rsidR="0064601D" w:rsidRPr="0064601D" w:rsidRDefault="0064601D" w:rsidP="00FB4547">
            <w:pPr>
              <w:tabs>
                <w:tab w:val="left" w:pos="916"/>
                <w:tab w:val="left" w:pos="4868"/>
                <w:tab w:val="left" w:pos="8640"/>
              </w:tabs>
              <w:jc w:val="center"/>
              <w:rPr>
                <w:rFonts w:cstheme="minorHAnsi"/>
                <w:b/>
                <w:sz w:val="22"/>
                <w:szCs w:val="22"/>
              </w:rPr>
            </w:pPr>
            <w:r w:rsidRPr="0064601D">
              <w:rPr>
                <w:rFonts w:cstheme="minorHAnsi"/>
                <w:b/>
                <w:sz w:val="22"/>
                <w:szCs w:val="22"/>
              </w:rPr>
              <w:t>Tree Code</w:t>
            </w:r>
          </w:p>
        </w:tc>
        <w:tc>
          <w:tcPr>
            <w:tcW w:w="2671" w:type="dxa"/>
            <w:tcBorders>
              <w:top w:val="single" w:sz="12" w:space="0" w:color="auto"/>
              <w:left w:val="single" w:sz="12" w:space="0" w:color="auto"/>
              <w:bottom w:val="single" w:sz="12" w:space="0" w:color="auto"/>
              <w:right w:val="single" w:sz="12" w:space="0" w:color="auto"/>
            </w:tcBorders>
            <w:vAlign w:val="center"/>
          </w:tcPr>
          <w:p w:rsidR="0064601D" w:rsidRPr="0064601D" w:rsidRDefault="0064601D" w:rsidP="00FB4547">
            <w:pPr>
              <w:tabs>
                <w:tab w:val="left" w:pos="916"/>
                <w:tab w:val="left" w:pos="4868"/>
                <w:tab w:val="left" w:pos="8640"/>
              </w:tabs>
              <w:jc w:val="center"/>
              <w:rPr>
                <w:rFonts w:cstheme="minorHAnsi"/>
                <w:b/>
                <w:sz w:val="22"/>
                <w:szCs w:val="22"/>
              </w:rPr>
            </w:pPr>
            <w:r w:rsidRPr="0064601D">
              <w:rPr>
                <w:rFonts w:cstheme="minorHAnsi"/>
                <w:b/>
                <w:sz w:val="22"/>
                <w:szCs w:val="22"/>
              </w:rPr>
              <w:t>Phase of Attack</w:t>
            </w:r>
          </w:p>
        </w:tc>
        <w:tc>
          <w:tcPr>
            <w:tcW w:w="5339" w:type="dxa"/>
            <w:tcBorders>
              <w:top w:val="single" w:sz="12" w:space="0" w:color="auto"/>
              <w:left w:val="single" w:sz="12" w:space="0" w:color="auto"/>
              <w:bottom w:val="single" w:sz="12" w:space="0" w:color="auto"/>
              <w:right w:val="single" w:sz="12" w:space="0" w:color="auto"/>
            </w:tcBorders>
            <w:vAlign w:val="center"/>
          </w:tcPr>
          <w:p w:rsidR="0064601D" w:rsidRPr="0064601D" w:rsidRDefault="0064601D" w:rsidP="00FB4547">
            <w:pPr>
              <w:tabs>
                <w:tab w:val="left" w:pos="916"/>
                <w:tab w:val="left" w:pos="4868"/>
                <w:tab w:val="left" w:pos="8640"/>
              </w:tabs>
              <w:jc w:val="center"/>
              <w:rPr>
                <w:rFonts w:cstheme="minorHAnsi"/>
                <w:b/>
                <w:sz w:val="22"/>
                <w:szCs w:val="22"/>
              </w:rPr>
            </w:pPr>
            <w:r w:rsidRPr="0064601D">
              <w:rPr>
                <w:rFonts w:cstheme="minorHAnsi"/>
                <w:b/>
                <w:sz w:val="22"/>
                <w:szCs w:val="22"/>
              </w:rPr>
              <w:t>Year and Type of Attack</w:t>
            </w:r>
          </w:p>
        </w:tc>
      </w:tr>
      <w:tr w:rsidR="0064601D" w:rsidRPr="0064601D" w:rsidTr="0064601D">
        <w:tc>
          <w:tcPr>
            <w:tcW w:w="1548" w:type="dxa"/>
            <w:tcBorders>
              <w:top w:val="single" w:sz="12" w:space="0" w:color="auto"/>
            </w:tcBorders>
            <w:vAlign w:val="center"/>
          </w:tcPr>
          <w:p w:rsidR="0064601D" w:rsidRPr="0064601D" w:rsidRDefault="0064601D" w:rsidP="00FB4547">
            <w:pPr>
              <w:tabs>
                <w:tab w:val="left" w:pos="916"/>
                <w:tab w:val="left" w:pos="4868"/>
                <w:tab w:val="left" w:pos="8640"/>
              </w:tabs>
              <w:jc w:val="center"/>
              <w:rPr>
                <w:rFonts w:cstheme="minorHAnsi"/>
                <w:b/>
                <w:sz w:val="22"/>
                <w:szCs w:val="22"/>
              </w:rPr>
            </w:pPr>
            <w:r w:rsidRPr="0064601D">
              <w:rPr>
                <w:rFonts w:cstheme="minorHAnsi"/>
                <w:b/>
                <w:sz w:val="22"/>
                <w:szCs w:val="22"/>
              </w:rPr>
              <w:t>1</w:t>
            </w:r>
          </w:p>
        </w:tc>
        <w:tc>
          <w:tcPr>
            <w:tcW w:w="2671" w:type="dxa"/>
            <w:tcBorders>
              <w:top w:val="single" w:sz="12" w:space="0" w:color="auto"/>
            </w:tcBorders>
            <w:vAlign w:val="center"/>
          </w:tcPr>
          <w:p w:rsidR="0064601D" w:rsidRPr="0064601D" w:rsidRDefault="0064601D" w:rsidP="00FB4547">
            <w:pPr>
              <w:tabs>
                <w:tab w:val="left" w:pos="916"/>
                <w:tab w:val="left" w:pos="4868"/>
                <w:tab w:val="left" w:pos="8640"/>
              </w:tabs>
              <w:jc w:val="center"/>
              <w:rPr>
                <w:rFonts w:cstheme="minorHAnsi"/>
                <w:sz w:val="22"/>
                <w:szCs w:val="22"/>
              </w:rPr>
            </w:pPr>
            <w:r w:rsidRPr="0064601D">
              <w:rPr>
                <w:rFonts w:cstheme="minorHAnsi"/>
                <w:sz w:val="22"/>
                <w:szCs w:val="22"/>
              </w:rPr>
              <w:t>Green Attack,</w:t>
            </w:r>
          </w:p>
          <w:p w:rsidR="0064601D" w:rsidRPr="0064601D" w:rsidRDefault="0064601D" w:rsidP="00FB4547">
            <w:pPr>
              <w:tabs>
                <w:tab w:val="left" w:pos="916"/>
                <w:tab w:val="left" w:pos="4868"/>
                <w:tab w:val="left" w:pos="8640"/>
              </w:tabs>
              <w:jc w:val="center"/>
              <w:rPr>
                <w:rFonts w:cstheme="minorHAnsi"/>
                <w:b/>
                <w:sz w:val="22"/>
                <w:szCs w:val="22"/>
              </w:rPr>
            </w:pPr>
            <w:r w:rsidRPr="0064601D">
              <w:rPr>
                <w:rFonts w:cstheme="minorHAnsi"/>
                <w:sz w:val="22"/>
                <w:szCs w:val="22"/>
              </w:rPr>
              <w:t>Unconfirmed</w:t>
            </w:r>
          </w:p>
        </w:tc>
        <w:tc>
          <w:tcPr>
            <w:tcW w:w="5339" w:type="dxa"/>
            <w:tcBorders>
              <w:top w:val="single" w:sz="12" w:space="0" w:color="auto"/>
            </w:tcBorders>
          </w:tcPr>
          <w:p w:rsidR="0064601D" w:rsidRPr="0064601D" w:rsidRDefault="0064601D" w:rsidP="00D23CD2">
            <w:pPr>
              <w:tabs>
                <w:tab w:val="left" w:pos="916"/>
                <w:tab w:val="left" w:pos="4868"/>
                <w:tab w:val="left" w:pos="8640"/>
              </w:tabs>
              <w:rPr>
                <w:rFonts w:cstheme="minorHAnsi"/>
                <w:sz w:val="22"/>
                <w:szCs w:val="22"/>
              </w:rPr>
            </w:pPr>
            <w:r w:rsidRPr="0064601D">
              <w:rPr>
                <w:rFonts w:cstheme="minorHAnsi"/>
                <w:sz w:val="22"/>
                <w:szCs w:val="22"/>
              </w:rPr>
              <w:t xml:space="preserve">Resin and </w:t>
            </w:r>
            <w:r w:rsidR="00D23CD2">
              <w:rPr>
                <w:rFonts w:cstheme="minorHAnsi"/>
                <w:sz w:val="22"/>
                <w:szCs w:val="22"/>
              </w:rPr>
              <w:t>p</w:t>
            </w:r>
            <w:r w:rsidRPr="0064601D">
              <w:rPr>
                <w:rFonts w:cstheme="minorHAnsi"/>
                <w:sz w:val="22"/>
                <w:szCs w:val="22"/>
              </w:rPr>
              <w:t>itch visible above 2m on bole, but no symptoms at breast height.</w:t>
            </w:r>
          </w:p>
        </w:tc>
      </w:tr>
      <w:tr w:rsidR="0064601D" w:rsidRPr="0064601D" w:rsidTr="00FB4547">
        <w:tc>
          <w:tcPr>
            <w:tcW w:w="1548" w:type="dxa"/>
            <w:vAlign w:val="center"/>
          </w:tcPr>
          <w:p w:rsidR="0064601D" w:rsidRPr="0064601D" w:rsidRDefault="0064601D" w:rsidP="00FB4547">
            <w:pPr>
              <w:tabs>
                <w:tab w:val="left" w:pos="916"/>
                <w:tab w:val="left" w:pos="4868"/>
                <w:tab w:val="left" w:pos="8640"/>
              </w:tabs>
              <w:jc w:val="center"/>
              <w:rPr>
                <w:rFonts w:cstheme="minorHAnsi"/>
                <w:b/>
                <w:sz w:val="22"/>
                <w:szCs w:val="22"/>
              </w:rPr>
            </w:pPr>
            <w:r w:rsidRPr="0064601D">
              <w:rPr>
                <w:rFonts w:cstheme="minorHAnsi"/>
                <w:b/>
                <w:sz w:val="22"/>
                <w:szCs w:val="22"/>
              </w:rPr>
              <w:t>2</w:t>
            </w:r>
          </w:p>
        </w:tc>
        <w:tc>
          <w:tcPr>
            <w:tcW w:w="2671" w:type="dxa"/>
            <w:vAlign w:val="center"/>
          </w:tcPr>
          <w:p w:rsidR="0064601D" w:rsidRPr="0064601D" w:rsidRDefault="0064601D" w:rsidP="00FB4547">
            <w:pPr>
              <w:tabs>
                <w:tab w:val="left" w:pos="916"/>
                <w:tab w:val="left" w:pos="4868"/>
                <w:tab w:val="left" w:pos="8640"/>
              </w:tabs>
              <w:jc w:val="center"/>
              <w:rPr>
                <w:rFonts w:cstheme="minorHAnsi"/>
                <w:sz w:val="22"/>
                <w:szCs w:val="22"/>
              </w:rPr>
            </w:pPr>
            <w:r w:rsidRPr="0064601D">
              <w:rPr>
                <w:rFonts w:cstheme="minorHAnsi"/>
                <w:sz w:val="22"/>
                <w:szCs w:val="22"/>
              </w:rPr>
              <w:t>Green Attack,</w:t>
            </w:r>
          </w:p>
          <w:p w:rsidR="0064601D" w:rsidRPr="0064601D" w:rsidRDefault="0064601D" w:rsidP="00FB4547">
            <w:pPr>
              <w:tabs>
                <w:tab w:val="left" w:pos="916"/>
                <w:tab w:val="left" w:pos="4868"/>
                <w:tab w:val="left" w:pos="8640"/>
              </w:tabs>
              <w:jc w:val="center"/>
              <w:rPr>
                <w:rFonts w:cstheme="minorHAnsi"/>
                <w:b/>
                <w:sz w:val="22"/>
                <w:szCs w:val="22"/>
              </w:rPr>
            </w:pPr>
            <w:r w:rsidRPr="0064601D">
              <w:rPr>
                <w:rFonts w:cstheme="minorHAnsi"/>
                <w:sz w:val="22"/>
                <w:szCs w:val="22"/>
              </w:rPr>
              <w:t>Confirmed</w:t>
            </w:r>
          </w:p>
        </w:tc>
        <w:tc>
          <w:tcPr>
            <w:tcW w:w="5339" w:type="dxa"/>
          </w:tcPr>
          <w:p w:rsidR="0064601D" w:rsidRPr="0064601D" w:rsidRDefault="0064601D" w:rsidP="00D23CD2">
            <w:pPr>
              <w:tabs>
                <w:tab w:val="left" w:pos="916"/>
                <w:tab w:val="left" w:pos="4868"/>
                <w:tab w:val="left" w:pos="8640"/>
              </w:tabs>
              <w:rPr>
                <w:rFonts w:cstheme="minorHAnsi"/>
                <w:sz w:val="22"/>
                <w:szCs w:val="22"/>
              </w:rPr>
            </w:pPr>
            <w:proofErr w:type="spellStart"/>
            <w:r w:rsidRPr="0064601D">
              <w:rPr>
                <w:rFonts w:cstheme="minorHAnsi"/>
                <w:sz w:val="22"/>
                <w:szCs w:val="22"/>
              </w:rPr>
              <w:t>Frass</w:t>
            </w:r>
            <w:proofErr w:type="spellEnd"/>
            <w:r w:rsidRPr="0064601D">
              <w:rPr>
                <w:rFonts w:cstheme="minorHAnsi"/>
                <w:sz w:val="22"/>
                <w:szCs w:val="22"/>
              </w:rPr>
              <w:t xml:space="preserve"> and </w:t>
            </w:r>
            <w:r w:rsidR="00D23CD2">
              <w:rPr>
                <w:rFonts w:cstheme="minorHAnsi"/>
                <w:sz w:val="22"/>
                <w:szCs w:val="22"/>
              </w:rPr>
              <w:t>r</w:t>
            </w:r>
            <w:r w:rsidRPr="0064601D">
              <w:rPr>
                <w:rFonts w:cstheme="minorHAnsi"/>
                <w:sz w:val="22"/>
                <w:szCs w:val="22"/>
              </w:rPr>
              <w:t>esin visible on bole or beetles verified under bark in larval stages, at breast height on bole.</w:t>
            </w:r>
          </w:p>
        </w:tc>
      </w:tr>
      <w:tr w:rsidR="0064601D" w:rsidRPr="0064601D" w:rsidTr="00FB4547">
        <w:tc>
          <w:tcPr>
            <w:tcW w:w="1548" w:type="dxa"/>
            <w:vAlign w:val="center"/>
          </w:tcPr>
          <w:p w:rsidR="0064601D" w:rsidRPr="0064601D" w:rsidRDefault="0064601D" w:rsidP="00FB4547">
            <w:pPr>
              <w:tabs>
                <w:tab w:val="left" w:pos="916"/>
                <w:tab w:val="left" w:pos="4868"/>
                <w:tab w:val="left" w:pos="8640"/>
              </w:tabs>
              <w:jc w:val="center"/>
              <w:rPr>
                <w:rFonts w:cstheme="minorHAnsi"/>
                <w:b/>
                <w:sz w:val="22"/>
                <w:szCs w:val="22"/>
              </w:rPr>
            </w:pPr>
            <w:r w:rsidRPr="0064601D">
              <w:rPr>
                <w:rFonts w:cstheme="minorHAnsi"/>
                <w:b/>
                <w:sz w:val="22"/>
                <w:szCs w:val="22"/>
              </w:rPr>
              <w:t>3</w:t>
            </w:r>
          </w:p>
        </w:tc>
        <w:tc>
          <w:tcPr>
            <w:tcW w:w="2671" w:type="dxa"/>
            <w:vAlign w:val="center"/>
          </w:tcPr>
          <w:p w:rsidR="0064601D" w:rsidRPr="0064601D" w:rsidRDefault="0064601D" w:rsidP="00FB4547">
            <w:pPr>
              <w:tabs>
                <w:tab w:val="left" w:pos="916"/>
                <w:tab w:val="left" w:pos="4868"/>
                <w:tab w:val="left" w:pos="8640"/>
              </w:tabs>
              <w:jc w:val="center"/>
              <w:rPr>
                <w:rFonts w:cstheme="minorHAnsi"/>
                <w:sz w:val="22"/>
                <w:szCs w:val="22"/>
              </w:rPr>
            </w:pPr>
            <w:r w:rsidRPr="0064601D">
              <w:rPr>
                <w:rFonts w:cstheme="minorHAnsi"/>
                <w:sz w:val="22"/>
                <w:szCs w:val="22"/>
              </w:rPr>
              <w:t>Red Attack</w:t>
            </w:r>
          </w:p>
        </w:tc>
        <w:tc>
          <w:tcPr>
            <w:tcW w:w="5339" w:type="dxa"/>
          </w:tcPr>
          <w:p w:rsidR="0064601D" w:rsidRPr="0064601D" w:rsidRDefault="0064601D" w:rsidP="00FB4547">
            <w:pPr>
              <w:tabs>
                <w:tab w:val="left" w:pos="916"/>
                <w:tab w:val="left" w:pos="4868"/>
                <w:tab w:val="left" w:pos="8640"/>
              </w:tabs>
              <w:rPr>
                <w:rFonts w:cstheme="minorHAnsi"/>
                <w:sz w:val="22"/>
                <w:szCs w:val="22"/>
              </w:rPr>
            </w:pPr>
            <w:proofErr w:type="spellStart"/>
            <w:r w:rsidRPr="0064601D">
              <w:rPr>
                <w:rFonts w:cstheme="minorHAnsi"/>
                <w:sz w:val="22"/>
                <w:szCs w:val="22"/>
              </w:rPr>
              <w:t>Frass</w:t>
            </w:r>
            <w:proofErr w:type="spellEnd"/>
            <w:r w:rsidRPr="0064601D">
              <w:rPr>
                <w:rFonts w:cstheme="minorHAnsi"/>
                <w:sz w:val="22"/>
                <w:szCs w:val="22"/>
              </w:rPr>
              <w:t xml:space="preserve"> and/or resin, some beetles in brood adult phase ready to fly the following season.</w:t>
            </w:r>
          </w:p>
        </w:tc>
      </w:tr>
      <w:tr w:rsidR="0064601D" w:rsidRPr="0064601D" w:rsidTr="00FB4547">
        <w:tc>
          <w:tcPr>
            <w:tcW w:w="1548" w:type="dxa"/>
            <w:vAlign w:val="center"/>
          </w:tcPr>
          <w:p w:rsidR="0064601D" w:rsidRPr="0064601D" w:rsidRDefault="0064601D" w:rsidP="00FB4547">
            <w:pPr>
              <w:tabs>
                <w:tab w:val="left" w:pos="916"/>
                <w:tab w:val="left" w:pos="4868"/>
                <w:tab w:val="left" w:pos="8640"/>
              </w:tabs>
              <w:jc w:val="center"/>
              <w:rPr>
                <w:rFonts w:cstheme="minorHAnsi"/>
                <w:b/>
                <w:sz w:val="22"/>
                <w:szCs w:val="22"/>
              </w:rPr>
            </w:pPr>
            <w:r w:rsidRPr="0064601D">
              <w:rPr>
                <w:rFonts w:cstheme="minorHAnsi"/>
                <w:b/>
                <w:sz w:val="22"/>
                <w:szCs w:val="22"/>
              </w:rPr>
              <w:t>4</w:t>
            </w:r>
          </w:p>
        </w:tc>
        <w:tc>
          <w:tcPr>
            <w:tcW w:w="2671" w:type="dxa"/>
            <w:vAlign w:val="center"/>
          </w:tcPr>
          <w:p w:rsidR="0064601D" w:rsidRPr="0064601D" w:rsidRDefault="0064601D" w:rsidP="00FB4547">
            <w:pPr>
              <w:tabs>
                <w:tab w:val="left" w:pos="916"/>
                <w:tab w:val="left" w:pos="4868"/>
                <w:tab w:val="left" w:pos="8640"/>
              </w:tabs>
              <w:jc w:val="center"/>
              <w:rPr>
                <w:rFonts w:cstheme="minorHAnsi"/>
                <w:sz w:val="22"/>
                <w:szCs w:val="22"/>
              </w:rPr>
            </w:pPr>
            <w:r w:rsidRPr="0064601D">
              <w:rPr>
                <w:rFonts w:cstheme="minorHAnsi"/>
                <w:sz w:val="22"/>
                <w:szCs w:val="22"/>
              </w:rPr>
              <w:t>Red Tree</w:t>
            </w:r>
          </w:p>
        </w:tc>
        <w:tc>
          <w:tcPr>
            <w:tcW w:w="5339" w:type="dxa"/>
          </w:tcPr>
          <w:p w:rsidR="0064601D" w:rsidRPr="0064601D" w:rsidRDefault="0064601D" w:rsidP="00FB4547">
            <w:pPr>
              <w:tabs>
                <w:tab w:val="left" w:pos="916"/>
                <w:tab w:val="left" w:pos="4868"/>
                <w:tab w:val="left" w:pos="8640"/>
              </w:tabs>
              <w:rPr>
                <w:rFonts w:cstheme="minorHAnsi"/>
                <w:sz w:val="22"/>
                <w:szCs w:val="22"/>
              </w:rPr>
            </w:pPr>
            <w:r w:rsidRPr="0064601D">
              <w:rPr>
                <w:rFonts w:cstheme="minorHAnsi"/>
                <w:sz w:val="22"/>
                <w:szCs w:val="22"/>
              </w:rPr>
              <w:t xml:space="preserve">Red </w:t>
            </w:r>
            <w:r w:rsidR="00D23CD2">
              <w:rPr>
                <w:rFonts w:cstheme="minorHAnsi"/>
                <w:sz w:val="22"/>
                <w:szCs w:val="22"/>
              </w:rPr>
              <w:t>f</w:t>
            </w:r>
            <w:r w:rsidRPr="0064601D">
              <w:rPr>
                <w:rFonts w:cstheme="minorHAnsi"/>
                <w:sz w:val="22"/>
                <w:szCs w:val="22"/>
              </w:rPr>
              <w:t>oliage, still fairly full crown, but beetles gone.  Evidence of beetle activity may or may not be present under bark at breast height.</w:t>
            </w:r>
          </w:p>
        </w:tc>
      </w:tr>
      <w:tr w:rsidR="0064601D" w:rsidRPr="0064601D" w:rsidTr="00FB4547">
        <w:tc>
          <w:tcPr>
            <w:tcW w:w="1548" w:type="dxa"/>
            <w:vAlign w:val="center"/>
          </w:tcPr>
          <w:p w:rsidR="0064601D" w:rsidRPr="0064601D" w:rsidRDefault="0064601D" w:rsidP="00FB4547">
            <w:pPr>
              <w:tabs>
                <w:tab w:val="left" w:pos="916"/>
                <w:tab w:val="left" w:pos="4868"/>
                <w:tab w:val="left" w:pos="8640"/>
              </w:tabs>
              <w:jc w:val="center"/>
              <w:rPr>
                <w:rFonts w:cstheme="minorHAnsi"/>
                <w:b/>
                <w:sz w:val="22"/>
                <w:szCs w:val="22"/>
              </w:rPr>
            </w:pPr>
            <w:r w:rsidRPr="0064601D">
              <w:rPr>
                <w:rFonts w:cstheme="minorHAnsi"/>
                <w:b/>
                <w:sz w:val="22"/>
                <w:szCs w:val="22"/>
              </w:rPr>
              <w:t>5</w:t>
            </w:r>
          </w:p>
        </w:tc>
        <w:tc>
          <w:tcPr>
            <w:tcW w:w="2671" w:type="dxa"/>
            <w:vAlign w:val="center"/>
          </w:tcPr>
          <w:p w:rsidR="0064601D" w:rsidRPr="0064601D" w:rsidRDefault="0064601D" w:rsidP="00FB4547">
            <w:pPr>
              <w:tabs>
                <w:tab w:val="left" w:pos="916"/>
                <w:tab w:val="left" w:pos="4868"/>
                <w:tab w:val="left" w:pos="8640"/>
              </w:tabs>
              <w:jc w:val="center"/>
              <w:rPr>
                <w:rFonts w:cstheme="minorHAnsi"/>
                <w:sz w:val="22"/>
                <w:szCs w:val="22"/>
              </w:rPr>
            </w:pPr>
            <w:r w:rsidRPr="0064601D">
              <w:rPr>
                <w:rFonts w:cstheme="minorHAnsi"/>
                <w:sz w:val="22"/>
                <w:szCs w:val="22"/>
              </w:rPr>
              <w:t>Grey Trees</w:t>
            </w:r>
          </w:p>
        </w:tc>
        <w:tc>
          <w:tcPr>
            <w:tcW w:w="5339" w:type="dxa"/>
          </w:tcPr>
          <w:p w:rsidR="0064601D" w:rsidRPr="0064601D" w:rsidRDefault="0064601D" w:rsidP="00FB4547">
            <w:pPr>
              <w:tabs>
                <w:tab w:val="left" w:pos="916"/>
                <w:tab w:val="left" w:pos="4868"/>
                <w:tab w:val="left" w:pos="8640"/>
              </w:tabs>
              <w:rPr>
                <w:rFonts w:cstheme="minorHAnsi"/>
                <w:sz w:val="22"/>
                <w:szCs w:val="22"/>
              </w:rPr>
            </w:pPr>
            <w:r w:rsidRPr="0064601D">
              <w:rPr>
                <w:rFonts w:cstheme="minorHAnsi"/>
                <w:sz w:val="22"/>
                <w:szCs w:val="22"/>
              </w:rPr>
              <w:t>Old beetle</w:t>
            </w:r>
            <w:r w:rsidR="00D23CD2">
              <w:rPr>
                <w:rFonts w:cstheme="minorHAnsi"/>
                <w:sz w:val="22"/>
                <w:szCs w:val="22"/>
              </w:rPr>
              <w:t>-</w:t>
            </w:r>
            <w:r w:rsidRPr="0064601D">
              <w:rPr>
                <w:rFonts w:cstheme="minorHAnsi"/>
                <w:sz w:val="22"/>
                <w:szCs w:val="22"/>
              </w:rPr>
              <w:t xml:space="preserve">killed tree, Needles mostly gone (&gt;50% of crown), Most fine branches retained, </w:t>
            </w:r>
            <w:r w:rsidR="00D23CD2">
              <w:rPr>
                <w:rFonts w:cstheme="minorHAnsi"/>
                <w:sz w:val="22"/>
                <w:szCs w:val="22"/>
              </w:rPr>
              <w:t>b</w:t>
            </w:r>
            <w:r w:rsidRPr="0064601D">
              <w:rPr>
                <w:rFonts w:cstheme="minorHAnsi"/>
                <w:sz w:val="22"/>
                <w:szCs w:val="22"/>
              </w:rPr>
              <w:t>ark still intact.  Barely merchantable.</w:t>
            </w:r>
          </w:p>
        </w:tc>
      </w:tr>
      <w:tr w:rsidR="0064601D" w:rsidRPr="0064601D" w:rsidTr="00FB4547">
        <w:tc>
          <w:tcPr>
            <w:tcW w:w="1548" w:type="dxa"/>
            <w:vAlign w:val="center"/>
          </w:tcPr>
          <w:p w:rsidR="0064601D" w:rsidRPr="0064601D" w:rsidRDefault="0064601D" w:rsidP="00FB4547">
            <w:pPr>
              <w:tabs>
                <w:tab w:val="left" w:pos="916"/>
                <w:tab w:val="left" w:pos="4868"/>
                <w:tab w:val="left" w:pos="8640"/>
              </w:tabs>
              <w:jc w:val="center"/>
              <w:rPr>
                <w:rFonts w:cstheme="minorHAnsi"/>
                <w:b/>
                <w:sz w:val="22"/>
                <w:szCs w:val="22"/>
              </w:rPr>
            </w:pPr>
            <w:r w:rsidRPr="0064601D">
              <w:rPr>
                <w:rFonts w:cstheme="minorHAnsi"/>
                <w:b/>
                <w:sz w:val="22"/>
                <w:szCs w:val="22"/>
              </w:rPr>
              <w:t>6</w:t>
            </w:r>
          </w:p>
        </w:tc>
        <w:tc>
          <w:tcPr>
            <w:tcW w:w="2671" w:type="dxa"/>
            <w:vAlign w:val="center"/>
          </w:tcPr>
          <w:p w:rsidR="0064601D" w:rsidRPr="0064601D" w:rsidRDefault="0064601D" w:rsidP="00FB4547">
            <w:pPr>
              <w:tabs>
                <w:tab w:val="left" w:pos="916"/>
                <w:tab w:val="left" w:pos="4868"/>
                <w:tab w:val="left" w:pos="8640"/>
              </w:tabs>
              <w:jc w:val="center"/>
              <w:rPr>
                <w:rFonts w:cstheme="minorHAnsi"/>
                <w:sz w:val="22"/>
                <w:szCs w:val="22"/>
              </w:rPr>
            </w:pPr>
            <w:r w:rsidRPr="0064601D">
              <w:rPr>
                <w:rFonts w:cstheme="minorHAnsi"/>
                <w:sz w:val="22"/>
                <w:szCs w:val="22"/>
              </w:rPr>
              <w:t>Grey Trees</w:t>
            </w:r>
          </w:p>
        </w:tc>
        <w:tc>
          <w:tcPr>
            <w:tcW w:w="5339" w:type="dxa"/>
          </w:tcPr>
          <w:p w:rsidR="0064601D" w:rsidRPr="0064601D" w:rsidRDefault="0064601D" w:rsidP="00FB4547">
            <w:pPr>
              <w:tabs>
                <w:tab w:val="left" w:pos="916"/>
                <w:tab w:val="left" w:pos="4868"/>
                <w:tab w:val="left" w:pos="8640"/>
              </w:tabs>
              <w:rPr>
                <w:rFonts w:cstheme="minorHAnsi"/>
                <w:sz w:val="22"/>
                <w:szCs w:val="22"/>
              </w:rPr>
            </w:pPr>
            <w:r w:rsidRPr="0064601D">
              <w:rPr>
                <w:rFonts w:cstheme="minorHAnsi"/>
                <w:sz w:val="22"/>
                <w:szCs w:val="22"/>
              </w:rPr>
              <w:t>Old beetle</w:t>
            </w:r>
            <w:r w:rsidR="00D23CD2">
              <w:rPr>
                <w:rFonts w:cstheme="minorHAnsi"/>
                <w:sz w:val="22"/>
                <w:szCs w:val="22"/>
              </w:rPr>
              <w:t>-</w:t>
            </w:r>
            <w:r w:rsidRPr="0064601D">
              <w:rPr>
                <w:rFonts w:cstheme="minorHAnsi"/>
                <w:sz w:val="22"/>
                <w:szCs w:val="22"/>
              </w:rPr>
              <w:t>killed tree, bark cracked/sloughing off, fine branches mostly gone. Non-Merchantable.</w:t>
            </w:r>
          </w:p>
        </w:tc>
      </w:tr>
      <w:tr w:rsidR="0064601D" w:rsidRPr="0064601D" w:rsidTr="00FB4547">
        <w:tc>
          <w:tcPr>
            <w:tcW w:w="1548" w:type="dxa"/>
            <w:vAlign w:val="center"/>
          </w:tcPr>
          <w:p w:rsidR="0064601D" w:rsidRPr="0064601D" w:rsidRDefault="0064601D" w:rsidP="00FB4547">
            <w:pPr>
              <w:tabs>
                <w:tab w:val="left" w:pos="916"/>
                <w:tab w:val="left" w:pos="4868"/>
                <w:tab w:val="left" w:pos="8640"/>
              </w:tabs>
              <w:jc w:val="center"/>
              <w:rPr>
                <w:rFonts w:cstheme="minorHAnsi"/>
                <w:b/>
                <w:sz w:val="22"/>
                <w:szCs w:val="22"/>
              </w:rPr>
            </w:pPr>
            <w:r w:rsidRPr="0064601D">
              <w:rPr>
                <w:rFonts w:cstheme="minorHAnsi"/>
                <w:b/>
                <w:sz w:val="22"/>
                <w:szCs w:val="22"/>
              </w:rPr>
              <w:t>Bo</w:t>
            </w:r>
          </w:p>
        </w:tc>
        <w:tc>
          <w:tcPr>
            <w:tcW w:w="2671" w:type="dxa"/>
            <w:vAlign w:val="center"/>
          </w:tcPr>
          <w:p w:rsidR="0064601D" w:rsidRPr="0064601D" w:rsidRDefault="0064601D" w:rsidP="00FB4547">
            <w:pPr>
              <w:tabs>
                <w:tab w:val="left" w:pos="916"/>
                <w:tab w:val="left" w:pos="4868"/>
                <w:tab w:val="left" w:pos="8640"/>
              </w:tabs>
              <w:jc w:val="center"/>
              <w:rPr>
                <w:rFonts w:cstheme="minorHAnsi"/>
                <w:sz w:val="22"/>
                <w:szCs w:val="22"/>
              </w:rPr>
            </w:pPr>
            <w:r w:rsidRPr="0064601D">
              <w:rPr>
                <w:rFonts w:cstheme="minorHAnsi"/>
                <w:sz w:val="22"/>
                <w:szCs w:val="22"/>
              </w:rPr>
              <w:t>Grey Trees</w:t>
            </w:r>
          </w:p>
        </w:tc>
        <w:tc>
          <w:tcPr>
            <w:tcW w:w="5339" w:type="dxa"/>
          </w:tcPr>
          <w:p w:rsidR="0064601D" w:rsidRPr="0064601D" w:rsidRDefault="0064601D" w:rsidP="00FB4547">
            <w:pPr>
              <w:tabs>
                <w:tab w:val="left" w:pos="916"/>
                <w:tab w:val="left" w:pos="4868"/>
                <w:tab w:val="left" w:pos="8640"/>
              </w:tabs>
              <w:rPr>
                <w:rFonts w:cstheme="minorHAnsi"/>
                <w:sz w:val="22"/>
                <w:szCs w:val="22"/>
              </w:rPr>
            </w:pPr>
            <w:r w:rsidRPr="0064601D">
              <w:rPr>
                <w:rFonts w:cstheme="minorHAnsi"/>
                <w:sz w:val="22"/>
                <w:szCs w:val="22"/>
              </w:rPr>
              <w:t>Dead Balsam with no evidence of bark beetle attack.  Killed by some other unidentified agent (insect or pathogen).</w:t>
            </w:r>
          </w:p>
        </w:tc>
      </w:tr>
    </w:tbl>
    <w:p w:rsidR="0064601D" w:rsidRPr="0064601D" w:rsidRDefault="0064601D" w:rsidP="0064601D">
      <w:pPr>
        <w:tabs>
          <w:tab w:val="left" w:pos="916"/>
          <w:tab w:val="left" w:pos="4868"/>
          <w:tab w:val="left" w:pos="8640"/>
        </w:tabs>
        <w:rPr>
          <w:rFonts w:cstheme="minorHAnsi"/>
          <w:sz w:val="22"/>
          <w:szCs w:val="22"/>
        </w:rPr>
      </w:pPr>
    </w:p>
    <w:p w:rsidR="00A1011C" w:rsidRDefault="00A1011C" w:rsidP="008B41AE">
      <w:pPr>
        <w:autoSpaceDE w:val="0"/>
        <w:autoSpaceDN w:val="0"/>
        <w:adjustRightInd w:val="0"/>
        <w:spacing w:after="120"/>
        <w:rPr>
          <w:b/>
          <w:i/>
        </w:rPr>
      </w:pPr>
    </w:p>
    <w:p w:rsidR="00A1011C" w:rsidRDefault="00A1011C" w:rsidP="008B41AE">
      <w:pPr>
        <w:autoSpaceDE w:val="0"/>
        <w:autoSpaceDN w:val="0"/>
        <w:adjustRightInd w:val="0"/>
        <w:spacing w:after="120"/>
        <w:rPr>
          <w:b/>
          <w:i/>
        </w:rPr>
      </w:pPr>
    </w:p>
    <w:p w:rsidR="00C61B5A" w:rsidRPr="009B2D43" w:rsidRDefault="009B2D43" w:rsidP="008B41AE">
      <w:pPr>
        <w:autoSpaceDE w:val="0"/>
        <w:autoSpaceDN w:val="0"/>
        <w:adjustRightInd w:val="0"/>
        <w:spacing w:after="120"/>
        <w:rPr>
          <w:b/>
          <w:i/>
        </w:rPr>
      </w:pPr>
      <w:r w:rsidRPr="009B2D43">
        <w:rPr>
          <w:b/>
          <w:i/>
        </w:rPr>
        <w:t>Tactic: Implement the Beetle Tactical Plan</w:t>
      </w:r>
    </w:p>
    <w:p w:rsidR="009A38DF" w:rsidRPr="009A38DF" w:rsidRDefault="009A38DF" w:rsidP="009A38DF">
      <w:pPr>
        <w:pStyle w:val="BodyText"/>
        <w:rPr>
          <w:rFonts w:cstheme="minorHAnsi"/>
          <w:sz w:val="22"/>
          <w:szCs w:val="22"/>
        </w:rPr>
      </w:pPr>
      <w:r w:rsidRPr="009A38DF">
        <w:rPr>
          <w:rFonts w:cstheme="minorHAnsi"/>
          <w:sz w:val="22"/>
          <w:szCs w:val="22"/>
          <w:u w:val="single"/>
        </w:rPr>
        <w:t>Fall and Burn</w:t>
      </w:r>
      <w:r w:rsidRPr="009A38DF">
        <w:rPr>
          <w:rFonts w:cstheme="minorHAnsi"/>
          <w:sz w:val="22"/>
          <w:szCs w:val="22"/>
        </w:rPr>
        <w:t xml:space="preserve"> – t</w:t>
      </w:r>
      <w:r w:rsidRPr="009A38DF">
        <w:rPr>
          <w:sz w:val="22"/>
          <w:szCs w:val="22"/>
        </w:rPr>
        <w:t>his tactic is typically selected for isolated sites that cannot be accessed for harvest. Crews fall infested trees, buck and stack onto the stump, and then burn the pile to kill all beetles. Activities start in November and continue through to March. C</w:t>
      </w:r>
      <w:r w:rsidRPr="009A38DF">
        <w:rPr>
          <w:rFonts w:cstheme="minorHAnsi"/>
          <w:sz w:val="22"/>
          <w:szCs w:val="22"/>
        </w:rPr>
        <w:t>ontract standards are captured to Appendix 1.7.</w:t>
      </w:r>
    </w:p>
    <w:p w:rsidR="009A38DF" w:rsidRDefault="009A38DF" w:rsidP="009A38DF">
      <w:pPr>
        <w:pStyle w:val="BodyText"/>
        <w:rPr>
          <w:rFonts w:cstheme="minorHAnsi"/>
          <w:sz w:val="22"/>
          <w:szCs w:val="22"/>
        </w:rPr>
      </w:pPr>
      <w:r w:rsidRPr="009A38DF">
        <w:rPr>
          <w:rFonts w:cstheme="minorHAnsi"/>
          <w:sz w:val="22"/>
          <w:szCs w:val="22"/>
          <w:u w:val="single"/>
        </w:rPr>
        <w:t>Baiting/ Hold to Harvest</w:t>
      </w:r>
      <w:r w:rsidRPr="009A38DF">
        <w:rPr>
          <w:rFonts w:cstheme="minorHAnsi"/>
          <w:sz w:val="22"/>
          <w:szCs w:val="22"/>
        </w:rPr>
        <w:t xml:space="preserve"> – </w:t>
      </w:r>
      <w:r w:rsidRPr="009A38DF">
        <w:rPr>
          <w:sz w:val="22"/>
          <w:szCs w:val="22"/>
        </w:rPr>
        <w:t xml:space="preserve">this tactic is selected for areas where harvesting cannot be completed before the next beetle flight.  Pheromone baits are hung </w:t>
      </w:r>
      <w:r w:rsidRPr="009A38DF">
        <w:rPr>
          <w:rFonts w:cstheme="minorHAnsi"/>
          <w:sz w:val="22"/>
          <w:szCs w:val="22"/>
        </w:rPr>
        <w:t xml:space="preserve">to attract beetles and keep them contained to a general area prior to </w:t>
      </w:r>
      <w:r>
        <w:rPr>
          <w:rFonts w:cstheme="minorHAnsi"/>
          <w:sz w:val="22"/>
          <w:szCs w:val="22"/>
        </w:rPr>
        <w:t>harvest</w:t>
      </w:r>
      <w:r w:rsidRPr="009A38DF">
        <w:rPr>
          <w:rFonts w:cstheme="minorHAnsi"/>
          <w:sz w:val="22"/>
          <w:szCs w:val="22"/>
        </w:rPr>
        <w:t>. Baits may also be placed to attract and hold residual beetles after an area has been logged (mop-up baiting). Baits should be hung in April-May (before ambient temperature reaches 20</w:t>
      </w:r>
      <w:r w:rsidRPr="009A38DF">
        <w:rPr>
          <w:rFonts w:cstheme="minorHAnsi"/>
          <w:sz w:val="22"/>
          <w:szCs w:val="22"/>
          <w:vertAlign w:val="superscript"/>
        </w:rPr>
        <w:t>o</w:t>
      </w:r>
      <w:r w:rsidRPr="009A38DF">
        <w:rPr>
          <w:rFonts w:cstheme="minorHAnsi"/>
          <w:sz w:val="22"/>
          <w:szCs w:val="22"/>
        </w:rPr>
        <w:t xml:space="preserve"> C) </w:t>
      </w:r>
      <w:r w:rsidR="0064601D">
        <w:rPr>
          <w:rFonts w:cstheme="minorHAnsi"/>
          <w:sz w:val="22"/>
          <w:szCs w:val="22"/>
        </w:rPr>
        <w:t xml:space="preserve">or as per manufacturer’s instructions, </w:t>
      </w:r>
      <w:r w:rsidRPr="009A38DF">
        <w:rPr>
          <w:rFonts w:cstheme="minorHAnsi"/>
          <w:sz w:val="22"/>
          <w:szCs w:val="22"/>
        </w:rPr>
        <w:t xml:space="preserve">on large, healthy, </w:t>
      </w:r>
      <w:proofErr w:type="spellStart"/>
      <w:r w:rsidRPr="009A38DF">
        <w:rPr>
          <w:rFonts w:cstheme="minorHAnsi"/>
          <w:sz w:val="22"/>
          <w:szCs w:val="22"/>
        </w:rPr>
        <w:t>uninfested</w:t>
      </w:r>
      <w:proofErr w:type="spellEnd"/>
      <w:r w:rsidRPr="009A38DF">
        <w:rPr>
          <w:rFonts w:cstheme="minorHAnsi"/>
          <w:sz w:val="22"/>
          <w:szCs w:val="22"/>
        </w:rPr>
        <w:t xml:space="preserve"> </w:t>
      </w:r>
      <w:r>
        <w:rPr>
          <w:rFonts w:cstheme="minorHAnsi"/>
          <w:sz w:val="22"/>
          <w:szCs w:val="22"/>
        </w:rPr>
        <w:t>balsam</w:t>
      </w:r>
      <w:r w:rsidRPr="009A38DF">
        <w:rPr>
          <w:rFonts w:cstheme="minorHAnsi"/>
          <w:sz w:val="22"/>
          <w:szCs w:val="22"/>
        </w:rPr>
        <w:t xml:space="preserve">.  </w:t>
      </w:r>
    </w:p>
    <w:p w:rsidR="00D21B7F" w:rsidRPr="00D21B7F" w:rsidRDefault="009A38DF" w:rsidP="009146AD">
      <w:pPr>
        <w:pStyle w:val="BodyText2"/>
        <w:spacing w:line="240" w:lineRule="auto"/>
        <w:rPr>
          <w:sz w:val="22"/>
          <w:szCs w:val="22"/>
        </w:rPr>
      </w:pPr>
      <w:proofErr w:type="gramStart"/>
      <w:r w:rsidRPr="00D21B7F">
        <w:rPr>
          <w:rFonts w:cstheme="minorHAnsi"/>
          <w:sz w:val="22"/>
          <w:szCs w:val="22"/>
          <w:u w:val="single"/>
        </w:rPr>
        <w:t>Harvest</w:t>
      </w:r>
      <w:r w:rsidRPr="00D21B7F">
        <w:rPr>
          <w:rFonts w:cstheme="minorHAnsi"/>
          <w:sz w:val="22"/>
          <w:szCs w:val="22"/>
        </w:rPr>
        <w:t xml:space="preserve"> –</w:t>
      </w:r>
      <w:r w:rsidR="0064601D" w:rsidRPr="00D21B7F">
        <w:rPr>
          <w:rFonts w:cstheme="minorHAnsi"/>
          <w:sz w:val="22"/>
          <w:szCs w:val="22"/>
        </w:rPr>
        <w:t xml:space="preserve"> </w:t>
      </w:r>
      <w:r w:rsidR="00D21B7F" w:rsidRPr="00D21B7F">
        <w:rPr>
          <w:sz w:val="22"/>
          <w:szCs w:val="22"/>
        </w:rPr>
        <w:t>similar to IBS, IBB breed in downed logs and large slash.</w:t>
      </w:r>
      <w:proofErr w:type="gramEnd"/>
      <w:r w:rsidR="00D21B7F" w:rsidRPr="00D21B7F">
        <w:rPr>
          <w:sz w:val="22"/>
          <w:szCs w:val="22"/>
        </w:rPr>
        <w:t xml:space="preserve"> IBB usually infests the bole at a height over 1 m., so infested stumps are not of major concern.</w:t>
      </w:r>
    </w:p>
    <w:p w:rsidR="00D21B7F" w:rsidRDefault="00D21B7F" w:rsidP="009146AD">
      <w:pPr>
        <w:pStyle w:val="BodyText2"/>
        <w:numPr>
          <w:ilvl w:val="0"/>
          <w:numId w:val="10"/>
        </w:numPr>
        <w:spacing w:after="0" w:line="240" w:lineRule="auto"/>
        <w:rPr>
          <w:sz w:val="22"/>
          <w:szCs w:val="22"/>
        </w:rPr>
      </w:pPr>
      <w:r w:rsidRPr="00D21B7F">
        <w:rPr>
          <w:sz w:val="22"/>
          <w:szCs w:val="22"/>
        </w:rPr>
        <w:t>Employ clean logging practices</w:t>
      </w:r>
      <w:r w:rsidR="0001796F">
        <w:rPr>
          <w:sz w:val="22"/>
          <w:szCs w:val="22"/>
        </w:rPr>
        <w:t>;</w:t>
      </w:r>
      <w:r w:rsidRPr="00D21B7F">
        <w:rPr>
          <w:sz w:val="22"/>
          <w:szCs w:val="22"/>
        </w:rPr>
        <w:t xml:space="preserve"> </w:t>
      </w:r>
    </w:p>
    <w:p w:rsidR="009146AD" w:rsidRPr="00D21B7F" w:rsidRDefault="0001796F" w:rsidP="009146AD">
      <w:pPr>
        <w:pStyle w:val="BodyText2"/>
        <w:numPr>
          <w:ilvl w:val="0"/>
          <w:numId w:val="10"/>
        </w:numPr>
        <w:spacing w:after="0" w:line="240" w:lineRule="auto"/>
        <w:rPr>
          <w:sz w:val="22"/>
          <w:szCs w:val="22"/>
        </w:rPr>
      </w:pPr>
      <w:r>
        <w:rPr>
          <w:sz w:val="22"/>
          <w:szCs w:val="22"/>
        </w:rPr>
        <w:t xml:space="preserve">Protect developing </w:t>
      </w:r>
      <w:proofErr w:type="spellStart"/>
      <w:r>
        <w:rPr>
          <w:sz w:val="22"/>
          <w:szCs w:val="22"/>
        </w:rPr>
        <w:t>understorey</w:t>
      </w:r>
      <w:proofErr w:type="spellEnd"/>
      <w:r>
        <w:rPr>
          <w:sz w:val="22"/>
          <w:szCs w:val="22"/>
        </w:rPr>
        <w:t>;</w:t>
      </w:r>
    </w:p>
    <w:p w:rsidR="00D21B7F" w:rsidRPr="00D21B7F" w:rsidRDefault="00D21B7F" w:rsidP="009146AD">
      <w:pPr>
        <w:pStyle w:val="BodyText2"/>
        <w:numPr>
          <w:ilvl w:val="0"/>
          <w:numId w:val="10"/>
        </w:numPr>
        <w:spacing w:after="0" w:line="240" w:lineRule="auto"/>
        <w:rPr>
          <w:sz w:val="22"/>
          <w:szCs w:val="22"/>
        </w:rPr>
      </w:pPr>
      <w:r w:rsidRPr="00D21B7F">
        <w:rPr>
          <w:sz w:val="22"/>
          <w:szCs w:val="22"/>
        </w:rPr>
        <w:t xml:space="preserve">Design </w:t>
      </w:r>
      <w:proofErr w:type="spellStart"/>
      <w:r w:rsidRPr="00D21B7F">
        <w:rPr>
          <w:sz w:val="22"/>
          <w:szCs w:val="22"/>
        </w:rPr>
        <w:t>cutblocks</w:t>
      </w:r>
      <w:proofErr w:type="spellEnd"/>
      <w:r w:rsidRPr="00D21B7F">
        <w:rPr>
          <w:sz w:val="22"/>
          <w:szCs w:val="22"/>
        </w:rPr>
        <w:t xml:space="preserve"> and wildlife tree retention areas so as to minimize </w:t>
      </w:r>
      <w:proofErr w:type="spellStart"/>
      <w:r w:rsidRPr="00D21B7F">
        <w:rPr>
          <w:sz w:val="22"/>
          <w:szCs w:val="22"/>
        </w:rPr>
        <w:t>windthrow</w:t>
      </w:r>
      <w:proofErr w:type="spellEnd"/>
      <w:r>
        <w:rPr>
          <w:sz w:val="22"/>
          <w:szCs w:val="22"/>
        </w:rPr>
        <w:t xml:space="preserve"> potential</w:t>
      </w:r>
      <w:r w:rsidR="0001796F">
        <w:rPr>
          <w:sz w:val="22"/>
          <w:szCs w:val="22"/>
        </w:rPr>
        <w:t>;</w:t>
      </w:r>
      <w:r w:rsidRPr="00D21B7F">
        <w:rPr>
          <w:sz w:val="22"/>
          <w:szCs w:val="22"/>
        </w:rPr>
        <w:t xml:space="preserve"> </w:t>
      </w:r>
    </w:p>
    <w:p w:rsidR="00D21B7F" w:rsidRDefault="00D21B7F" w:rsidP="009146AD">
      <w:pPr>
        <w:pStyle w:val="BodyText2"/>
        <w:numPr>
          <w:ilvl w:val="0"/>
          <w:numId w:val="10"/>
        </w:numPr>
        <w:spacing w:after="0" w:line="240" w:lineRule="auto"/>
        <w:rPr>
          <w:sz w:val="22"/>
          <w:szCs w:val="22"/>
        </w:rPr>
      </w:pPr>
      <w:r w:rsidRPr="00D21B7F">
        <w:rPr>
          <w:sz w:val="22"/>
          <w:szCs w:val="22"/>
        </w:rPr>
        <w:t xml:space="preserve">Monitor existing patches of </w:t>
      </w:r>
      <w:proofErr w:type="spellStart"/>
      <w:r w:rsidRPr="00D21B7F">
        <w:rPr>
          <w:sz w:val="22"/>
          <w:szCs w:val="22"/>
        </w:rPr>
        <w:t>windthrow</w:t>
      </w:r>
      <w:proofErr w:type="spellEnd"/>
      <w:r w:rsidRPr="00D21B7F">
        <w:rPr>
          <w:sz w:val="22"/>
          <w:szCs w:val="22"/>
        </w:rPr>
        <w:t xml:space="preserve"> for IBB presence; conside</w:t>
      </w:r>
      <w:r>
        <w:rPr>
          <w:sz w:val="22"/>
          <w:szCs w:val="22"/>
        </w:rPr>
        <w:t>r salvage</w:t>
      </w:r>
      <w:r w:rsidR="00874C1A">
        <w:rPr>
          <w:sz w:val="22"/>
          <w:szCs w:val="22"/>
        </w:rPr>
        <w:t>,</w:t>
      </w:r>
      <w:r>
        <w:rPr>
          <w:sz w:val="22"/>
          <w:szCs w:val="22"/>
        </w:rPr>
        <w:t xml:space="preserve"> or baiting </w:t>
      </w:r>
      <w:r w:rsidRPr="00D21B7F">
        <w:rPr>
          <w:sz w:val="22"/>
          <w:szCs w:val="22"/>
        </w:rPr>
        <w:t xml:space="preserve">to attract </w:t>
      </w:r>
      <w:r>
        <w:rPr>
          <w:sz w:val="22"/>
          <w:szCs w:val="22"/>
        </w:rPr>
        <w:t xml:space="preserve">IBB into designed </w:t>
      </w:r>
      <w:proofErr w:type="spellStart"/>
      <w:r>
        <w:rPr>
          <w:sz w:val="22"/>
          <w:szCs w:val="22"/>
        </w:rPr>
        <w:t>cutblocks</w:t>
      </w:r>
      <w:proofErr w:type="spellEnd"/>
      <w:r>
        <w:rPr>
          <w:sz w:val="22"/>
          <w:szCs w:val="22"/>
        </w:rPr>
        <w:t xml:space="preserve"> </w:t>
      </w:r>
      <w:r w:rsidR="00874C1A">
        <w:rPr>
          <w:sz w:val="22"/>
          <w:szCs w:val="22"/>
        </w:rPr>
        <w:t>and holding for</w:t>
      </w:r>
      <w:r>
        <w:rPr>
          <w:sz w:val="22"/>
          <w:szCs w:val="22"/>
        </w:rPr>
        <w:t xml:space="preserve"> sanitation harvest.</w:t>
      </w:r>
    </w:p>
    <w:p w:rsidR="00DE374F" w:rsidRDefault="00DE374F" w:rsidP="00DE374F">
      <w:pPr>
        <w:pStyle w:val="BodyText2"/>
        <w:spacing w:after="0" w:line="240" w:lineRule="auto"/>
        <w:rPr>
          <w:sz w:val="22"/>
          <w:szCs w:val="22"/>
        </w:rPr>
      </w:pPr>
    </w:p>
    <w:p w:rsidR="00DE374F" w:rsidRPr="00DE374F" w:rsidRDefault="0001796F" w:rsidP="00DE374F">
      <w:pPr>
        <w:pStyle w:val="BodyText2"/>
        <w:spacing w:line="240" w:lineRule="auto"/>
        <w:rPr>
          <w:sz w:val="22"/>
          <w:szCs w:val="22"/>
        </w:rPr>
      </w:pPr>
      <w:r>
        <w:rPr>
          <w:sz w:val="22"/>
          <w:szCs w:val="22"/>
        </w:rPr>
        <w:t>Relative h</w:t>
      </w:r>
      <w:r w:rsidR="00DE374F" w:rsidRPr="00DE374F">
        <w:rPr>
          <w:sz w:val="22"/>
          <w:szCs w:val="22"/>
        </w:rPr>
        <w:t>arvest priority is as follows:</w:t>
      </w:r>
    </w:p>
    <w:p w:rsidR="00DE374F" w:rsidRPr="00DE374F" w:rsidRDefault="00DE374F" w:rsidP="00DE374F">
      <w:pPr>
        <w:numPr>
          <w:ilvl w:val="0"/>
          <w:numId w:val="11"/>
        </w:numPr>
        <w:tabs>
          <w:tab w:val="clear" w:pos="360"/>
          <w:tab w:val="num" w:pos="720"/>
          <w:tab w:val="left" w:pos="916"/>
          <w:tab w:val="left" w:pos="4868"/>
          <w:tab w:val="left" w:pos="8640"/>
        </w:tabs>
        <w:spacing w:after="120"/>
        <w:ind w:left="720"/>
        <w:rPr>
          <w:sz w:val="22"/>
          <w:szCs w:val="22"/>
        </w:rPr>
      </w:pPr>
      <w:r>
        <w:rPr>
          <w:sz w:val="22"/>
          <w:szCs w:val="22"/>
        </w:rPr>
        <w:t xml:space="preserve">Priority 1 </w:t>
      </w:r>
      <w:r w:rsidR="00A1011C">
        <w:rPr>
          <w:sz w:val="22"/>
          <w:szCs w:val="22"/>
        </w:rPr>
        <w:t>–</w:t>
      </w:r>
      <w:r>
        <w:rPr>
          <w:sz w:val="22"/>
          <w:szCs w:val="22"/>
        </w:rPr>
        <w:t xml:space="preserve"> </w:t>
      </w:r>
      <w:r w:rsidR="00A1011C">
        <w:rPr>
          <w:sz w:val="22"/>
          <w:szCs w:val="22"/>
        </w:rPr>
        <w:t xml:space="preserve">stands with </w:t>
      </w:r>
      <w:r w:rsidRPr="00DE374F">
        <w:rPr>
          <w:sz w:val="22"/>
          <w:szCs w:val="22"/>
        </w:rPr>
        <w:t xml:space="preserve">Red </w:t>
      </w:r>
      <w:r>
        <w:rPr>
          <w:sz w:val="22"/>
          <w:szCs w:val="22"/>
        </w:rPr>
        <w:t>&amp;</w:t>
      </w:r>
      <w:r w:rsidRPr="00DE374F">
        <w:rPr>
          <w:sz w:val="22"/>
          <w:szCs w:val="22"/>
        </w:rPr>
        <w:t xml:space="preserve"> Green incidence </w:t>
      </w:r>
      <w:r>
        <w:rPr>
          <w:sz w:val="22"/>
          <w:szCs w:val="22"/>
        </w:rPr>
        <w:t xml:space="preserve">&gt; 35% - </w:t>
      </w:r>
      <w:r w:rsidR="00216C58">
        <w:rPr>
          <w:sz w:val="22"/>
          <w:szCs w:val="22"/>
        </w:rPr>
        <w:t>represent areas of relatively current infestation, where there is potential both to recover</w:t>
      </w:r>
      <w:r w:rsidRPr="00DE374F">
        <w:rPr>
          <w:sz w:val="22"/>
          <w:szCs w:val="22"/>
        </w:rPr>
        <w:t xml:space="preserve"> </w:t>
      </w:r>
      <w:proofErr w:type="spellStart"/>
      <w:r w:rsidRPr="00DE374F">
        <w:rPr>
          <w:sz w:val="22"/>
          <w:szCs w:val="22"/>
        </w:rPr>
        <w:t>sawlog</w:t>
      </w:r>
      <w:proofErr w:type="spellEnd"/>
      <w:r w:rsidRPr="00DE374F">
        <w:rPr>
          <w:sz w:val="22"/>
          <w:szCs w:val="22"/>
        </w:rPr>
        <w:t xml:space="preserve"> volume </w:t>
      </w:r>
      <w:r w:rsidR="00216C58">
        <w:rPr>
          <w:sz w:val="22"/>
          <w:szCs w:val="22"/>
        </w:rPr>
        <w:t>and destroy IBB brood.</w:t>
      </w:r>
      <w:r w:rsidRPr="00DE374F">
        <w:rPr>
          <w:sz w:val="22"/>
          <w:szCs w:val="22"/>
        </w:rPr>
        <w:t xml:space="preserve">  </w:t>
      </w:r>
    </w:p>
    <w:p w:rsidR="00DE374F" w:rsidRPr="00DE374F" w:rsidRDefault="00216C58" w:rsidP="00DE374F">
      <w:pPr>
        <w:numPr>
          <w:ilvl w:val="0"/>
          <w:numId w:val="11"/>
        </w:numPr>
        <w:tabs>
          <w:tab w:val="clear" w:pos="360"/>
          <w:tab w:val="num" w:pos="720"/>
          <w:tab w:val="left" w:pos="916"/>
          <w:tab w:val="left" w:pos="4868"/>
          <w:tab w:val="left" w:pos="8640"/>
        </w:tabs>
        <w:spacing w:after="120"/>
        <w:ind w:left="720"/>
        <w:rPr>
          <w:sz w:val="22"/>
          <w:szCs w:val="22"/>
        </w:rPr>
      </w:pPr>
      <w:r>
        <w:rPr>
          <w:sz w:val="22"/>
          <w:szCs w:val="22"/>
        </w:rPr>
        <w:t xml:space="preserve">Priority 2 - </w:t>
      </w:r>
      <w:r w:rsidRPr="00DE374F">
        <w:rPr>
          <w:sz w:val="22"/>
          <w:szCs w:val="22"/>
        </w:rPr>
        <w:t xml:space="preserve">Red </w:t>
      </w:r>
      <w:r>
        <w:rPr>
          <w:sz w:val="22"/>
          <w:szCs w:val="22"/>
        </w:rPr>
        <w:t>&amp;</w:t>
      </w:r>
      <w:r w:rsidRPr="00DE374F">
        <w:rPr>
          <w:sz w:val="22"/>
          <w:szCs w:val="22"/>
        </w:rPr>
        <w:t xml:space="preserve"> Green incidence </w:t>
      </w:r>
      <w:r>
        <w:rPr>
          <w:sz w:val="22"/>
          <w:szCs w:val="22"/>
        </w:rPr>
        <w:t>&gt;</w:t>
      </w:r>
      <w:r w:rsidR="00DE374F" w:rsidRPr="00DE374F">
        <w:rPr>
          <w:sz w:val="22"/>
          <w:szCs w:val="22"/>
        </w:rPr>
        <w:t xml:space="preserve">20% and </w:t>
      </w:r>
      <w:r>
        <w:rPr>
          <w:sz w:val="22"/>
          <w:szCs w:val="22"/>
        </w:rPr>
        <w:t>&lt;= 35%</w:t>
      </w:r>
      <w:r w:rsidR="00DE374F" w:rsidRPr="00DE374F">
        <w:rPr>
          <w:sz w:val="22"/>
          <w:szCs w:val="22"/>
        </w:rPr>
        <w:t xml:space="preserve">.  </w:t>
      </w:r>
    </w:p>
    <w:p w:rsidR="00DE374F" w:rsidRPr="00DE374F" w:rsidRDefault="00216C58" w:rsidP="00DE374F">
      <w:pPr>
        <w:numPr>
          <w:ilvl w:val="0"/>
          <w:numId w:val="11"/>
        </w:numPr>
        <w:tabs>
          <w:tab w:val="clear" w:pos="360"/>
          <w:tab w:val="num" w:pos="720"/>
          <w:tab w:val="left" w:pos="916"/>
          <w:tab w:val="left" w:pos="4868"/>
          <w:tab w:val="left" w:pos="8640"/>
        </w:tabs>
        <w:spacing w:after="120"/>
        <w:ind w:left="720"/>
        <w:rPr>
          <w:sz w:val="22"/>
          <w:szCs w:val="22"/>
        </w:rPr>
      </w:pPr>
      <w:r>
        <w:rPr>
          <w:sz w:val="22"/>
          <w:szCs w:val="22"/>
        </w:rPr>
        <w:t xml:space="preserve">Priority 3 - </w:t>
      </w:r>
      <w:r w:rsidR="00A1011C" w:rsidRPr="00DE374F">
        <w:rPr>
          <w:sz w:val="22"/>
          <w:szCs w:val="22"/>
        </w:rPr>
        <w:t xml:space="preserve">Red </w:t>
      </w:r>
      <w:r w:rsidR="00A1011C">
        <w:rPr>
          <w:sz w:val="22"/>
          <w:szCs w:val="22"/>
        </w:rPr>
        <w:t>&amp;</w:t>
      </w:r>
      <w:r w:rsidR="00A1011C" w:rsidRPr="00DE374F">
        <w:rPr>
          <w:sz w:val="22"/>
          <w:szCs w:val="22"/>
        </w:rPr>
        <w:t xml:space="preserve"> Green </w:t>
      </w:r>
      <w:r>
        <w:rPr>
          <w:sz w:val="22"/>
          <w:szCs w:val="22"/>
        </w:rPr>
        <w:t>in</w:t>
      </w:r>
      <w:r w:rsidR="000675DF">
        <w:rPr>
          <w:sz w:val="22"/>
          <w:szCs w:val="22"/>
        </w:rPr>
        <w:t>cidence</w:t>
      </w:r>
      <w:r w:rsidR="00DE374F" w:rsidRPr="00DE374F">
        <w:rPr>
          <w:sz w:val="22"/>
          <w:szCs w:val="22"/>
        </w:rPr>
        <w:t xml:space="preserve"> &lt;</w:t>
      </w:r>
      <w:r w:rsidR="000675DF">
        <w:rPr>
          <w:sz w:val="22"/>
          <w:szCs w:val="22"/>
        </w:rPr>
        <w:t>=20%</w:t>
      </w:r>
      <w:r w:rsidR="00DE374F" w:rsidRPr="00DE374F">
        <w:rPr>
          <w:sz w:val="22"/>
          <w:szCs w:val="22"/>
        </w:rPr>
        <w:t xml:space="preserve"> </w:t>
      </w:r>
      <w:r w:rsidR="000675DF">
        <w:rPr>
          <w:sz w:val="22"/>
          <w:szCs w:val="22"/>
        </w:rPr>
        <w:t>in extensive areas of high IBB hazard (e.g. &gt;100 ha contiguous)</w:t>
      </w:r>
      <w:r w:rsidR="00DE374F" w:rsidRPr="00DE374F">
        <w:rPr>
          <w:sz w:val="22"/>
          <w:szCs w:val="22"/>
        </w:rPr>
        <w:t xml:space="preserve">. </w:t>
      </w:r>
    </w:p>
    <w:p w:rsidR="00DE374F" w:rsidRPr="00DE374F" w:rsidRDefault="000675DF" w:rsidP="00DE374F">
      <w:pPr>
        <w:numPr>
          <w:ilvl w:val="0"/>
          <w:numId w:val="11"/>
        </w:numPr>
        <w:tabs>
          <w:tab w:val="clear" w:pos="360"/>
          <w:tab w:val="num" w:pos="720"/>
          <w:tab w:val="left" w:pos="916"/>
          <w:tab w:val="left" w:pos="4868"/>
          <w:tab w:val="left" w:pos="8640"/>
        </w:tabs>
        <w:spacing w:after="120"/>
        <w:ind w:left="720"/>
        <w:rPr>
          <w:sz w:val="22"/>
          <w:szCs w:val="22"/>
        </w:rPr>
      </w:pPr>
      <w:r>
        <w:rPr>
          <w:sz w:val="22"/>
          <w:szCs w:val="22"/>
        </w:rPr>
        <w:t xml:space="preserve">Priority 4 – </w:t>
      </w:r>
      <w:r w:rsidR="00A1011C">
        <w:rPr>
          <w:sz w:val="22"/>
          <w:szCs w:val="22"/>
        </w:rPr>
        <w:t xml:space="preserve">accessible, extensive </w:t>
      </w:r>
      <w:r>
        <w:rPr>
          <w:sz w:val="22"/>
          <w:szCs w:val="22"/>
        </w:rPr>
        <w:t xml:space="preserve">areas of grey-attack with </w:t>
      </w:r>
      <w:r w:rsidR="00A1011C">
        <w:rPr>
          <w:sz w:val="22"/>
          <w:szCs w:val="22"/>
        </w:rPr>
        <w:t xml:space="preserve">some </w:t>
      </w:r>
      <w:proofErr w:type="spellStart"/>
      <w:r>
        <w:rPr>
          <w:sz w:val="22"/>
          <w:szCs w:val="22"/>
        </w:rPr>
        <w:t>sawlog</w:t>
      </w:r>
      <w:proofErr w:type="spellEnd"/>
      <w:r>
        <w:rPr>
          <w:sz w:val="22"/>
          <w:szCs w:val="22"/>
        </w:rPr>
        <w:t xml:space="preserve"> salvage potential; higher priority to stands </w:t>
      </w:r>
      <w:r w:rsidR="00A1011C">
        <w:rPr>
          <w:sz w:val="22"/>
          <w:szCs w:val="22"/>
        </w:rPr>
        <w:t>of</w:t>
      </w:r>
      <w:r>
        <w:rPr>
          <w:sz w:val="22"/>
          <w:szCs w:val="22"/>
        </w:rPr>
        <w:t xml:space="preserve"> higher site productivity. </w:t>
      </w:r>
    </w:p>
    <w:p w:rsidR="0082600E" w:rsidRPr="009B29A8" w:rsidRDefault="0082600E" w:rsidP="009B29A8">
      <w:pPr>
        <w:rPr>
          <w:rFonts w:cstheme="minorHAnsi"/>
          <w:b/>
          <w:i/>
          <w:sz w:val="22"/>
          <w:szCs w:val="22"/>
        </w:rPr>
      </w:pPr>
      <w:r w:rsidRPr="0082600E">
        <w:rPr>
          <w:rFonts w:eastAsiaTheme="minorHAnsi" w:cstheme="minorHAnsi"/>
          <w:sz w:val="22"/>
          <w:szCs w:val="22"/>
          <w:lang w:val="en-CA" w:bidi="ar-SA"/>
        </w:rPr>
        <w:t>A recent study (</w:t>
      </w:r>
      <w:proofErr w:type="spellStart"/>
      <w:r w:rsidRPr="0082600E">
        <w:rPr>
          <w:rFonts w:eastAsiaTheme="minorHAnsi" w:cstheme="minorHAnsi"/>
          <w:sz w:val="22"/>
          <w:szCs w:val="22"/>
          <w:lang w:val="en-CA" w:bidi="ar-SA"/>
        </w:rPr>
        <w:t>Maclauchlan</w:t>
      </w:r>
      <w:proofErr w:type="spellEnd"/>
      <w:r w:rsidRPr="0082600E">
        <w:rPr>
          <w:rFonts w:eastAsiaTheme="minorHAnsi" w:cstheme="minorHAnsi"/>
          <w:sz w:val="22"/>
          <w:szCs w:val="22"/>
          <w:lang w:val="en-CA" w:bidi="ar-SA"/>
        </w:rPr>
        <w:t>, 2014) concluded that as</w:t>
      </w:r>
      <w:r w:rsidRPr="009B29A8">
        <w:rPr>
          <w:rFonts w:eastAsiaTheme="minorHAnsi" w:cstheme="minorHAnsi"/>
          <w:sz w:val="22"/>
          <w:szCs w:val="22"/>
          <w:lang w:val="en-CA" w:bidi="ar-SA"/>
        </w:rPr>
        <w:t xml:space="preserve"> extreme weather events become </w:t>
      </w:r>
      <w:r w:rsidRPr="009B29A8">
        <w:rPr>
          <w:rFonts w:eastAsiaTheme="minorHAnsi"/>
          <w:sz w:val="22"/>
          <w:szCs w:val="22"/>
          <w:lang w:val="en-CA" w:bidi="ar-SA"/>
        </w:rPr>
        <w:t xml:space="preserve">more common, particularly in wetter subalpine fir ecosystems, mortality from western balsam bark beetle </w:t>
      </w:r>
      <w:r w:rsidRPr="009B29A8">
        <w:rPr>
          <w:rFonts w:eastAsiaTheme="minorHAnsi" w:cstheme="minorHAnsi"/>
          <w:sz w:val="22"/>
          <w:szCs w:val="22"/>
          <w:lang w:val="en-CA" w:bidi="ar-SA"/>
        </w:rPr>
        <w:t>will be amplified</w:t>
      </w:r>
      <w:r w:rsidRPr="0082600E">
        <w:rPr>
          <w:rFonts w:eastAsiaTheme="minorHAnsi" w:cstheme="minorHAnsi"/>
          <w:sz w:val="22"/>
          <w:szCs w:val="22"/>
          <w:lang w:val="en-CA" w:bidi="ar-SA"/>
        </w:rPr>
        <w:t>.</w:t>
      </w:r>
      <w:r w:rsidRPr="009B29A8">
        <w:rPr>
          <w:rFonts w:eastAsiaTheme="minorHAnsi" w:cstheme="minorHAnsi"/>
          <w:sz w:val="22"/>
          <w:szCs w:val="22"/>
          <w:lang w:val="en-CA" w:bidi="ar-SA"/>
        </w:rPr>
        <w:t xml:space="preserve"> To minimize future losses, subalpine fir stands should be managed for a</w:t>
      </w:r>
      <w:r w:rsidRPr="0082600E">
        <w:rPr>
          <w:rFonts w:eastAsiaTheme="minorHAnsi" w:cstheme="minorHAnsi"/>
          <w:sz w:val="22"/>
          <w:szCs w:val="22"/>
          <w:lang w:val="en-CA" w:bidi="ar-SA"/>
        </w:rPr>
        <w:t xml:space="preserve"> </w:t>
      </w:r>
      <w:r w:rsidRPr="009B29A8">
        <w:rPr>
          <w:rFonts w:eastAsiaTheme="minorHAnsi" w:cstheme="minorHAnsi"/>
          <w:sz w:val="22"/>
          <w:szCs w:val="22"/>
          <w:lang w:val="en-CA" w:bidi="ar-SA"/>
        </w:rPr>
        <w:t xml:space="preserve">rotation age less than 100 years and mixed species stands promoted where </w:t>
      </w:r>
      <w:r w:rsidRPr="0082600E">
        <w:rPr>
          <w:rFonts w:eastAsiaTheme="minorHAnsi" w:cstheme="minorHAnsi"/>
          <w:sz w:val="22"/>
          <w:szCs w:val="22"/>
          <w:lang w:val="en-CA" w:bidi="ar-SA"/>
        </w:rPr>
        <w:t>ecologically</w:t>
      </w:r>
      <w:r w:rsidRPr="009B29A8">
        <w:rPr>
          <w:rFonts w:eastAsiaTheme="minorHAnsi" w:cstheme="minorHAnsi"/>
          <w:sz w:val="22"/>
          <w:szCs w:val="22"/>
          <w:lang w:val="en-CA" w:bidi="ar-SA"/>
        </w:rPr>
        <w:t xml:space="preserve"> feasible.</w:t>
      </w:r>
    </w:p>
    <w:p w:rsidR="00D21B7F" w:rsidRPr="000C11DC" w:rsidRDefault="00D21B7F" w:rsidP="00874C1A">
      <w:pPr>
        <w:autoSpaceDE w:val="0"/>
        <w:autoSpaceDN w:val="0"/>
        <w:adjustRightInd w:val="0"/>
        <w:spacing w:before="240" w:after="120"/>
        <w:rPr>
          <w:b/>
          <w:i/>
        </w:rPr>
      </w:pPr>
      <w:r w:rsidRPr="000C11DC">
        <w:rPr>
          <w:b/>
          <w:i/>
        </w:rPr>
        <w:t xml:space="preserve">Tactic: </w:t>
      </w:r>
      <w:r w:rsidR="00874C1A">
        <w:rPr>
          <w:b/>
          <w:i/>
        </w:rPr>
        <w:t>E</w:t>
      </w:r>
      <w:r w:rsidRPr="000C11DC">
        <w:rPr>
          <w:b/>
          <w:i/>
        </w:rPr>
        <w:t>valuate effectiveness of past practices</w:t>
      </w:r>
    </w:p>
    <w:p w:rsidR="00BD6963" w:rsidRDefault="00D21B7F" w:rsidP="00874C1A">
      <w:pPr>
        <w:pStyle w:val="BodyText3"/>
      </w:pPr>
      <w:r w:rsidRPr="00874C1A">
        <w:rPr>
          <w:rFonts w:cstheme="minorHAnsi"/>
          <w:sz w:val="22"/>
          <w:szCs w:val="22"/>
        </w:rPr>
        <w:t>District staff will schedule a meeting with Regional Forest Health and major licensee staff, once annually by end of February, to review efficacy of tactics and practices. Results will be captured to future iterations of the Forest Health Strategy.</w:t>
      </w:r>
    </w:p>
    <w:sectPr w:rsidR="00BD6963" w:rsidSect="003C2705">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045" w:rsidRDefault="00F40045" w:rsidP="00CB2719">
      <w:r>
        <w:separator/>
      </w:r>
    </w:p>
  </w:endnote>
  <w:endnote w:type="continuationSeparator" w:id="0">
    <w:p w:rsidR="00F40045" w:rsidRDefault="00F40045" w:rsidP="00CB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045" w:rsidRDefault="00F40045" w:rsidP="00CB2719">
      <w:r>
        <w:separator/>
      </w:r>
    </w:p>
  </w:footnote>
  <w:footnote w:type="continuationSeparator" w:id="0">
    <w:p w:rsidR="00F40045" w:rsidRDefault="00F40045" w:rsidP="00CB2719">
      <w:r>
        <w:continuationSeparator/>
      </w:r>
    </w:p>
  </w:footnote>
  <w:footnote w:id="1">
    <w:p w:rsidR="00AC4CC5" w:rsidRPr="00C96145" w:rsidRDefault="00AC4CC5" w:rsidP="00AC4CC5">
      <w:pPr>
        <w:pStyle w:val="FootnoteText"/>
        <w:spacing w:after="120" w:line="240" w:lineRule="auto"/>
        <w:rPr>
          <w:rFonts w:asciiTheme="minorHAnsi" w:hAnsiTheme="minorHAnsi" w:cstheme="minorHAnsi"/>
          <w:sz w:val="16"/>
          <w:szCs w:val="16"/>
          <w:lang w:val="en-CA"/>
        </w:rPr>
      </w:pPr>
      <w:r w:rsidRPr="00C96145">
        <w:rPr>
          <w:rStyle w:val="FootnoteReference"/>
          <w:rFonts w:asciiTheme="minorHAnsi" w:eastAsiaTheme="majorEastAsia" w:hAnsiTheme="minorHAnsi" w:cstheme="minorHAnsi"/>
          <w:sz w:val="16"/>
          <w:szCs w:val="16"/>
        </w:rPr>
        <w:footnoteRef/>
      </w:r>
      <w:r w:rsidRPr="00C96145">
        <w:rPr>
          <w:rFonts w:asciiTheme="minorHAnsi" w:hAnsiTheme="minorHAnsi" w:cstheme="minorHAnsi"/>
          <w:sz w:val="16"/>
          <w:szCs w:val="16"/>
        </w:rPr>
        <w:t xml:space="preserve"> Appendix 1X provides modelling logic and </w:t>
      </w:r>
      <w:proofErr w:type="spellStart"/>
      <w:r w:rsidRPr="00C96145">
        <w:rPr>
          <w:rFonts w:asciiTheme="minorHAnsi" w:hAnsiTheme="minorHAnsi" w:cstheme="minorHAnsi"/>
          <w:sz w:val="16"/>
          <w:szCs w:val="16"/>
        </w:rPr>
        <w:t>geoprocessing</w:t>
      </w:r>
      <w:proofErr w:type="spellEnd"/>
      <w:r w:rsidRPr="00C96145">
        <w:rPr>
          <w:rFonts w:asciiTheme="minorHAnsi" w:hAnsiTheme="minorHAnsi" w:cstheme="minorHAnsi"/>
          <w:sz w:val="16"/>
          <w:szCs w:val="16"/>
        </w:rPr>
        <w:t xml:space="preserve"> steps used to derive hazard mapping.</w:t>
      </w:r>
    </w:p>
  </w:footnote>
  <w:footnote w:id="2">
    <w:p w:rsidR="00B92938" w:rsidRPr="00D7076C" w:rsidRDefault="00B92938" w:rsidP="00B92938">
      <w:pPr>
        <w:pStyle w:val="FootnoteText"/>
        <w:spacing w:after="120" w:line="240" w:lineRule="auto"/>
        <w:rPr>
          <w:lang w:val="en-CA"/>
        </w:rPr>
      </w:pPr>
      <w:r w:rsidRPr="00C96145">
        <w:rPr>
          <w:rStyle w:val="FootnoteReference"/>
          <w:rFonts w:asciiTheme="minorHAnsi" w:eastAsiaTheme="majorEastAsia" w:hAnsiTheme="minorHAnsi" w:cstheme="minorHAnsi"/>
          <w:sz w:val="16"/>
          <w:szCs w:val="16"/>
        </w:rPr>
        <w:footnoteRef/>
      </w:r>
      <w:r>
        <w:rPr>
          <w:rFonts w:asciiTheme="minorHAnsi" w:hAnsiTheme="minorHAnsi" w:cstheme="minorHAnsi"/>
          <w:sz w:val="16"/>
          <w:szCs w:val="16"/>
        </w:rPr>
        <w:t xml:space="preserve"> P</w:t>
      </w:r>
      <w:r w:rsidRPr="00C96145">
        <w:rPr>
          <w:rFonts w:asciiTheme="minorHAnsi" w:hAnsiTheme="minorHAnsi" w:cstheme="minorHAnsi"/>
          <w:sz w:val="16"/>
          <w:szCs w:val="16"/>
        </w:rPr>
        <w:t>A</w:t>
      </w:r>
      <w:r>
        <w:rPr>
          <w:rFonts w:asciiTheme="minorHAnsi" w:hAnsiTheme="minorHAnsi" w:cstheme="minorHAnsi"/>
          <w:sz w:val="16"/>
          <w:szCs w:val="16"/>
        </w:rPr>
        <w:t>O</w:t>
      </w:r>
      <w:r w:rsidRPr="00C96145">
        <w:rPr>
          <w:rFonts w:asciiTheme="minorHAnsi" w:hAnsiTheme="minorHAnsi" w:cstheme="minorHAnsi"/>
          <w:sz w:val="16"/>
          <w:szCs w:val="16"/>
        </w:rPr>
        <w:t>S yields mapped polygons that are assigned a Severity Rating of Trace (&lt;1% recently killed), Light (1-10%), Moderate (11-29%), Severe (30-49%), and Very Severe (50% +). To produce Table XX, a single mortality figure was first selected to represent each Severity class (1% for Trace, 5% for Light, 20% fir Moderate, 40% for Severe, and 75% for Very Severe). The figures provided represent the sum of [(selected mortality fi</w:t>
      </w:r>
      <w:r>
        <w:rPr>
          <w:rFonts w:asciiTheme="minorHAnsi" w:hAnsiTheme="minorHAnsi" w:cstheme="minorHAnsi"/>
          <w:sz w:val="16"/>
          <w:szCs w:val="16"/>
        </w:rPr>
        <w:t>gure for a Severity class) x (P</w:t>
      </w:r>
      <w:r w:rsidRPr="00C96145">
        <w:rPr>
          <w:rFonts w:asciiTheme="minorHAnsi" w:hAnsiTheme="minorHAnsi" w:cstheme="minorHAnsi"/>
          <w:sz w:val="16"/>
          <w:szCs w:val="16"/>
        </w:rPr>
        <w:t>A</w:t>
      </w:r>
      <w:r>
        <w:rPr>
          <w:rFonts w:asciiTheme="minorHAnsi" w:hAnsiTheme="minorHAnsi" w:cstheme="minorHAnsi"/>
          <w:sz w:val="16"/>
          <w:szCs w:val="16"/>
        </w:rPr>
        <w:t>O</w:t>
      </w:r>
      <w:r w:rsidRPr="00C96145">
        <w:rPr>
          <w:rFonts w:asciiTheme="minorHAnsi" w:hAnsiTheme="minorHAnsi" w:cstheme="minorHAnsi"/>
          <w:sz w:val="16"/>
          <w:szCs w:val="16"/>
        </w:rPr>
        <w:t>S Severity class area)].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81933"/>
    <w:multiLevelType w:val="hybridMultilevel"/>
    <w:tmpl w:val="FC90A5D2"/>
    <w:lvl w:ilvl="0" w:tplc="3C78440E">
      <w:start w:val="1"/>
      <w:numFmt w:val="bullet"/>
      <w:lvlText w:val=""/>
      <w:lvlJc w:val="left"/>
      <w:pPr>
        <w:tabs>
          <w:tab w:val="num" w:pos="360"/>
        </w:tabs>
        <w:ind w:left="360" w:hanging="360"/>
      </w:pPr>
      <w:rPr>
        <w:rFonts w:ascii="Wingdings" w:hAnsi="Wingdings" w:hint="default"/>
        <w:sz w:val="24"/>
      </w:rPr>
    </w:lvl>
    <w:lvl w:ilvl="1" w:tplc="10090003">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1">
    <w:nsid w:val="15B90FAC"/>
    <w:multiLevelType w:val="hybridMultilevel"/>
    <w:tmpl w:val="1E80704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24BC01C7"/>
    <w:multiLevelType w:val="hybridMultilevel"/>
    <w:tmpl w:val="663EF9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nsid w:val="3B137B35"/>
    <w:multiLevelType w:val="hybridMultilevel"/>
    <w:tmpl w:val="EC96FCB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nsid w:val="3B7B1D5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nsid w:val="4C2C7A9E"/>
    <w:multiLevelType w:val="multilevel"/>
    <w:tmpl w:val="1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nsid w:val="5D6C4544"/>
    <w:multiLevelType w:val="hybridMultilevel"/>
    <w:tmpl w:val="E42042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62F80FE7"/>
    <w:multiLevelType w:val="hybridMultilevel"/>
    <w:tmpl w:val="86EA330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nsid w:val="65930A3D"/>
    <w:multiLevelType w:val="hybridMultilevel"/>
    <w:tmpl w:val="B73AB90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nsid w:val="725A4A1F"/>
    <w:multiLevelType w:val="hybridMultilevel"/>
    <w:tmpl w:val="4328D248"/>
    <w:lvl w:ilvl="0" w:tplc="10090001">
      <w:start w:val="1"/>
      <w:numFmt w:val="bullet"/>
      <w:lvlText w:val=""/>
      <w:lvlJc w:val="left"/>
      <w:pPr>
        <w:ind w:left="363" w:hanging="360"/>
      </w:pPr>
      <w:rPr>
        <w:rFonts w:ascii="Symbol" w:hAnsi="Symbol" w:hint="default"/>
      </w:rPr>
    </w:lvl>
    <w:lvl w:ilvl="1" w:tplc="10090003" w:tentative="1">
      <w:start w:val="1"/>
      <w:numFmt w:val="bullet"/>
      <w:lvlText w:val="o"/>
      <w:lvlJc w:val="left"/>
      <w:pPr>
        <w:ind w:left="1083" w:hanging="360"/>
      </w:pPr>
      <w:rPr>
        <w:rFonts w:ascii="Courier New" w:hAnsi="Courier New" w:cs="Courier New" w:hint="default"/>
      </w:rPr>
    </w:lvl>
    <w:lvl w:ilvl="2" w:tplc="10090005" w:tentative="1">
      <w:start w:val="1"/>
      <w:numFmt w:val="bullet"/>
      <w:lvlText w:val=""/>
      <w:lvlJc w:val="left"/>
      <w:pPr>
        <w:ind w:left="1803" w:hanging="360"/>
      </w:pPr>
      <w:rPr>
        <w:rFonts w:ascii="Wingdings" w:hAnsi="Wingdings" w:hint="default"/>
      </w:rPr>
    </w:lvl>
    <w:lvl w:ilvl="3" w:tplc="10090001" w:tentative="1">
      <w:start w:val="1"/>
      <w:numFmt w:val="bullet"/>
      <w:lvlText w:val=""/>
      <w:lvlJc w:val="left"/>
      <w:pPr>
        <w:ind w:left="2523" w:hanging="360"/>
      </w:pPr>
      <w:rPr>
        <w:rFonts w:ascii="Symbol" w:hAnsi="Symbol" w:hint="default"/>
      </w:rPr>
    </w:lvl>
    <w:lvl w:ilvl="4" w:tplc="10090003" w:tentative="1">
      <w:start w:val="1"/>
      <w:numFmt w:val="bullet"/>
      <w:lvlText w:val="o"/>
      <w:lvlJc w:val="left"/>
      <w:pPr>
        <w:ind w:left="3243" w:hanging="360"/>
      </w:pPr>
      <w:rPr>
        <w:rFonts w:ascii="Courier New" w:hAnsi="Courier New" w:cs="Courier New" w:hint="default"/>
      </w:rPr>
    </w:lvl>
    <w:lvl w:ilvl="5" w:tplc="10090005" w:tentative="1">
      <w:start w:val="1"/>
      <w:numFmt w:val="bullet"/>
      <w:lvlText w:val=""/>
      <w:lvlJc w:val="left"/>
      <w:pPr>
        <w:ind w:left="3963" w:hanging="360"/>
      </w:pPr>
      <w:rPr>
        <w:rFonts w:ascii="Wingdings" w:hAnsi="Wingdings" w:hint="default"/>
      </w:rPr>
    </w:lvl>
    <w:lvl w:ilvl="6" w:tplc="10090001" w:tentative="1">
      <w:start w:val="1"/>
      <w:numFmt w:val="bullet"/>
      <w:lvlText w:val=""/>
      <w:lvlJc w:val="left"/>
      <w:pPr>
        <w:ind w:left="4683" w:hanging="360"/>
      </w:pPr>
      <w:rPr>
        <w:rFonts w:ascii="Symbol" w:hAnsi="Symbol" w:hint="default"/>
      </w:rPr>
    </w:lvl>
    <w:lvl w:ilvl="7" w:tplc="10090003" w:tentative="1">
      <w:start w:val="1"/>
      <w:numFmt w:val="bullet"/>
      <w:lvlText w:val="o"/>
      <w:lvlJc w:val="left"/>
      <w:pPr>
        <w:ind w:left="5403" w:hanging="360"/>
      </w:pPr>
      <w:rPr>
        <w:rFonts w:ascii="Courier New" w:hAnsi="Courier New" w:cs="Courier New" w:hint="default"/>
      </w:rPr>
    </w:lvl>
    <w:lvl w:ilvl="8" w:tplc="10090005" w:tentative="1">
      <w:start w:val="1"/>
      <w:numFmt w:val="bullet"/>
      <w:lvlText w:val=""/>
      <w:lvlJc w:val="left"/>
      <w:pPr>
        <w:ind w:left="6123" w:hanging="360"/>
      </w:pPr>
      <w:rPr>
        <w:rFonts w:ascii="Wingdings" w:hAnsi="Wingdings" w:hint="default"/>
      </w:rPr>
    </w:lvl>
  </w:abstractNum>
  <w:abstractNum w:abstractNumId="10">
    <w:nsid w:val="7B193AFB"/>
    <w:multiLevelType w:val="hybridMultilevel"/>
    <w:tmpl w:val="BA502B9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num w:numId="1">
    <w:abstractNumId w:val="5"/>
  </w:num>
  <w:num w:numId="2">
    <w:abstractNumId w:val="9"/>
  </w:num>
  <w:num w:numId="3">
    <w:abstractNumId w:val="6"/>
  </w:num>
  <w:num w:numId="4">
    <w:abstractNumId w:val="0"/>
  </w:num>
  <w:num w:numId="5">
    <w:abstractNumId w:val="8"/>
  </w:num>
  <w:num w:numId="6">
    <w:abstractNumId w:val="7"/>
  </w:num>
  <w:num w:numId="7">
    <w:abstractNumId w:val="1"/>
  </w:num>
  <w:num w:numId="8">
    <w:abstractNumId w:val="10"/>
  </w:num>
  <w:num w:numId="9">
    <w:abstractNumId w:val="2"/>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027"/>
    <w:rsid w:val="00001EBA"/>
    <w:rsid w:val="00004D3E"/>
    <w:rsid w:val="0001796F"/>
    <w:rsid w:val="000675DF"/>
    <w:rsid w:val="000D091A"/>
    <w:rsid w:val="000F2934"/>
    <w:rsid w:val="00163D61"/>
    <w:rsid w:val="001C6288"/>
    <w:rsid w:val="00216C58"/>
    <w:rsid w:val="00234172"/>
    <w:rsid w:val="002B2F56"/>
    <w:rsid w:val="002B7A78"/>
    <w:rsid w:val="002D331B"/>
    <w:rsid w:val="0030088B"/>
    <w:rsid w:val="00373AAE"/>
    <w:rsid w:val="00374D35"/>
    <w:rsid w:val="0039514A"/>
    <w:rsid w:val="003C2705"/>
    <w:rsid w:val="003D7DC1"/>
    <w:rsid w:val="004573C5"/>
    <w:rsid w:val="0046150F"/>
    <w:rsid w:val="004D6C6C"/>
    <w:rsid w:val="004E1F80"/>
    <w:rsid w:val="004E79F7"/>
    <w:rsid w:val="004F1909"/>
    <w:rsid w:val="005532F8"/>
    <w:rsid w:val="005628BF"/>
    <w:rsid w:val="005A0763"/>
    <w:rsid w:val="005F4E96"/>
    <w:rsid w:val="00601F92"/>
    <w:rsid w:val="006071CB"/>
    <w:rsid w:val="00624656"/>
    <w:rsid w:val="0064601D"/>
    <w:rsid w:val="006C28E0"/>
    <w:rsid w:val="00736F9F"/>
    <w:rsid w:val="007603FD"/>
    <w:rsid w:val="00775442"/>
    <w:rsid w:val="007F74AD"/>
    <w:rsid w:val="0082600E"/>
    <w:rsid w:val="0082773E"/>
    <w:rsid w:val="0083746A"/>
    <w:rsid w:val="00861CD3"/>
    <w:rsid w:val="00874C1A"/>
    <w:rsid w:val="008A21A3"/>
    <w:rsid w:val="008B41AE"/>
    <w:rsid w:val="008D72E4"/>
    <w:rsid w:val="009146AD"/>
    <w:rsid w:val="009245C6"/>
    <w:rsid w:val="00944619"/>
    <w:rsid w:val="00947AAA"/>
    <w:rsid w:val="0099003B"/>
    <w:rsid w:val="009A2CA2"/>
    <w:rsid w:val="009A38DF"/>
    <w:rsid w:val="009B29A8"/>
    <w:rsid w:val="009B2D43"/>
    <w:rsid w:val="009D0141"/>
    <w:rsid w:val="009E39E7"/>
    <w:rsid w:val="00A00BA0"/>
    <w:rsid w:val="00A1011C"/>
    <w:rsid w:val="00A12662"/>
    <w:rsid w:val="00AA693A"/>
    <w:rsid w:val="00AC4CC5"/>
    <w:rsid w:val="00AF3B47"/>
    <w:rsid w:val="00B150B5"/>
    <w:rsid w:val="00B57206"/>
    <w:rsid w:val="00B63027"/>
    <w:rsid w:val="00B85877"/>
    <w:rsid w:val="00B92938"/>
    <w:rsid w:val="00BA7C4C"/>
    <w:rsid w:val="00BD6963"/>
    <w:rsid w:val="00C16E4E"/>
    <w:rsid w:val="00C61B5A"/>
    <w:rsid w:val="00C83FE3"/>
    <w:rsid w:val="00CB2719"/>
    <w:rsid w:val="00CF6201"/>
    <w:rsid w:val="00D00C77"/>
    <w:rsid w:val="00D21B7F"/>
    <w:rsid w:val="00D23CD2"/>
    <w:rsid w:val="00D60981"/>
    <w:rsid w:val="00DE374F"/>
    <w:rsid w:val="00E27D97"/>
    <w:rsid w:val="00E66883"/>
    <w:rsid w:val="00EC6638"/>
    <w:rsid w:val="00EF7E89"/>
    <w:rsid w:val="00F40045"/>
    <w:rsid w:val="00F66754"/>
    <w:rsid w:val="00FF4BA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027"/>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B63027"/>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B63027"/>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B63027"/>
    <w:pPr>
      <w:keepNext/>
      <w:numPr>
        <w:ilvl w:val="2"/>
        <w:numId w:val="1"/>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B63027"/>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B63027"/>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B63027"/>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B63027"/>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B63027"/>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B63027"/>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027"/>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B63027"/>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B63027"/>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B63027"/>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B63027"/>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B63027"/>
    <w:rPr>
      <w:rFonts w:eastAsiaTheme="minorEastAsia" w:cstheme="majorBidi"/>
      <w:b/>
      <w:bCs/>
      <w:lang w:val="en-US" w:bidi="en-US"/>
    </w:rPr>
  </w:style>
  <w:style w:type="character" w:customStyle="1" w:styleId="Heading7Char">
    <w:name w:val="Heading 7 Char"/>
    <w:basedOn w:val="DefaultParagraphFont"/>
    <w:link w:val="Heading7"/>
    <w:uiPriority w:val="9"/>
    <w:rsid w:val="00B63027"/>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B63027"/>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B63027"/>
    <w:rPr>
      <w:rFonts w:asciiTheme="majorHAnsi" w:eastAsiaTheme="majorEastAsia" w:hAnsiTheme="majorHAnsi" w:cstheme="majorBidi"/>
      <w:lang w:val="en-US" w:bidi="en-US"/>
    </w:rPr>
  </w:style>
  <w:style w:type="paragraph" w:styleId="BodyText">
    <w:name w:val="Body Text"/>
    <w:basedOn w:val="Normal"/>
    <w:link w:val="BodyTextChar"/>
    <w:rsid w:val="00B63027"/>
    <w:pPr>
      <w:spacing w:before="240" w:after="120"/>
    </w:pPr>
  </w:style>
  <w:style w:type="character" w:customStyle="1" w:styleId="BodyTextChar">
    <w:name w:val="Body Text Char"/>
    <w:basedOn w:val="DefaultParagraphFont"/>
    <w:link w:val="BodyText"/>
    <w:rsid w:val="00B63027"/>
    <w:rPr>
      <w:rFonts w:eastAsiaTheme="minorEastAsia" w:cs="Times New Roman"/>
      <w:sz w:val="24"/>
      <w:szCs w:val="24"/>
      <w:lang w:val="en-US" w:bidi="en-US"/>
    </w:rPr>
  </w:style>
  <w:style w:type="paragraph" w:styleId="ListParagraph">
    <w:name w:val="List Paragraph"/>
    <w:basedOn w:val="Normal"/>
    <w:uiPriority w:val="34"/>
    <w:qFormat/>
    <w:rsid w:val="00B63027"/>
    <w:pPr>
      <w:ind w:left="720"/>
      <w:contextualSpacing/>
    </w:pPr>
  </w:style>
  <w:style w:type="paragraph" w:styleId="BalloonText">
    <w:name w:val="Balloon Text"/>
    <w:basedOn w:val="Normal"/>
    <w:link w:val="BalloonTextChar"/>
    <w:uiPriority w:val="99"/>
    <w:semiHidden/>
    <w:unhideWhenUsed/>
    <w:rsid w:val="004F1909"/>
    <w:rPr>
      <w:rFonts w:ascii="Tahoma" w:hAnsi="Tahoma" w:cs="Tahoma"/>
      <w:sz w:val="16"/>
      <w:szCs w:val="16"/>
    </w:rPr>
  </w:style>
  <w:style w:type="character" w:customStyle="1" w:styleId="BalloonTextChar">
    <w:name w:val="Balloon Text Char"/>
    <w:basedOn w:val="DefaultParagraphFont"/>
    <w:link w:val="BalloonText"/>
    <w:uiPriority w:val="99"/>
    <w:semiHidden/>
    <w:rsid w:val="004F1909"/>
    <w:rPr>
      <w:rFonts w:ascii="Tahoma" w:eastAsiaTheme="minorEastAsia" w:hAnsi="Tahoma" w:cs="Tahoma"/>
      <w:sz w:val="16"/>
      <w:szCs w:val="16"/>
      <w:lang w:val="en-US" w:bidi="en-US"/>
    </w:rPr>
  </w:style>
  <w:style w:type="paragraph" w:styleId="BodyText3">
    <w:name w:val="Body Text 3"/>
    <w:basedOn w:val="Normal"/>
    <w:link w:val="BodyText3Char"/>
    <w:uiPriority w:val="99"/>
    <w:unhideWhenUsed/>
    <w:rsid w:val="00CB2719"/>
    <w:pPr>
      <w:spacing w:after="120"/>
    </w:pPr>
    <w:rPr>
      <w:sz w:val="16"/>
      <w:szCs w:val="16"/>
    </w:rPr>
  </w:style>
  <w:style w:type="character" w:customStyle="1" w:styleId="BodyText3Char">
    <w:name w:val="Body Text 3 Char"/>
    <w:basedOn w:val="DefaultParagraphFont"/>
    <w:link w:val="BodyText3"/>
    <w:uiPriority w:val="99"/>
    <w:rsid w:val="00CB2719"/>
    <w:rPr>
      <w:rFonts w:eastAsiaTheme="minorEastAsia" w:cs="Times New Roman"/>
      <w:sz w:val="16"/>
      <w:szCs w:val="16"/>
      <w:lang w:val="en-US" w:bidi="en-US"/>
    </w:rPr>
  </w:style>
  <w:style w:type="paragraph" w:styleId="FootnoteText">
    <w:name w:val="footnote text"/>
    <w:basedOn w:val="Normal"/>
    <w:link w:val="FootnoteTextChar"/>
    <w:semiHidden/>
    <w:rsid w:val="00CB2719"/>
    <w:pPr>
      <w:keepLines/>
      <w:spacing w:after="240" w:line="200" w:lineRule="atLeast"/>
      <w:jc w:val="both"/>
    </w:pPr>
    <w:rPr>
      <w:rFonts w:ascii="Garamond" w:eastAsia="Times New Roman" w:hAnsi="Garamond"/>
      <w:sz w:val="18"/>
      <w:szCs w:val="20"/>
      <w:lang w:val="en-GB" w:eastAsia="en-CA" w:bidi="ar-SA"/>
    </w:rPr>
  </w:style>
  <w:style w:type="character" w:customStyle="1" w:styleId="FootnoteTextChar">
    <w:name w:val="Footnote Text Char"/>
    <w:basedOn w:val="DefaultParagraphFont"/>
    <w:link w:val="FootnoteText"/>
    <w:semiHidden/>
    <w:rsid w:val="00CB2719"/>
    <w:rPr>
      <w:rFonts w:ascii="Garamond" w:eastAsia="Times New Roman" w:hAnsi="Garamond" w:cs="Times New Roman"/>
      <w:sz w:val="18"/>
      <w:szCs w:val="20"/>
      <w:lang w:val="en-GB" w:eastAsia="en-CA"/>
    </w:rPr>
  </w:style>
  <w:style w:type="character" w:styleId="FootnoteReference">
    <w:name w:val="footnote reference"/>
    <w:semiHidden/>
    <w:rsid w:val="00CB2719"/>
    <w:rPr>
      <w:vertAlign w:val="superscript"/>
    </w:rPr>
  </w:style>
  <w:style w:type="table" w:styleId="TableGrid">
    <w:name w:val="Table Grid"/>
    <w:basedOn w:val="TableNormal"/>
    <w:uiPriority w:val="59"/>
    <w:rsid w:val="00AC4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4E1F80"/>
    <w:pPr>
      <w:spacing w:after="120" w:line="480" w:lineRule="auto"/>
    </w:pPr>
  </w:style>
  <w:style w:type="character" w:customStyle="1" w:styleId="BodyText2Char">
    <w:name w:val="Body Text 2 Char"/>
    <w:basedOn w:val="DefaultParagraphFont"/>
    <w:link w:val="BodyText2"/>
    <w:uiPriority w:val="99"/>
    <w:rsid w:val="004E1F80"/>
    <w:rPr>
      <w:rFonts w:eastAsiaTheme="minorEastAsia" w:cs="Times New Roman"/>
      <w:sz w:val="24"/>
      <w:szCs w:val="24"/>
      <w:lang w:val="en-US" w:bidi="en-US"/>
    </w:rPr>
  </w:style>
  <w:style w:type="character" w:styleId="Hyperlink">
    <w:name w:val="Hyperlink"/>
    <w:basedOn w:val="DefaultParagraphFont"/>
    <w:unhideWhenUsed/>
    <w:rsid w:val="008D72E4"/>
    <w:rPr>
      <w:color w:val="0000FF"/>
      <w:u w:val="single"/>
    </w:rPr>
  </w:style>
  <w:style w:type="paragraph" w:customStyle="1" w:styleId="Default">
    <w:name w:val="Default"/>
    <w:rsid w:val="0039514A"/>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BodyText"/>
    <w:qFormat/>
    <w:rsid w:val="00A12662"/>
    <w:pPr>
      <w:keepNext/>
      <w:spacing w:before="60" w:after="240" w:line="200" w:lineRule="atLeast"/>
      <w:ind w:left="1920" w:hanging="120"/>
    </w:pPr>
    <w:rPr>
      <w:rFonts w:ascii="Garamond" w:eastAsia="Times New Roman" w:hAnsi="Garamond"/>
      <w:i/>
      <w:spacing w:val="5"/>
      <w:sz w:val="20"/>
      <w:szCs w:val="20"/>
      <w:lang w:val="en-GB" w:eastAsia="en-C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027"/>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B63027"/>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B63027"/>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B63027"/>
    <w:pPr>
      <w:keepNext/>
      <w:numPr>
        <w:ilvl w:val="2"/>
        <w:numId w:val="1"/>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B63027"/>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B63027"/>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B63027"/>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B63027"/>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B63027"/>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B63027"/>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027"/>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B63027"/>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B63027"/>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B63027"/>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B63027"/>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B63027"/>
    <w:rPr>
      <w:rFonts w:eastAsiaTheme="minorEastAsia" w:cstheme="majorBidi"/>
      <w:b/>
      <w:bCs/>
      <w:lang w:val="en-US" w:bidi="en-US"/>
    </w:rPr>
  </w:style>
  <w:style w:type="character" w:customStyle="1" w:styleId="Heading7Char">
    <w:name w:val="Heading 7 Char"/>
    <w:basedOn w:val="DefaultParagraphFont"/>
    <w:link w:val="Heading7"/>
    <w:uiPriority w:val="9"/>
    <w:rsid w:val="00B63027"/>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B63027"/>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B63027"/>
    <w:rPr>
      <w:rFonts w:asciiTheme="majorHAnsi" w:eastAsiaTheme="majorEastAsia" w:hAnsiTheme="majorHAnsi" w:cstheme="majorBidi"/>
      <w:lang w:val="en-US" w:bidi="en-US"/>
    </w:rPr>
  </w:style>
  <w:style w:type="paragraph" w:styleId="BodyText">
    <w:name w:val="Body Text"/>
    <w:basedOn w:val="Normal"/>
    <w:link w:val="BodyTextChar"/>
    <w:rsid w:val="00B63027"/>
    <w:pPr>
      <w:spacing w:before="240" w:after="120"/>
    </w:pPr>
  </w:style>
  <w:style w:type="character" w:customStyle="1" w:styleId="BodyTextChar">
    <w:name w:val="Body Text Char"/>
    <w:basedOn w:val="DefaultParagraphFont"/>
    <w:link w:val="BodyText"/>
    <w:rsid w:val="00B63027"/>
    <w:rPr>
      <w:rFonts w:eastAsiaTheme="minorEastAsia" w:cs="Times New Roman"/>
      <w:sz w:val="24"/>
      <w:szCs w:val="24"/>
      <w:lang w:val="en-US" w:bidi="en-US"/>
    </w:rPr>
  </w:style>
  <w:style w:type="paragraph" w:styleId="ListParagraph">
    <w:name w:val="List Paragraph"/>
    <w:basedOn w:val="Normal"/>
    <w:uiPriority w:val="34"/>
    <w:qFormat/>
    <w:rsid w:val="00B63027"/>
    <w:pPr>
      <w:ind w:left="720"/>
      <w:contextualSpacing/>
    </w:pPr>
  </w:style>
  <w:style w:type="paragraph" w:styleId="BalloonText">
    <w:name w:val="Balloon Text"/>
    <w:basedOn w:val="Normal"/>
    <w:link w:val="BalloonTextChar"/>
    <w:uiPriority w:val="99"/>
    <w:semiHidden/>
    <w:unhideWhenUsed/>
    <w:rsid w:val="004F1909"/>
    <w:rPr>
      <w:rFonts w:ascii="Tahoma" w:hAnsi="Tahoma" w:cs="Tahoma"/>
      <w:sz w:val="16"/>
      <w:szCs w:val="16"/>
    </w:rPr>
  </w:style>
  <w:style w:type="character" w:customStyle="1" w:styleId="BalloonTextChar">
    <w:name w:val="Balloon Text Char"/>
    <w:basedOn w:val="DefaultParagraphFont"/>
    <w:link w:val="BalloonText"/>
    <w:uiPriority w:val="99"/>
    <w:semiHidden/>
    <w:rsid w:val="004F1909"/>
    <w:rPr>
      <w:rFonts w:ascii="Tahoma" w:eastAsiaTheme="minorEastAsia" w:hAnsi="Tahoma" w:cs="Tahoma"/>
      <w:sz w:val="16"/>
      <w:szCs w:val="16"/>
      <w:lang w:val="en-US" w:bidi="en-US"/>
    </w:rPr>
  </w:style>
  <w:style w:type="paragraph" w:styleId="BodyText3">
    <w:name w:val="Body Text 3"/>
    <w:basedOn w:val="Normal"/>
    <w:link w:val="BodyText3Char"/>
    <w:uiPriority w:val="99"/>
    <w:unhideWhenUsed/>
    <w:rsid w:val="00CB2719"/>
    <w:pPr>
      <w:spacing w:after="120"/>
    </w:pPr>
    <w:rPr>
      <w:sz w:val="16"/>
      <w:szCs w:val="16"/>
    </w:rPr>
  </w:style>
  <w:style w:type="character" w:customStyle="1" w:styleId="BodyText3Char">
    <w:name w:val="Body Text 3 Char"/>
    <w:basedOn w:val="DefaultParagraphFont"/>
    <w:link w:val="BodyText3"/>
    <w:uiPriority w:val="99"/>
    <w:rsid w:val="00CB2719"/>
    <w:rPr>
      <w:rFonts w:eastAsiaTheme="minorEastAsia" w:cs="Times New Roman"/>
      <w:sz w:val="16"/>
      <w:szCs w:val="16"/>
      <w:lang w:val="en-US" w:bidi="en-US"/>
    </w:rPr>
  </w:style>
  <w:style w:type="paragraph" w:styleId="FootnoteText">
    <w:name w:val="footnote text"/>
    <w:basedOn w:val="Normal"/>
    <w:link w:val="FootnoteTextChar"/>
    <w:semiHidden/>
    <w:rsid w:val="00CB2719"/>
    <w:pPr>
      <w:keepLines/>
      <w:spacing w:after="240" w:line="200" w:lineRule="atLeast"/>
      <w:jc w:val="both"/>
    </w:pPr>
    <w:rPr>
      <w:rFonts w:ascii="Garamond" w:eastAsia="Times New Roman" w:hAnsi="Garamond"/>
      <w:sz w:val="18"/>
      <w:szCs w:val="20"/>
      <w:lang w:val="en-GB" w:eastAsia="en-CA" w:bidi="ar-SA"/>
    </w:rPr>
  </w:style>
  <w:style w:type="character" w:customStyle="1" w:styleId="FootnoteTextChar">
    <w:name w:val="Footnote Text Char"/>
    <w:basedOn w:val="DefaultParagraphFont"/>
    <w:link w:val="FootnoteText"/>
    <w:semiHidden/>
    <w:rsid w:val="00CB2719"/>
    <w:rPr>
      <w:rFonts w:ascii="Garamond" w:eastAsia="Times New Roman" w:hAnsi="Garamond" w:cs="Times New Roman"/>
      <w:sz w:val="18"/>
      <w:szCs w:val="20"/>
      <w:lang w:val="en-GB" w:eastAsia="en-CA"/>
    </w:rPr>
  </w:style>
  <w:style w:type="character" w:styleId="FootnoteReference">
    <w:name w:val="footnote reference"/>
    <w:semiHidden/>
    <w:rsid w:val="00CB2719"/>
    <w:rPr>
      <w:vertAlign w:val="superscript"/>
    </w:rPr>
  </w:style>
  <w:style w:type="table" w:styleId="TableGrid">
    <w:name w:val="Table Grid"/>
    <w:basedOn w:val="TableNormal"/>
    <w:uiPriority w:val="59"/>
    <w:rsid w:val="00AC4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4E1F80"/>
    <w:pPr>
      <w:spacing w:after="120" w:line="480" w:lineRule="auto"/>
    </w:pPr>
  </w:style>
  <w:style w:type="character" w:customStyle="1" w:styleId="BodyText2Char">
    <w:name w:val="Body Text 2 Char"/>
    <w:basedOn w:val="DefaultParagraphFont"/>
    <w:link w:val="BodyText2"/>
    <w:uiPriority w:val="99"/>
    <w:rsid w:val="004E1F80"/>
    <w:rPr>
      <w:rFonts w:eastAsiaTheme="minorEastAsia" w:cs="Times New Roman"/>
      <w:sz w:val="24"/>
      <w:szCs w:val="24"/>
      <w:lang w:val="en-US" w:bidi="en-US"/>
    </w:rPr>
  </w:style>
  <w:style w:type="character" w:styleId="Hyperlink">
    <w:name w:val="Hyperlink"/>
    <w:basedOn w:val="DefaultParagraphFont"/>
    <w:unhideWhenUsed/>
    <w:rsid w:val="008D72E4"/>
    <w:rPr>
      <w:color w:val="0000FF"/>
      <w:u w:val="single"/>
    </w:rPr>
  </w:style>
  <w:style w:type="paragraph" w:customStyle="1" w:styleId="Default">
    <w:name w:val="Default"/>
    <w:rsid w:val="0039514A"/>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BodyText"/>
    <w:qFormat/>
    <w:rsid w:val="00A12662"/>
    <w:pPr>
      <w:keepNext/>
      <w:spacing w:before="60" w:after="240" w:line="200" w:lineRule="atLeast"/>
      <w:ind w:left="1920" w:hanging="120"/>
    </w:pPr>
    <w:rPr>
      <w:rFonts w:ascii="Garamond" w:eastAsia="Times New Roman" w:hAnsi="Garamond"/>
      <w:i/>
      <w:spacing w:val="5"/>
      <w:sz w:val="20"/>
      <w:szCs w:val="20"/>
      <w:lang w:val="en-GB" w:eastAsia="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9172">
      <w:bodyDiv w:val="1"/>
      <w:marLeft w:val="0"/>
      <w:marRight w:val="0"/>
      <w:marTop w:val="0"/>
      <w:marBottom w:val="0"/>
      <w:divBdr>
        <w:top w:val="none" w:sz="0" w:space="0" w:color="auto"/>
        <w:left w:val="none" w:sz="0" w:space="0" w:color="auto"/>
        <w:bottom w:val="none" w:sz="0" w:space="0" w:color="auto"/>
        <w:right w:val="none" w:sz="0" w:space="0" w:color="auto"/>
      </w:divBdr>
    </w:div>
    <w:div w:id="200023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or.gov.bc.ca/ftp/HTH/external/!publish/web/timber-tenures/BSP/Memo-july-3-2014.pdf" TargetMode="External"/><Relationship Id="rId4" Type="http://schemas.openxmlformats.org/officeDocument/2006/relationships/settings" Target="setting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'POVW-Summ_Bulkley'!$I$25</c:f>
              <c:strCache>
                <c:ptCount val="1"/>
                <c:pt idx="0">
                  <c:v>Bulkley</c:v>
                </c:pt>
              </c:strCache>
            </c:strRef>
          </c:tx>
          <c:invertIfNegative val="0"/>
          <c:val>
            <c:numRef>
              <c:f>'POVW-Summ_Bulkley'!$J$25:$M$25</c:f>
              <c:numCache>
                <c:formatCode>0</c:formatCode>
                <c:ptCount val="4"/>
                <c:pt idx="0">
                  <c:v>127.20262528249471</c:v>
                </c:pt>
                <c:pt idx="1">
                  <c:v>604.40527073786632</c:v>
                </c:pt>
                <c:pt idx="2">
                  <c:v>2014.3744800360664</c:v>
                </c:pt>
                <c:pt idx="3">
                  <c:v>2543.8701621683099</c:v>
                </c:pt>
              </c:numCache>
            </c:numRef>
          </c:val>
        </c:ser>
        <c:ser>
          <c:idx val="2"/>
          <c:order val="1"/>
          <c:tx>
            <c:strRef>
              <c:f>'POVW-Summ_Bulkley'!$I$26</c:f>
              <c:strCache>
                <c:ptCount val="1"/>
                <c:pt idx="0">
                  <c:v>Kispiox</c:v>
                </c:pt>
              </c:strCache>
            </c:strRef>
          </c:tx>
          <c:invertIfNegative val="0"/>
          <c:val>
            <c:numRef>
              <c:f>'POVW-Summ_Bulkley'!$J$26:$M$26</c:f>
              <c:numCache>
                <c:formatCode>0</c:formatCode>
                <c:ptCount val="4"/>
                <c:pt idx="0">
                  <c:v>245.4268015243872</c:v>
                </c:pt>
                <c:pt idx="1">
                  <c:v>711.09593391841224</c:v>
                </c:pt>
                <c:pt idx="2">
                  <c:v>1736.3715835911109</c:v>
                </c:pt>
                <c:pt idx="3">
                  <c:v>2585.4614982296848</c:v>
                </c:pt>
              </c:numCache>
            </c:numRef>
          </c:val>
        </c:ser>
        <c:ser>
          <c:idx val="3"/>
          <c:order val="2"/>
          <c:tx>
            <c:strRef>
              <c:f>'POVW-Summ_Bulkley'!$I$27</c:f>
              <c:strCache>
                <c:ptCount val="1"/>
                <c:pt idx="0">
                  <c:v>Cassiar</c:v>
                </c:pt>
              </c:strCache>
            </c:strRef>
          </c:tx>
          <c:invertIfNegative val="0"/>
          <c:val>
            <c:numRef>
              <c:f>'POVW-Summ_Bulkley'!$J$27:$M$27</c:f>
              <c:numCache>
                <c:formatCode>0</c:formatCode>
                <c:ptCount val="4"/>
                <c:pt idx="0">
                  <c:v>0.4</c:v>
                </c:pt>
                <c:pt idx="1">
                  <c:v>471.96565656219559</c:v>
                </c:pt>
                <c:pt idx="2">
                  <c:v>1557.0252898375502</c:v>
                </c:pt>
                <c:pt idx="3">
                  <c:v>1986.9661194500839</c:v>
                </c:pt>
              </c:numCache>
            </c:numRef>
          </c:val>
        </c:ser>
        <c:dLbls>
          <c:showLegendKey val="0"/>
          <c:showVal val="0"/>
          <c:showCatName val="0"/>
          <c:showSerName val="0"/>
          <c:showPercent val="0"/>
          <c:showBubbleSize val="0"/>
        </c:dLbls>
        <c:gapWidth val="75"/>
        <c:overlap val="-25"/>
        <c:axId val="43565440"/>
        <c:axId val="43568512"/>
      </c:barChart>
      <c:catAx>
        <c:axId val="43565440"/>
        <c:scaling>
          <c:orientation val="minMax"/>
        </c:scaling>
        <c:delete val="0"/>
        <c:axPos val="b"/>
        <c:majorTickMark val="none"/>
        <c:minorTickMark val="none"/>
        <c:tickLblPos val="none"/>
        <c:crossAx val="43568512"/>
        <c:crosses val="autoZero"/>
        <c:auto val="1"/>
        <c:lblAlgn val="ctr"/>
        <c:lblOffset val="100"/>
        <c:noMultiLvlLbl val="0"/>
      </c:catAx>
      <c:valAx>
        <c:axId val="43568512"/>
        <c:scaling>
          <c:orientation val="minMax"/>
        </c:scaling>
        <c:delete val="0"/>
        <c:axPos val="l"/>
        <c:majorGridlines/>
        <c:title>
          <c:tx>
            <c:rich>
              <a:bodyPr rot="-5400000" vert="horz"/>
              <a:lstStyle/>
              <a:p>
                <a:pPr>
                  <a:defRPr/>
                </a:pPr>
                <a:r>
                  <a:rPr lang="en-US"/>
                  <a:t>Affected/ Killed Area, Ha</a:t>
                </a:r>
              </a:p>
            </c:rich>
          </c:tx>
          <c:layout/>
          <c:overlay val="0"/>
        </c:title>
        <c:numFmt formatCode="0" sourceLinked="1"/>
        <c:majorTickMark val="none"/>
        <c:minorTickMark val="none"/>
        <c:tickLblPos val="nextTo"/>
        <c:spPr>
          <a:ln w="9525">
            <a:noFill/>
          </a:ln>
        </c:spPr>
        <c:crossAx val="43565440"/>
        <c:crosses val="autoZero"/>
        <c:crossBetween val="between"/>
      </c:valAx>
    </c:plotArea>
    <c:legend>
      <c:legendPos val="b"/>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19</TotalTime>
  <Pages>7</Pages>
  <Words>2480</Words>
  <Characters>14138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16585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Jennifer FLNR:EX</dc:creator>
  <cp:lastModifiedBy>Buhr, Glen FLNR:EX</cp:lastModifiedBy>
  <cp:revision>5</cp:revision>
  <dcterms:created xsi:type="dcterms:W3CDTF">2015-05-19T15:54:00Z</dcterms:created>
  <dcterms:modified xsi:type="dcterms:W3CDTF">2016-01-29T21:40:00Z</dcterms:modified>
</cp:coreProperties>
</file>