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5D4" w:rsidRPr="00C87C3E" w:rsidRDefault="00081002" w:rsidP="00C87C3E">
      <w:pPr>
        <w:widowControl/>
        <w:spacing w:before="120"/>
        <w:jc w:val="center"/>
        <w:rPr>
          <w:rFonts w:ascii="Arial" w:hAnsi="Arial" w:cs="Arial"/>
          <w:b/>
          <w:sz w:val="32"/>
          <w:szCs w:val="32"/>
        </w:rPr>
      </w:pPr>
      <w:r w:rsidRPr="00C87C3E">
        <w:rPr>
          <w:rFonts w:ascii="Arial" w:hAnsi="Arial" w:cs="Arial"/>
          <w:b/>
          <w:sz w:val="32"/>
          <w:szCs w:val="32"/>
        </w:rPr>
        <w:t>Ministry of Forests</w:t>
      </w:r>
      <w:r w:rsidR="003315D4" w:rsidRPr="00C87C3E">
        <w:rPr>
          <w:rFonts w:ascii="Arial" w:hAnsi="Arial" w:cs="Arial"/>
          <w:b/>
          <w:sz w:val="32"/>
          <w:szCs w:val="32"/>
        </w:rPr>
        <w:t xml:space="preserve"> &amp; Range</w:t>
      </w:r>
    </w:p>
    <w:p w:rsidR="00081002" w:rsidRPr="00C87C3E" w:rsidRDefault="008C0649">
      <w:pPr>
        <w:widowControl/>
        <w:jc w:val="center"/>
        <w:rPr>
          <w:rFonts w:ascii="Arial" w:hAnsi="Arial" w:cs="Arial"/>
          <w:sz w:val="32"/>
          <w:szCs w:val="32"/>
        </w:rPr>
      </w:pPr>
      <w:r>
        <w:rPr>
          <w:rFonts w:ascii="Arial" w:hAnsi="Arial" w:cs="Arial"/>
          <w:b/>
          <w:sz w:val="32"/>
          <w:szCs w:val="32"/>
        </w:rPr>
        <w:t xml:space="preserve">LBIS Funding </w:t>
      </w:r>
      <w:r w:rsidR="00D00FD2">
        <w:rPr>
          <w:rFonts w:ascii="Arial" w:hAnsi="Arial" w:cs="Arial"/>
          <w:b/>
          <w:sz w:val="32"/>
          <w:szCs w:val="32"/>
        </w:rPr>
        <w:t>Request</w:t>
      </w:r>
      <w:r w:rsidR="00081002" w:rsidRPr="00C87C3E">
        <w:rPr>
          <w:rFonts w:ascii="Arial" w:hAnsi="Arial" w:cs="Arial"/>
          <w:b/>
          <w:sz w:val="32"/>
          <w:szCs w:val="32"/>
        </w:rPr>
        <w:t xml:space="preserve"> Form</w:t>
      </w:r>
    </w:p>
    <w:p w:rsidR="00630124" w:rsidRDefault="00630124">
      <w:pPr>
        <w:widowControl/>
      </w:pPr>
    </w:p>
    <w:p w:rsidR="00630124" w:rsidRDefault="00630124">
      <w:pPr>
        <w:widowControl/>
      </w:pPr>
    </w:p>
    <w:tbl>
      <w:tblPr>
        <w:tblW w:w="10008" w:type="dxa"/>
        <w:tblInd w:w="-25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0008"/>
      </w:tblGrid>
      <w:tr w:rsidR="009661C2" w:rsidTr="009661C2">
        <w:trPr>
          <w:cantSplit/>
        </w:trPr>
        <w:tc>
          <w:tcPr>
            <w:tcW w:w="10008" w:type="dxa"/>
            <w:tcBorders>
              <w:top w:val="single" w:sz="12" w:space="0" w:color="auto"/>
              <w:bottom w:val="single" w:sz="6" w:space="0" w:color="auto"/>
            </w:tcBorders>
          </w:tcPr>
          <w:p w:rsidR="009661C2" w:rsidRDefault="009661C2">
            <w:pPr>
              <w:widowControl/>
              <w:autoSpaceDE w:val="0"/>
              <w:autoSpaceDN w:val="0"/>
              <w:adjustRightInd w:val="0"/>
              <w:rPr>
                <w:rFonts w:ascii="Arial" w:hAnsi="Arial" w:cs="Arial"/>
                <w:b/>
              </w:rPr>
            </w:pPr>
            <w:r>
              <w:rPr>
                <w:rFonts w:ascii="Arial" w:hAnsi="Arial" w:cs="Arial"/>
                <w:b/>
                <w:highlight w:val="lightGray"/>
              </w:rPr>
              <w:t>Investment Category</w:t>
            </w:r>
            <w:r w:rsidRPr="001F78AC">
              <w:rPr>
                <w:rFonts w:ascii="Arial" w:hAnsi="Arial" w:cs="Arial"/>
                <w:b/>
                <w:highlight w:val="lightGray"/>
              </w:rPr>
              <w:t>:</w:t>
            </w:r>
            <w:r>
              <w:rPr>
                <w:rFonts w:ascii="Arial" w:hAnsi="Arial" w:cs="Arial"/>
                <w:b/>
              </w:rPr>
              <w:t xml:space="preserve"> </w:t>
            </w:r>
            <w:r w:rsidR="000A3342">
              <w:rPr>
                <w:rFonts w:ascii="Arial" w:hAnsi="Arial" w:cs="Arial"/>
                <w:b/>
              </w:rPr>
              <w:t xml:space="preserve"> Inventory - Visuals</w:t>
            </w:r>
          </w:p>
        </w:tc>
      </w:tr>
      <w:tr w:rsidR="009661C2" w:rsidTr="009661C2">
        <w:trPr>
          <w:cantSplit/>
        </w:trPr>
        <w:tc>
          <w:tcPr>
            <w:tcW w:w="10008" w:type="dxa"/>
            <w:tcBorders>
              <w:top w:val="single" w:sz="6" w:space="0" w:color="auto"/>
            </w:tcBorders>
          </w:tcPr>
          <w:p w:rsidR="009661C2" w:rsidRDefault="009661C2">
            <w:pPr>
              <w:widowControl/>
              <w:autoSpaceDE w:val="0"/>
              <w:autoSpaceDN w:val="0"/>
              <w:adjustRightInd w:val="0"/>
              <w:rPr>
                <w:rFonts w:ascii="Arial" w:hAnsi="Arial" w:cs="Arial"/>
                <w:b/>
              </w:rPr>
            </w:pPr>
            <w:r>
              <w:rPr>
                <w:rFonts w:ascii="Arial" w:hAnsi="Arial" w:cs="Arial"/>
                <w:b/>
                <w:highlight w:val="lightGray"/>
              </w:rPr>
              <w:t>Investment Category Contact</w:t>
            </w:r>
            <w:r w:rsidRPr="001F78AC">
              <w:rPr>
                <w:rFonts w:ascii="Arial" w:hAnsi="Arial" w:cs="Arial"/>
                <w:b/>
                <w:highlight w:val="lightGray"/>
              </w:rPr>
              <w:t>:</w:t>
            </w:r>
            <w:r w:rsidR="000A3342">
              <w:rPr>
                <w:rFonts w:ascii="Arial" w:hAnsi="Arial" w:cs="Arial"/>
                <w:b/>
              </w:rPr>
              <w:t xml:space="preserve"> Jacques Marc</w:t>
            </w:r>
          </w:p>
        </w:tc>
      </w:tr>
      <w:tr w:rsidR="001F78AC" w:rsidTr="00457487">
        <w:tblPrEx>
          <w:tblBorders>
            <w:insideH w:val="none" w:sz="0" w:space="0" w:color="auto"/>
            <w:insideV w:val="none" w:sz="0" w:space="0" w:color="auto"/>
          </w:tblBorders>
        </w:tblPrEx>
        <w:trPr>
          <w:cantSplit/>
        </w:trPr>
        <w:tc>
          <w:tcPr>
            <w:tcW w:w="10008" w:type="dxa"/>
            <w:tcBorders>
              <w:bottom w:val="single" w:sz="4" w:space="0" w:color="auto"/>
            </w:tcBorders>
          </w:tcPr>
          <w:p w:rsidR="001F78AC" w:rsidRDefault="009661C2" w:rsidP="009661C2">
            <w:pPr>
              <w:autoSpaceDE w:val="0"/>
              <w:autoSpaceDN w:val="0"/>
              <w:adjustRightInd w:val="0"/>
              <w:rPr>
                <w:rFonts w:ascii="Arial" w:hAnsi="Arial" w:cs="Arial"/>
                <w:b/>
              </w:rPr>
            </w:pPr>
            <w:r>
              <w:rPr>
                <w:rFonts w:ascii="Arial" w:hAnsi="Arial" w:cs="Arial"/>
                <w:b/>
                <w:highlight w:val="lightGray"/>
              </w:rPr>
              <w:t xml:space="preserve">Amount Requested: </w:t>
            </w:r>
            <w:r w:rsidR="009B42F1">
              <w:rPr>
                <w:rFonts w:ascii="Arial" w:hAnsi="Arial" w:cs="Arial"/>
                <w:b/>
              </w:rPr>
              <w:t>0.150 M</w:t>
            </w:r>
          </w:p>
        </w:tc>
      </w:tr>
      <w:tr w:rsidR="009661C2" w:rsidTr="00457487">
        <w:tblPrEx>
          <w:tblBorders>
            <w:insideH w:val="none" w:sz="0" w:space="0" w:color="auto"/>
            <w:insideV w:val="none" w:sz="0" w:space="0" w:color="auto"/>
          </w:tblBorders>
        </w:tblPrEx>
        <w:trPr>
          <w:cantSplit/>
        </w:trPr>
        <w:tc>
          <w:tcPr>
            <w:tcW w:w="10008" w:type="dxa"/>
            <w:tcBorders>
              <w:bottom w:val="single" w:sz="4" w:space="0" w:color="auto"/>
            </w:tcBorders>
          </w:tcPr>
          <w:p w:rsidR="009661C2" w:rsidRDefault="009661C2" w:rsidP="009661C2">
            <w:pPr>
              <w:autoSpaceDE w:val="0"/>
              <w:autoSpaceDN w:val="0"/>
              <w:adjustRightInd w:val="0"/>
              <w:rPr>
                <w:rFonts w:ascii="Arial" w:hAnsi="Arial" w:cs="Arial"/>
                <w:b/>
                <w:highlight w:val="lightGray"/>
              </w:rPr>
            </w:pPr>
            <w:r>
              <w:rPr>
                <w:rFonts w:ascii="Arial" w:hAnsi="Arial" w:cs="Arial"/>
                <w:b/>
                <w:highlight w:val="lightGray"/>
              </w:rPr>
              <w:t>Request Rationale (no more than 1 page):</w:t>
            </w:r>
          </w:p>
        </w:tc>
      </w:tr>
      <w:tr w:rsidR="00366263" w:rsidTr="00457487">
        <w:tblPrEx>
          <w:tblBorders>
            <w:insideH w:val="none" w:sz="0" w:space="0" w:color="auto"/>
            <w:insideV w:val="none" w:sz="0" w:space="0" w:color="auto"/>
          </w:tblBorders>
        </w:tblPrEx>
        <w:trPr>
          <w:cantSplit/>
        </w:trPr>
        <w:tc>
          <w:tcPr>
            <w:tcW w:w="10008" w:type="dxa"/>
            <w:tcBorders>
              <w:bottom w:val="single" w:sz="4" w:space="0" w:color="auto"/>
            </w:tcBorders>
          </w:tcPr>
          <w:p w:rsidR="00366263" w:rsidRDefault="00366263" w:rsidP="00366263">
            <w:pPr>
              <w:widowControl/>
              <w:spacing w:after="120"/>
              <w:rPr>
                <w:rFonts w:ascii="Arial" w:hAnsi="Arial" w:cs="Arial"/>
                <w:b/>
                <w:u w:val="single"/>
              </w:rPr>
            </w:pPr>
            <w:r>
              <w:rPr>
                <w:rFonts w:ascii="Arial" w:hAnsi="Arial" w:cs="Arial"/>
                <w:b/>
                <w:u w:val="single"/>
              </w:rPr>
              <w:t>Business rationale (include benefit/cost impacts):</w:t>
            </w:r>
          </w:p>
          <w:p w:rsidR="000A3342" w:rsidRPr="00AF082C" w:rsidRDefault="000A3342" w:rsidP="000A3342">
            <w:pPr>
              <w:rPr>
                <w:b/>
                <w:sz w:val="24"/>
                <w:szCs w:val="24"/>
              </w:rPr>
            </w:pPr>
            <w:r w:rsidRPr="00AF082C">
              <w:rPr>
                <w:b/>
                <w:sz w:val="24"/>
                <w:szCs w:val="24"/>
              </w:rPr>
              <w:t>Rationale</w:t>
            </w:r>
          </w:p>
          <w:p w:rsidR="000A3342" w:rsidRPr="00EE33AA" w:rsidRDefault="000A3342" w:rsidP="000A3342">
            <w:pPr>
              <w:rPr>
                <w:sz w:val="24"/>
                <w:szCs w:val="24"/>
              </w:rPr>
            </w:pPr>
            <w:r w:rsidRPr="00EE33AA">
              <w:rPr>
                <w:sz w:val="24"/>
                <w:szCs w:val="24"/>
              </w:rPr>
              <w:t xml:space="preserve">One of the objectives of the Land Based Investment Strategy is to provide guidance to ensure government goals and priorities are achieved. One of the investment categories that </w:t>
            </w:r>
            <w:r>
              <w:rPr>
                <w:sz w:val="24"/>
                <w:szCs w:val="24"/>
              </w:rPr>
              <w:t xml:space="preserve">has been </w:t>
            </w:r>
            <w:r w:rsidRPr="00EE33AA">
              <w:rPr>
                <w:sz w:val="24"/>
                <w:szCs w:val="24"/>
              </w:rPr>
              <w:t xml:space="preserve">identified and supported is </w:t>
            </w:r>
            <w:r>
              <w:rPr>
                <w:sz w:val="24"/>
                <w:szCs w:val="24"/>
              </w:rPr>
              <w:t xml:space="preserve">the </w:t>
            </w:r>
            <w:r w:rsidRPr="00EE33AA">
              <w:rPr>
                <w:sz w:val="24"/>
                <w:szCs w:val="24"/>
              </w:rPr>
              <w:t>forest inventory activi</w:t>
            </w:r>
            <w:r>
              <w:rPr>
                <w:sz w:val="24"/>
                <w:szCs w:val="24"/>
              </w:rPr>
              <w:t xml:space="preserve">ty and the objective is to </w:t>
            </w:r>
            <w:r w:rsidRPr="00EE33AA">
              <w:rPr>
                <w:sz w:val="24"/>
                <w:szCs w:val="24"/>
              </w:rPr>
              <w:t>mitigat</w:t>
            </w:r>
            <w:r>
              <w:rPr>
                <w:sz w:val="24"/>
                <w:szCs w:val="24"/>
              </w:rPr>
              <w:t>e the reduction in mid-</w:t>
            </w:r>
            <w:r w:rsidRPr="00EE33AA">
              <w:rPr>
                <w:sz w:val="24"/>
                <w:szCs w:val="24"/>
              </w:rPr>
              <w:t>term timber supply. Visual Landscape Inventories are carried out and maintained by government</w:t>
            </w:r>
            <w:r>
              <w:rPr>
                <w:sz w:val="24"/>
                <w:szCs w:val="24"/>
              </w:rPr>
              <w:t xml:space="preserve"> and licensees</w:t>
            </w:r>
            <w:r w:rsidRPr="00EE33AA">
              <w:rPr>
                <w:sz w:val="24"/>
                <w:szCs w:val="24"/>
              </w:rPr>
              <w:t xml:space="preserve"> to record </w:t>
            </w:r>
            <w:r>
              <w:rPr>
                <w:sz w:val="24"/>
                <w:szCs w:val="24"/>
              </w:rPr>
              <w:t xml:space="preserve">those </w:t>
            </w:r>
            <w:r w:rsidRPr="00EE33AA">
              <w:rPr>
                <w:sz w:val="24"/>
                <w:szCs w:val="24"/>
              </w:rPr>
              <w:t xml:space="preserve">areas in the province </w:t>
            </w:r>
            <w:r>
              <w:rPr>
                <w:sz w:val="24"/>
                <w:szCs w:val="24"/>
              </w:rPr>
              <w:t xml:space="preserve">that </w:t>
            </w:r>
            <w:r w:rsidRPr="00EE33AA">
              <w:rPr>
                <w:sz w:val="24"/>
                <w:szCs w:val="24"/>
              </w:rPr>
              <w:t xml:space="preserve">are visually sensitive, and are used to house Visual Quality Objectives. </w:t>
            </w:r>
            <w:r>
              <w:rPr>
                <w:sz w:val="24"/>
                <w:szCs w:val="24"/>
              </w:rPr>
              <w:t xml:space="preserve">More restrictive VQOs can impact timber supply. </w:t>
            </w:r>
            <w:r w:rsidRPr="00EE33AA">
              <w:rPr>
                <w:sz w:val="24"/>
                <w:szCs w:val="24"/>
              </w:rPr>
              <w:t xml:space="preserve">Work completed under </w:t>
            </w:r>
            <w:r>
              <w:rPr>
                <w:sz w:val="24"/>
                <w:szCs w:val="24"/>
              </w:rPr>
              <w:t xml:space="preserve">FREP </w:t>
            </w:r>
            <w:r w:rsidRPr="00EE33AA">
              <w:rPr>
                <w:sz w:val="24"/>
                <w:szCs w:val="24"/>
              </w:rPr>
              <w:t xml:space="preserve">has identified </w:t>
            </w:r>
            <w:r>
              <w:rPr>
                <w:sz w:val="24"/>
                <w:szCs w:val="24"/>
              </w:rPr>
              <w:t xml:space="preserve">some issues with the </w:t>
            </w:r>
            <w:r w:rsidRPr="00EE33AA">
              <w:rPr>
                <w:sz w:val="24"/>
                <w:szCs w:val="24"/>
              </w:rPr>
              <w:t>VLI mapping in many of the Central Interior forest districts affected by MPB. Many visual polygons include 200-300 meter buffers around lakes, in situations where a 50 meter buffer would be more than adequate</w:t>
            </w:r>
            <w:r>
              <w:rPr>
                <w:sz w:val="24"/>
                <w:szCs w:val="24"/>
              </w:rPr>
              <w:t xml:space="preserve"> to manage for visuals</w:t>
            </w:r>
            <w:r w:rsidRPr="00EE33AA">
              <w:rPr>
                <w:sz w:val="24"/>
                <w:szCs w:val="24"/>
              </w:rPr>
              <w:t>. Re</w:t>
            </w:r>
            <w:r>
              <w:rPr>
                <w:sz w:val="24"/>
                <w:szCs w:val="24"/>
              </w:rPr>
              <w:t>-</w:t>
            </w:r>
            <w:r w:rsidRPr="00EE33AA">
              <w:rPr>
                <w:sz w:val="24"/>
                <w:szCs w:val="24"/>
              </w:rPr>
              <w:t>inventorying these areas to tighten up line work could have the effect of reducing the amount of land</w:t>
            </w:r>
            <w:r>
              <w:rPr>
                <w:sz w:val="24"/>
                <w:szCs w:val="24"/>
              </w:rPr>
              <w:t xml:space="preserve"> </w:t>
            </w:r>
            <w:r w:rsidRPr="00EE33AA">
              <w:rPr>
                <w:sz w:val="24"/>
                <w:szCs w:val="24"/>
              </w:rPr>
              <w:t xml:space="preserve">base under VQOs. </w:t>
            </w:r>
            <w:r>
              <w:rPr>
                <w:sz w:val="24"/>
                <w:szCs w:val="24"/>
              </w:rPr>
              <w:t xml:space="preserve">A reduction in </w:t>
            </w:r>
            <w:r w:rsidRPr="00EE33AA">
              <w:rPr>
                <w:sz w:val="24"/>
                <w:szCs w:val="24"/>
              </w:rPr>
              <w:t>land</w:t>
            </w:r>
            <w:r>
              <w:rPr>
                <w:sz w:val="24"/>
                <w:szCs w:val="24"/>
              </w:rPr>
              <w:t xml:space="preserve"> </w:t>
            </w:r>
            <w:r w:rsidRPr="00EE33AA">
              <w:rPr>
                <w:sz w:val="24"/>
                <w:szCs w:val="24"/>
              </w:rPr>
              <w:t xml:space="preserve">base subject to VQOs </w:t>
            </w:r>
            <w:r>
              <w:rPr>
                <w:sz w:val="24"/>
                <w:szCs w:val="24"/>
              </w:rPr>
              <w:t>w</w:t>
            </w:r>
            <w:r w:rsidRPr="00EE33AA">
              <w:rPr>
                <w:sz w:val="24"/>
                <w:szCs w:val="24"/>
              </w:rPr>
              <w:t xml:space="preserve">ould </w:t>
            </w:r>
            <w:r>
              <w:rPr>
                <w:sz w:val="24"/>
                <w:szCs w:val="24"/>
              </w:rPr>
              <w:t xml:space="preserve">potentially </w:t>
            </w:r>
            <w:r w:rsidRPr="00EE33AA">
              <w:rPr>
                <w:sz w:val="24"/>
                <w:szCs w:val="24"/>
              </w:rPr>
              <w:t xml:space="preserve">make more wood available for mid-term timber supply. </w:t>
            </w:r>
          </w:p>
          <w:p w:rsidR="000A3342" w:rsidRPr="00EE33AA" w:rsidRDefault="000A3342" w:rsidP="000A3342">
            <w:pPr>
              <w:rPr>
                <w:sz w:val="24"/>
                <w:szCs w:val="24"/>
              </w:rPr>
            </w:pPr>
            <w:r w:rsidRPr="00EE33AA">
              <w:rPr>
                <w:sz w:val="24"/>
                <w:szCs w:val="24"/>
              </w:rPr>
              <w:t>I</w:t>
            </w:r>
            <w:r w:rsidRPr="00EE33AA">
              <w:rPr>
                <w:color w:val="000000"/>
                <w:sz w:val="24"/>
                <w:szCs w:val="24"/>
              </w:rPr>
              <w:t>n the Northern Interior, there are a number of broad visual landscape inventory units that could benefit from detailed inventory in the field.  Broad inventories tend to over-inflate the number of hectares under VQOs</w:t>
            </w:r>
            <w:r>
              <w:rPr>
                <w:color w:val="000000"/>
                <w:sz w:val="24"/>
                <w:szCs w:val="24"/>
              </w:rPr>
              <w:t xml:space="preserve">. Completing a detailed inventory on these areas </w:t>
            </w:r>
            <w:r w:rsidRPr="00EE33AA">
              <w:rPr>
                <w:color w:val="000000"/>
                <w:sz w:val="24"/>
                <w:szCs w:val="24"/>
              </w:rPr>
              <w:t xml:space="preserve">could potentially decrease the number of hectares under VQO constraints which in turn could have an upward effect on timber supply. </w:t>
            </w:r>
          </w:p>
          <w:p w:rsidR="000A3342" w:rsidRPr="00EE33AA" w:rsidRDefault="000A3342" w:rsidP="000A3342">
            <w:pPr>
              <w:rPr>
                <w:sz w:val="24"/>
                <w:szCs w:val="24"/>
              </w:rPr>
            </w:pPr>
            <w:r w:rsidRPr="00EE33AA">
              <w:rPr>
                <w:sz w:val="24"/>
                <w:szCs w:val="24"/>
              </w:rPr>
              <w:t>As out lined in the Land base Investment strategy re-inventory work w</w:t>
            </w:r>
            <w:r>
              <w:rPr>
                <w:sz w:val="24"/>
                <w:szCs w:val="24"/>
              </w:rPr>
              <w:t>ould focus</w:t>
            </w:r>
            <w:r w:rsidRPr="00EE33AA">
              <w:rPr>
                <w:sz w:val="24"/>
                <w:szCs w:val="24"/>
              </w:rPr>
              <w:t xml:space="preserve"> on the priority units for mid-term timber supply</w:t>
            </w:r>
            <w:r>
              <w:rPr>
                <w:sz w:val="24"/>
                <w:szCs w:val="24"/>
              </w:rPr>
              <w:t>.</w:t>
            </w:r>
          </w:p>
          <w:p w:rsidR="000A3342" w:rsidRPr="000A3342" w:rsidRDefault="000A3342" w:rsidP="000A3342">
            <w:pPr>
              <w:rPr>
                <w:b/>
                <w:sz w:val="24"/>
              </w:rPr>
            </w:pPr>
            <w:r w:rsidRPr="000A3342">
              <w:rPr>
                <w:b/>
                <w:sz w:val="24"/>
              </w:rPr>
              <w:t>Request to add a second Visual activity to LBIS</w:t>
            </w:r>
          </w:p>
          <w:p w:rsidR="000A3342" w:rsidRPr="000A3342" w:rsidRDefault="000A3342" w:rsidP="000A3342">
            <w:pPr>
              <w:rPr>
                <w:sz w:val="24"/>
              </w:rPr>
            </w:pPr>
            <w:r w:rsidRPr="000A3342">
              <w:rPr>
                <w:sz w:val="24"/>
              </w:rPr>
              <w:t xml:space="preserve">Under FIA Integrated Visual Design Plans (IVDP’s) </w:t>
            </w:r>
            <w:proofErr w:type="gramStart"/>
            <w:r w:rsidRPr="000A3342">
              <w:rPr>
                <w:sz w:val="24"/>
              </w:rPr>
              <w:t>were an eligible activity</w:t>
            </w:r>
            <w:proofErr w:type="gramEnd"/>
            <w:r w:rsidRPr="000A3342">
              <w:rPr>
                <w:sz w:val="24"/>
              </w:rPr>
              <w:t xml:space="preserve">.  LBIS does not currently recognize IVD’s. The visual program would like to propose that Integrated Visual Design plans be incorporated into LBIS. The intent of an Integrated Visual Design Plan is to provide long-term direction for the development of the timber resources for an area, consistent with higher-level plan direction and respectful of other resource values.  Integrated Visual Design (IVD) employs a process that considers all resource values simultaneously in an integrated fashion, while </w:t>
            </w:r>
            <w:proofErr w:type="spellStart"/>
            <w:r w:rsidRPr="000A3342">
              <w:rPr>
                <w:sz w:val="24"/>
              </w:rPr>
              <w:t>optimising</w:t>
            </w:r>
            <w:proofErr w:type="spellEnd"/>
            <w:r w:rsidRPr="000A3342">
              <w:rPr>
                <w:sz w:val="24"/>
              </w:rPr>
              <w:t xml:space="preserve"> harvest opportunities in visually sensitive areas. The optimization process does not increase mid-term timber supply but can make more wood available from specific units by increasing the size of openings on the landscape. This is consistent with government’s goal of making more wood available to forest licensees. </w:t>
            </w:r>
          </w:p>
          <w:p w:rsidR="000A3342" w:rsidRPr="000A3342" w:rsidRDefault="000A3342" w:rsidP="000A3342">
            <w:pPr>
              <w:rPr>
                <w:sz w:val="24"/>
              </w:rPr>
            </w:pPr>
            <w:r w:rsidRPr="000A3342">
              <w:rPr>
                <w:sz w:val="24"/>
              </w:rPr>
              <w:t>We are not seeking additional funding for this request. Just the option to use some of the funding for an activity other than inventory.</w:t>
            </w:r>
          </w:p>
          <w:p w:rsidR="00366263" w:rsidRDefault="00366263" w:rsidP="009661C2">
            <w:pPr>
              <w:autoSpaceDE w:val="0"/>
              <w:autoSpaceDN w:val="0"/>
              <w:adjustRightInd w:val="0"/>
              <w:rPr>
                <w:rFonts w:ascii="Arial" w:hAnsi="Arial" w:cs="Arial"/>
                <w:b/>
                <w:highlight w:val="lightGray"/>
              </w:rPr>
            </w:pPr>
          </w:p>
        </w:tc>
      </w:tr>
    </w:tbl>
    <w:p w:rsidR="00366263" w:rsidRDefault="00366263">
      <w:r>
        <w:br w:type="page"/>
      </w:r>
    </w:p>
    <w:tbl>
      <w:tblPr>
        <w:tblW w:w="10008" w:type="dxa"/>
        <w:tblInd w:w="-252" w:type="dxa"/>
        <w:tblBorders>
          <w:top w:val="single" w:sz="12" w:space="0" w:color="auto"/>
          <w:left w:val="single" w:sz="12" w:space="0" w:color="auto"/>
          <w:bottom w:val="single" w:sz="12" w:space="0" w:color="auto"/>
          <w:right w:val="single" w:sz="12" w:space="0" w:color="auto"/>
        </w:tblBorders>
        <w:tblLayout w:type="fixed"/>
        <w:tblLook w:val="0000"/>
      </w:tblPr>
      <w:tblGrid>
        <w:gridCol w:w="10008"/>
      </w:tblGrid>
      <w:tr w:rsidR="009661C2" w:rsidTr="00457487">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rPr>
            </w:pPr>
            <w:r>
              <w:rPr>
                <w:rFonts w:ascii="Arial" w:hAnsi="Arial" w:cs="Arial"/>
                <w:b/>
                <w:highlight w:val="lightGray"/>
              </w:rPr>
              <w:lastRenderedPageBreak/>
              <w:t>Amount Allocated (to be filled out by FPIB):</w:t>
            </w:r>
          </w:p>
        </w:tc>
      </w:tr>
      <w:tr w:rsidR="009661C2" w:rsidTr="00457487">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highlight w:val="lightGray"/>
              </w:rPr>
            </w:pPr>
            <w:r>
              <w:rPr>
                <w:rFonts w:ascii="Arial" w:hAnsi="Arial" w:cs="Arial"/>
                <w:b/>
                <w:highlight w:val="lightGray"/>
              </w:rPr>
              <w:t>Allocation Rationale (to be filled out by FPIB):</w:t>
            </w:r>
          </w:p>
        </w:tc>
      </w:tr>
      <w:tr w:rsidR="009661C2" w:rsidTr="00457487">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tc>
      </w:tr>
    </w:tbl>
    <w:p w:rsidR="00081002" w:rsidRDefault="00081002"/>
    <w:p w:rsidR="00F63CCE" w:rsidRPr="00B77BBD" w:rsidRDefault="00F63CCE" w:rsidP="004667CF">
      <w:pPr>
        <w:widowControl/>
        <w:spacing w:after="40"/>
        <w:rPr>
          <w:rFonts w:ascii="Arial" w:hAnsi="Arial" w:cs="Arial"/>
          <w:b/>
          <w:sz w:val="36"/>
          <w:szCs w:val="36"/>
        </w:rPr>
      </w:pPr>
    </w:p>
    <w:p w:rsidR="00995152" w:rsidRPr="00B77BBD" w:rsidRDefault="00995152" w:rsidP="00995152">
      <w:pPr>
        <w:widowControl/>
        <w:spacing w:after="40"/>
        <w:rPr>
          <w:rFonts w:ascii="Arial" w:hAnsi="Arial" w:cs="Arial"/>
          <w:b/>
          <w:sz w:val="36"/>
          <w:szCs w:val="36"/>
        </w:rPr>
      </w:pPr>
    </w:p>
    <w:p w:rsidR="004667CF" w:rsidRDefault="004667CF" w:rsidP="00295FA0"/>
    <w:sectPr w:rsidR="004667CF" w:rsidSect="004774EF">
      <w:headerReference w:type="even" r:id="rId7"/>
      <w:headerReference w:type="default" r:id="rId8"/>
      <w:footerReference w:type="default" r:id="rId9"/>
      <w:headerReference w:type="first" r:id="rId10"/>
      <w:endnotePr>
        <w:numFmt w:val="decimal"/>
      </w:endnotePr>
      <w:pgSz w:w="12240" w:h="15840" w:code="1"/>
      <w:pgMar w:top="1008" w:right="1440" w:bottom="72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61C2" w:rsidRDefault="009661C2">
      <w:r>
        <w:separator/>
      </w:r>
    </w:p>
  </w:endnote>
  <w:endnote w:type="continuationSeparator" w:id="0">
    <w:p w:rsidR="009661C2" w:rsidRDefault="009661C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inePrinter">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Times">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1C2" w:rsidRPr="00630124" w:rsidRDefault="009661C2" w:rsidP="00630124">
    <w:pPr>
      <w:pStyle w:val="Footer"/>
      <w:tabs>
        <w:tab w:val="clear" w:pos="8640"/>
        <w:tab w:val="right" w:pos="9360"/>
      </w:tabs>
      <w:rPr>
        <w:rFonts w:ascii="Arial" w:hAnsi="Arial" w:cs="Arial"/>
      </w:rPr>
    </w:pPr>
    <w:r w:rsidRPr="00630124">
      <w:rPr>
        <w:rFonts w:ascii="Arial" w:hAnsi="Arial" w:cs="Arial"/>
      </w:rPr>
      <w:tab/>
    </w:r>
    <w:r w:rsidRPr="00630124">
      <w:rPr>
        <w:rFonts w:ascii="Arial" w:hAnsi="Arial" w:cs="Arial"/>
      </w:rPr>
      <w:tab/>
    </w:r>
    <w:r w:rsidR="00EB6145" w:rsidRPr="00630124">
      <w:rPr>
        <w:rStyle w:val="PageNumber"/>
        <w:rFonts w:ascii="Arial" w:hAnsi="Arial" w:cs="Arial"/>
      </w:rPr>
      <w:fldChar w:fldCharType="begin"/>
    </w:r>
    <w:r w:rsidRPr="00630124">
      <w:rPr>
        <w:rStyle w:val="PageNumber"/>
        <w:rFonts w:ascii="Arial" w:hAnsi="Arial" w:cs="Arial"/>
      </w:rPr>
      <w:instrText xml:space="preserve"> PAGE </w:instrText>
    </w:r>
    <w:r w:rsidR="00EB6145" w:rsidRPr="00630124">
      <w:rPr>
        <w:rStyle w:val="PageNumber"/>
        <w:rFonts w:ascii="Arial" w:hAnsi="Arial" w:cs="Arial"/>
      </w:rPr>
      <w:fldChar w:fldCharType="separate"/>
    </w:r>
    <w:r w:rsidR="009B42F1">
      <w:rPr>
        <w:rStyle w:val="PageNumber"/>
        <w:rFonts w:ascii="Arial" w:hAnsi="Arial" w:cs="Arial"/>
        <w:noProof/>
      </w:rPr>
      <w:t>1</w:t>
    </w:r>
    <w:r w:rsidR="00EB6145" w:rsidRPr="00630124">
      <w:rPr>
        <w:rStyle w:val="PageNumber"/>
        <w:rFonts w:ascii="Arial" w:hAnsi="Arial" w:cs="Arial"/>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61C2" w:rsidRDefault="009661C2">
      <w:r>
        <w:separator/>
      </w:r>
    </w:p>
  </w:footnote>
  <w:footnote w:type="continuationSeparator" w:id="0">
    <w:p w:rsidR="009661C2" w:rsidRDefault="009661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1C2" w:rsidRDefault="00EB6145">
    <w:pPr>
      <w:pStyle w:val="Header"/>
    </w:pPr>
    <w:r w:rsidRPr="00EB614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71.3pt;height:188.5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1C2" w:rsidRDefault="00EB6145" w:rsidP="00AB565D">
    <w:pPr>
      <w:pStyle w:val="Header"/>
      <w:pBdr>
        <w:bottom w:val="single" w:sz="2" w:space="1" w:color="auto"/>
      </w:pBdr>
      <w:tabs>
        <w:tab w:val="clear" w:pos="8640"/>
        <w:tab w:val="left" w:pos="7371"/>
        <w:tab w:val="right" w:pos="9360"/>
      </w:tabs>
      <w:spacing w:after="120"/>
      <w:rPr>
        <w:rFonts w:ascii="Arial" w:hAnsi="Arial" w:cs="Arial"/>
        <w:i/>
        <w:iCs/>
      </w:rPr>
    </w:pPr>
    <w:r w:rsidRPr="00EB614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471.3pt;height:188.5pt;rotation:315;z-index:-25165772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9661C2">
      <w:rPr>
        <w:rFonts w:ascii="Arial" w:hAnsi="Arial" w:cs="Arial"/>
        <w:i/>
        <w:iCs/>
      </w:rPr>
      <w:t>Ministry of Forests &amp; Range</w:t>
    </w:r>
    <w:r w:rsidR="009661C2">
      <w:rPr>
        <w:rFonts w:ascii="Arial" w:hAnsi="Arial" w:cs="Arial"/>
        <w:i/>
        <w:iCs/>
      </w:rPr>
      <w:tab/>
    </w:r>
    <w:r w:rsidR="009661C2">
      <w:rPr>
        <w:rFonts w:ascii="Arial" w:hAnsi="Arial" w:cs="Arial"/>
        <w:i/>
        <w:iCs/>
      </w:rPr>
      <w:tab/>
      <w:t xml:space="preserve">DR# </w:t>
    </w:r>
    <w:proofErr w:type="spellStart"/>
    <w:r w:rsidR="009661C2">
      <w:rPr>
        <w:rFonts w:ascii="Arial" w:hAnsi="Arial" w:cs="Arial"/>
        <w:i/>
        <w:iCs/>
      </w:rPr>
      <w:t>nn</w:t>
    </w:r>
    <w:proofErr w:type="spellEnd"/>
    <w:r w:rsidR="009661C2">
      <w:rPr>
        <w:rFonts w:ascii="Arial" w:hAnsi="Arial" w:cs="Arial"/>
        <w:i/>
        <w:iCs/>
      </w:rPr>
      <w:t xml:space="preserve"> - ####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1C2" w:rsidRDefault="00EB6145">
    <w:pPr>
      <w:pStyle w:val="Header"/>
    </w:pPr>
    <w:r w:rsidRPr="00EB614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71.3pt;height:188.5pt;rotation:315;z-index:-2516597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81286AE2"/>
    <w:lvl w:ilvl="0">
      <w:start w:val="1"/>
      <w:numFmt w:val="bullet"/>
      <w:lvlText w:val=""/>
      <w:lvlJc w:val="left"/>
      <w:pPr>
        <w:tabs>
          <w:tab w:val="num" w:pos="360"/>
        </w:tabs>
        <w:ind w:left="360" w:hanging="360"/>
      </w:pPr>
      <w:rPr>
        <w:rFonts w:ascii="Symbol" w:hAnsi="Symbol" w:hint="default"/>
      </w:rPr>
    </w:lvl>
  </w:abstractNum>
  <w:abstractNum w:abstractNumId="1">
    <w:nsid w:val="0FCC25B4"/>
    <w:multiLevelType w:val="hybridMultilevel"/>
    <w:tmpl w:val="4C7226DA"/>
    <w:lvl w:ilvl="0" w:tplc="FFFFFFFF">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11D7074C"/>
    <w:multiLevelType w:val="hybridMultilevel"/>
    <w:tmpl w:val="7F08C45A"/>
    <w:lvl w:ilvl="0" w:tplc="1009000F">
      <w:start w:val="1"/>
      <w:numFmt w:val="decimal"/>
      <w:lvlText w:val="%1."/>
      <w:lvlJc w:val="left"/>
      <w:pPr>
        <w:tabs>
          <w:tab w:val="num" w:pos="720"/>
        </w:tabs>
        <w:ind w:left="720" w:hanging="360"/>
      </w:pPr>
    </w:lvl>
    <w:lvl w:ilvl="1" w:tplc="1009000F">
      <w:start w:val="1"/>
      <w:numFmt w:val="decimal"/>
      <w:lvlText w:val="%2."/>
      <w:lvlJc w:val="left"/>
      <w:pPr>
        <w:tabs>
          <w:tab w:val="num" w:pos="720"/>
        </w:tabs>
        <w:ind w:left="72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
    <w:nsid w:val="15B20C84"/>
    <w:multiLevelType w:val="hybridMultilevel"/>
    <w:tmpl w:val="A150025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6237C56"/>
    <w:multiLevelType w:val="hybridMultilevel"/>
    <w:tmpl w:val="6EE25230"/>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5">
    <w:nsid w:val="182D37CC"/>
    <w:multiLevelType w:val="hybridMultilevel"/>
    <w:tmpl w:val="8DDA592E"/>
    <w:lvl w:ilvl="0" w:tplc="10090017">
      <w:start w:val="1"/>
      <w:numFmt w:val="lowerLetter"/>
      <w:lvlText w:val="%1)"/>
      <w:lvlJc w:val="left"/>
      <w:pPr>
        <w:tabs>
          <w:tab w:val="num" w:pos="2160"/>
        </w:tabs>
        <w:ind w:left="216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nsid w:val="1B37472C"/>
    <w:multiLevelType w:val="hybridMultilevel"/>
    <w:tmpl w:val="2D6CD0F8"/>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7">
    <w:nsid w:val="1D0C03DC"/>
    <w:multiLevelType w:val="hybridMultilevel"/>
    <w:tmpl w:val="7B0CFE5C"/>
    <w:lvl w:ilvl="0" w:tplc="5B5088BC">
      <w:start w:val="1"/>
      <w:numFmt w:val="bullet"/>
      <w:pStyle w:val="Bullet1"/>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DC00091"/>
    <w:multiLevelType w:val="hybridMultilevel"/>
    <w:tmpl w:val="D090AB24"/>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9">
    <w:nsid w:val="1EED1121"/>
    <w:multiLevelType w:val="hybridMultilevel"/>
    <w:tmpl w:val="75B0755A"/>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0">
    <w:nsid w:val="209776CF"/>
    <w:multiLevelType w:val="hybridMultilevel"/>
    <w:tmpl w:val="4844C6B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1">
    <w:nsid w:val="2E967FCD"/>
    <w:multiLevelType w:val="hybridMultilevel"/>
    <w:tmpl w:val="6C602252"/>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3262176B"/>
    <w:multiLevelType w:val="hybridMultilevel"/>
    <w:tmpl w:val="45D8063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33F3235B"/>
    <w:multiLevelType w:val="hybridMultilevel"/>
    <w:tmpl w:val="09FC5432"/>
    <w:lvl w:ilvl="0" w:tplc="10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720"/>
        </w:tabs>
        <w:ind w:left="72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362B4AFE"/>
    <w:multiLevelType w:val="hybridMultilevel"/>
    <w:tmpl w:val="BD923C24"/>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40F24F2E"/>
    <w:multiLevelType w:val="multilevel"/>
    <w:tmpl w:val="9DDA2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696B1C"/>
    <w:multiLevelType w:val="hybridMultilevel"/>
    <w:tmpl w:val="DEE6CCA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7">
    <w:nsid w:val="49226815"/>
    <w:multiLevelType w:val="hybridMultilevel"/>
    <w:tmpl w:val="9C24897E"/>
    <w:lvl w:ilvl="0" w:tplc="1009000F">
      <w:start w:val="1"/>
      <w:numFmt w:val="decimal"/>
      <w:lvlText w:val="%1."/>
      <w:lvlJc w:val="left"/>
      <w:pPr>
        <w:tabs>
          <w:tab w:val="num" w:pos="1140"/>
        </w:tabs>
        <w:ind w:left="1140" w:hanging="360"/>
      </w:pPr>
      <w:rPr>
        <w:rFonts w:hint="default"/>
      </w:rPr>
    </w:lvl>
    <w:lvl w:ilvl="1" w:tplc="1009000F">
      <w:start w:val="1"/>
      <w:numFmt w:val="decimal"/>
      <w:lvlText w:val="%2."/>
      <w:lvlJc w:val="left"/>
      <w:pPr>
        <w:tabs>
          <w:tab w:val="num" w:pos="1860"/>
        </w:tabs>
        <w:ind w:left="1860" w:hanging="360"/>
      </w:pPr>
      <w:rPr>
        <w:rFonts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18">
    <w:nsid w:val="4BC03DA6"/>
    <w:multiLevelType w:val="hybridMultilevel"/>
    <w:tmpl w:val="8AFC5862"/>
    <w:lvl w:ilvl="0" w:tplc="10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720"/>
        </w:tabs>
        <w:ind w:left="72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9">
    <w:nsid w:val="58807151"/>
    <w:multiLevelType w:val="hybridMultilevel"/>
    <w:tmpl w:val="E1C86542"/>
    <w:lvl w:ilvl="0" w:tplc="10090001">
      <w:start w:val="1"/>
      <w:numFmt w:val="bullet"/>
      <w:lvlText w:val=""/>
      <w:lvlJc w:val="left"/>
      <w:pPr>
        <w:tabs>
          <w:tab w:val="num" w:pos="1080"/>
        </w:tabs>
        <w:ind w:left="1080" w:hanging="360"/>
      </w:pPr>
      <w:rPr>
        <w:rFonts w:ascii="Symbol" w:hAnsi="Symbol"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0">
    <w:nsid w:val="61BF1CD8"/>
    <w:multiLevelType w:val="multilevel"/>
    <w:tmpl w:val="8B747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66522C98"/>
    <w:multiLevelType w:val="hybridMultilevel"/>
    <w:tmpl w:val="F7D2CEC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nsid w:val="6FD45D73"/>
    <w:multiLevelType w:val="hybridMultilevel"/>
    <w:tmpl w:val="C43A9E1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3">
    <w:nsid w:val="716D332E"/>
    <w:multiLevelType w:val="hybridMultilevel"/>
    <w:tmpl w:val="42202342"/>
    <w:lvl w:ilvl="0" w:tplc="10090001">
      <w:start w:val="1"/>
      <w:numFmt w:val="bullet"/>
      <w:lvlText w:val=""/>
      <w:lvlJc w:val="left"/>
      <w:pPr>
        <w:tabs>
          <w:tab w:val="num" w:pos="720"/>
        </w:tabs>
        <w:ind w:left="720" w:hanging="360"/>
      </w:pPr>
      <w:rPr>
        <w:rFonts w:ascii="Symbol" w:hAnsi="Symbol"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4">
    <w:nsid w:val="742C7CB5"/>
    <w:multiLevelType w:val="hybridMultilevel"/>
    <w:tmpl w:val="E80EFA7E"/>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85B19B8"/>
    <w:multiLevelType w:val="hybridMultilevel"/>
    <w:tmpl w:val="AFFE56F0"/>
    <w:lvl w:ilvl="0" w:tplc="10090001">
      <w:start w:val="1"/>
      <w:numFmt w:val="bullet"/>
      <w:lvlText w:val=""/>
      <w:lvlJc w:val="left"/>
      <w:pPr>
        <w:tabs>
          <w:tab w:val="num" w:pos="1080"/>
        </w:tabs>
        <w:ind w:left="1080" w:hanging="360"/>
      </w:pPr>
      <w:rPr>
        <w:rFonts w:ascii="Symbol" w:hAnsi="Symbol" w:hint="default"/>
      </w:rPr>
    </w:lvl>
    <w:lvl w:ilvl="1" w:tplc="10090003">
      <w:start w:val="1"/>
      <w:numFmt w:val="bullet"/>
      <w:lvlText w:val="o"/>
      <w:lvlJc w:val="left"/>
      <w:pPr>
        <w:tabs>
          <w:tab w:val="num" w:pos="1800"/>
        </w:tabs>
        <w:ind w:left="1800" w:hanging="360"/>
      </w:pPr>
      <w:rPr>
        <w:rFonts w:ascii="Courier New" w:hAnsi="Courier New" w:cs="Courier New"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26">
    <w:nsid w:val="7A822B0A"/>
    <w:multiLevelType w:val="hybridMultilevel"/>
    <w:tmpl w:val="AA505646"/>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7">
    <w:nsid w:val="7F7046D8"/>
    <w:multiLevelType w:val="hybridMultilevel"/>
    <w:tmpl w:val="044AE5DE"/>
    <w:lvl w:ilvl="0" w:tplc="1009000F">
      <w:start w:val="1"/>
      <w:numFmt w:val="decimal"/>
      <w:lvlText w:val="%1."/>
      <w:lvlJc w:val="left"/>
      <w:pPr>
        <w:tabs>
          <w:tab w:val="num" w:pos="360"/>
        </w:tabs>
        <w:ind w:left="360" w:hanging="360"/>
      </w:pPr>
    </w:lvl>
    <w:lvl w:ilvl="1" w:tplc="10090019" w:tentative="1">
      <w:start w:val="1"/>
      <w:numFmt w:val="lowerLetter"/>
      <w:lvlText w:val="%2."/>
      <w:lvlJc w:val="left"/>
      <w:pPr>
        <w:tabs>
          <w:tab w:val="num" w:pos="1080"/>
        </w:tabs>
        <w:ind w:left="1080" w:hanging="360"/>
      </w:p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num w:numId="1">
    <w:abstractNumId w:val="7"/>
  </w:num>
  <w:num w:numId="2">
    <w:abstractNumId w:val="0"/>
  </w:num>
  <w:num w:numId="3">
    <w:abstractNumId w:val="3"/>
  </w:num>
  <w:num w:numId="4">
    <w:abstractNumId w:val="15"/>
  </w:num>
  <w:num w:numId="5">
    <w:abstractNumId w:val="20"/>
  </w:num>
  <w:num w:numId="6">
    <w:abstractNumId w:val="17"/>
  </w:num>
  <w:num w:numId="7">
    <w:abstractNumId w:val="22"/>
  </w:num>
  <w:num w:numId="8">
    <w:abstractNumId w:val="2"/>
  </w:num>
  <w:num w:numId="9">
    <w:abstractNumId w:val="12"/>
  </w:num>
  <w:num w:numId="10">
    <w:abstractNumId w:val="24"/>
  </w:num>
  <w:num w:numId="11">
    <w:abstractNumId w:val="10"/>
  </w:num>
  <w:num w:numId="12">
    <w:abstractNumId w:val="14"/>
  </w:num>
  <w:num w:numId="13">
    <w:abstractNumId w:val="18"/>
  </w:num>
  <w:num w:numId="14">
    <w:abstractNumId w:val="9"/>
  </w:num>
  <w:num w:numId="15">
    <w:abstractNumId w:val="13"/>
  </w:num>
  <w:num w:numId="16">
    <w:abstractNumId w:val="11"/>
  </w:num>
  <w:num w:numId="17">
    <w:abstractNumId w:val="4"/>
  </w:num>
  <w:num w:numId="18">
    <w:abstractNumId w:val="16"/>
  </w:num>
  <w:num w:numId="19">
    <w:abstractNumId w:val="23"/>
  </w:num>
  <w:num w:numId="20">
    <w:abstractNumId w:val="27"/>
  </w:num>
  <w:num w:numId="21">
    <w:abstractNumId w:val="25"/>
  </w:num>
  <w:num w:numId="22">
    <w:abstractNumId w:val="8"/>
  </w:num>
  <w:num w:numId="23">
    <w:abstractNumId w:val="19"/>
  </w:num>
  <w:num w:numId="24">
    <w:abstractNumId w:val="26"/>
  </w:num>
  <w:num w:numId="25">
    <w:abstractNumId w:val="1"/>
  </w:num>
  <w:num w:numId="26">
    <w:abstractNumId w:val="6"/>
  </w:num>
  <w:num w:numId="27">
    <w:abstractNumId w:val="5"/>
  </w:num>
  <w:num w:numId="28">
    <w:abstractNumId w:val="21"/>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numFmt w:val="decimal"/>
    <w:endnote w:id="-1"/>
    <w:endnote w:id="0"/>
  </w:endnotePr>
  <w:compat/>
  <w:rsids>
    <w:rsidRoot w:val="008B22F0"/>
    <w:rsid w:val="00000898"/>
    <w:rsid w:val="0000226D"/>
    <w:rsid w:val="00006817"/>
    <w:rsid w:val="0001049B"/>
    <w:rsid w:val="00025EF8"/>
    <w:rsid w:val="00031B96"/>
    <w:rsid w:val="0005419B"/>
    <w:rsid w:val="000562E9"/>
    <w:rsid w:val="00060141"/>
    <w:rsid w:val="00073731"/>
    <w:rsid w:val="00081002"/>
    <w:rsid w:val="000A3342"/>
    <w:rsid w:val="000C102A"/>
    <w:rsid w:val="000E2EA2"/>
    <w:rsid w:val="00130DEE"/>
    <w:rsid w:val="00162A08"/>
    <w:rsid w:val="00180090"/>
    <w:rsid w:val="00185A11"/>
    <w:rsid w:val="00191A10"/>
    <w:rsid w:val="001F395B"/>
    <w:rsid w:val="001F78AC"/>
    <w:rsid w:val="00207D2C"/>
    <w:rsid w:val="002129DB"/>
    <w:rsid w:val="0027186D"/>
    <w:rsid w:val="00291D1C"/>
    <w:rsid w:val="00295FA0"/>
    <w:rsid w:val="002D3742"/>
    <w:rsid w:val="002D4221"/>
    <w:rsid w:val="003135DA"/>
    <w:rsid w:val="003221A5"/>
    <w:rsid w:val="003315D4"/>
    <w:rsid w:val="003501D0"/>
    <w:rsid w:val="00353910"/>
    <w:rsid w:val="00366263"/>
    <w:rsid w:val="00395CC3"/>
    <w:rsid w:val="00396E0C"/>
    <w:rsid w:val="003A1BE9"/>
    <w:rsid w:val="003C7DB5"/>
    <w:rsid w:val="003E2408"/>
    <w:rsid w:val="00400F2E"/>
    <w:rsid w:val="00406655"/>
    <w:rsid w:val="00413A8C"/>
    <w:rsid w:val="00430438"/>
    <w:rsid w:val="00457487"/>
    <w:rsid w:val="004667CF"/>
    <w:rsid w:val="004774EF"/>
    <w:rsid w:val="00490CFE"/>
    <w:rsid w:val="004963F5"/>
    <w:rsid w:val="004B62F4"/>
    <w:rsid w:val="004C2306"/>
    <w:rsid w:val="00505362"/>
    <w:rsid w:val="0050710F"/>
    <w:rsid w:val="005266DD"/>
    <w:rsid w:val="0053286A"/>
    <w:rsid w:val="00535E3B"/>
    <w:rsid w:val="00536BFF"/>
    <w:rsid w:val="005576DB"/>
    <w:rsid w:val="00561213"/>
    <w:rsid w:val="00571952"/>
    <w:rsid w:val="005771AC"/>
    <w:rsid w:val="005A2E07"/>
    <w:rsid w:val="005A575F"/>
    <w:rsid w:val="005B6573"/>
    <w:rsid w:val="005E7507"/>
    <w:rsid w:val="00630124"/>
    <w:rsid w:val="006917D7"/>
    <w:rsid w:val="006A2363"/>
    <w:rsid w:val="006C5D98"/>
    <w:rsid w:val="006D329D"/>
    <w:rsid w:val="006E4641"/>
    <w:rsid w:val="006E5F90"/>
    <w:rsid w:val="006F5EAF"/>
    <w:rsid w:val="0073167F"/>
    <w:rsid w:val="0075163D"/>
    <w:rsid w:val="007A086E"/>
    <w:rsid w:val="007A6404"/>
    <w:rsid w:val="007A6B15"/>
    <w:rsid w:val="007A78DB"/>
    <w:rsid w:val="007B39DB"/>
    <w:rsid w:val="007C0500"/>
    <w:rsid w:val="007C2998"/>
    <w:rsid w:val="007D632A"/>
    <w:rsid w:val="007E4B50"/>
    <w:rsid w:val="007E79B2"/>
    <w:rsid w:val="00802A5F"/>
    <w:rsid w:val="008047E4"/>
    <w:rsid w:val="0081157B"/>
    <w:rsid w:val="00826AA6"/>
    <w:rsid w:val="00831883"/>
    <w:rsid w:val="00833554"/>
    <w:rsid w:val="00844447"/>
    <w:rsid w:val="008457EB"/>
    <w:rsid w:val="00862727"/>
    <w:rsid w:val="00866E10"/>
    <w:rsid w:val="00867467"/>
    <w:rsid w:val="008710D5"/>
    <w:rsid w:val="00874134"/>
    <w:rsid w:val="008A5CF4"/>
    <w:rsid w:val="008B22F0"/>
    <w:rsid w:val="008C0649"/>
    <w:rsid w:val="008F75FA"/>
    <w:rsid w:val="00910AFC"/>
    <w:rsid w:val="00942E19"/>
    <w:rsid w:val="00955B9E"/>
    <w:rsid w:val="009661C2"/>
    <w:rsid w:val="00980B98"/>
    <w:rsid w:val="00982886"/>
    <w:rsid w:val="00995152"/>
    <w:rsid w:val="009A0483"/>
    <w:rsid w:val="009A4802"/>
    <w:rsid w:val="009B307D"/>
    <w:rsid w:val="009B42F1"/>
    <w:rsid w:val="009D3C1F"/>
    <w:rsid w:val="009E4881"/>
    <w:rsid w:val="009F6B4B"/>
    <w:rsid w:val="00A14F15"/>
    <w:rsid w:val="00A21527"/>
    <w:rsid w:val="00A32E40"/>
    <w:rsid w:val="00A37D19"/>
    <w:rsid w:val="00A81BA1"/>
    <w:rsid w:val="00A96728"/>
    <w:rsid w:val="00AA4643"/>
    <w:rsid w:val="00AB565D"/>
    <w:rsid w:val="00AE533F"/>
    <w:rsid w:val="00B53B6F"/>
    <w:rsid w:val="00B77609"/>
    <w:rsid w:val="00B77BBD"/>
    <w:rsid w:val="00BB1D92"/>
    <w:rsid w:val="00BD413C"/>
    <w:rsid w:val="00BE1E12"/>
    <w:rsid w:val="00BF4845"/>
    <w:rsid w:val="00C04587"/>
    <w:rsid w:val="00C2069A"/>
    <w:rsid w:val="00C640D9"/>
    <w:rsid w:val="00C84690"/>
    <w:rsid w:val="00C87C3E"/>
    <w:rsid w:val="00CA5915"/>
    <w:rsid w:val="00CB381F"/>
    <w:rsid w:val="00D00FD2"/>
    <w:rsid w:val="00D1586E"/>
    <w:rsid w:val="00D35C49"/>
    <w:rsid w:val="00D374A1"/>
    <w:rsid w:val="00D70C50"/>
    <w:rsid w:val="00D938C2"/>
    <w:rsid w:val="00DB154D"/>
    <w:rsid w:val="00DC45D5"/>
    <w:rsid w:val="00DC7DC6"/>
    <w:rsid w:val="00DD3745"/>
    <w:rsid w:val="00DE25A8"/>
    <w:rsid w:val="00DE5CFA"/>
    <w:rsid w:val="00DF1421"/>
    <w:rsid w:val="00E11F83"/>
    <w:rsid w:val="00E16479"/>
    <w:rsid w:val="00E20C75"/>
    <w:rsid w:val="00E21E3D"/>
    <w:rsid w:val="00E32CD6"/>
    <w:rsid w:val="00E501A7"/>
    <w:rsid w:val="00E50C6A"/>
    <w:rsid w:val="00E64462"/>
    <w:rsid w:val="00EB4103"/>
    <w:rsid w:val="00EB6145"/>
    <w:rsid w:val="00EC4823"/>
    <w:rsid w:val="00ED56CC"/>
    <w:rsid w:val="00EF10BC"/>
    <w:rsid w:val="00F02A9B"/>
    <w:rsid w:val="00F0659E"/>
    <w:rsid w:val="00F1095A"/>
    <w:rsid w:val="00F12348"/>
    <w:rsid w:val="00F25BD2"/>
    <w:rsid w:val="00F33FD7"/>
    <w:rsid w:val="00F341F4"/>
    <w:rsid w:val="00F53FC5"/>
    <w:rsid w:val="00F61939"/>
    <w:rsid w:val="00F63CCE"/>
    <w:rsid w:val="00F65D5A"/>
    <w:rsid w:val="00F71FE6"/>
    <w:rsid w:val="00F8546C"/>
    <w:rsid w:val="00F87CFA"/>
    <w:rsid w:val="00FB12E2"/>
    <w:rsid w:val="00FC63BA"/>
    <w:rsid w:val="00FC784E"/>
    <w:rsid w:val="00FD0A1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963F5"/>
    <w:pPr>
      <w:widowControl w:val="0"/>
    </w:pPr>
    <w:rPr>
      <w:lang w:val="en-US" w:eastAsia="en-US"/>
    </w:rPr>
  </w:style>
  <w:style w:type="paragraph" w:styleId="Heading1">
    <w:name w:val="heading 1"/>
    <w:basedOn w:val="Normal"/>
    <w:next w:val="Normal"/>
    <w:qFormat/>
    <w:rsid w:val="004963F5"/>
    <w:pPr>
      <w:keepNext/>
      <w:tabs>
        <w:tab w:val="left" w:pos="1152"/>
      </w:tabs>
      <w:outlineLvl w:val="0"/>
    </w:pPr>
    <w:rPr>
      <w:b/>
      <w:sz w:val="28"/>
    </w:rPr>
  </w:style>
  <w:style w:type="paragraph" w:styleId="Heading2">
    <w:name w:val="heading 2"/>
    <w:aliases w:val="H21,Heading H1,Heading 2 Hidden"/>
    <w:basedOn w:val="Normal"/>
    <w:next w:val="Normal"/>
    <w:qFormat/>
    <w:rsid w:val="004963F5"/>
    <w:pPr>
      <w:keepNext/>
      <w:ind w:left="252"/>
      <w:outlineLvl w:val="1"/>
    </w:pPr>
    <w:rPr>
      <w:b/>
    </w:rPr>
  </w:style>
  <w:style w:type="paragraph" w:styleId="Heading3">
    <w:name w:val="heading 3"/>
    <w:aliases w:val="h3,Subhead2,Heading 3 - Bid,3m,Response,1.2.3."/>
    <w:basedOn w:val="Normal"/>
    <w:next w:val="Normal"/>
    <w:qFormat/>
    <w:rsid w:val="004963F5"/>
    <w:pPr>
      <w:keepNext/>
      <w:outlineLvl w:val="2"/>
    </w:pPr>
    <w:rPr>
      <w:b/>
    </w:rPr>
  </w:style>
  <w:style w:type="paragraph" w:styleId="Heading4">
    <w:name w:val="heading 4"/>
    <w:basedOn w:val="Normal"/>
    <w:next w:val="Normal"/>
    <w:qFormat/>
    <w:rsid w:val="004963F5"/>
    <w:pPr>
      <w:keepNext/>
      <w:jc w:val="center"/>
      <w:outlineLvl w:val="3"/>
    </w:pPr>
    <w:rPr>
      <w:b/>
    </w:rPr>
  </w:style>
  <w:style w:type="paragraph" w:styleId="Heading5">
    <w:name w:val="heading 5"/>
    <w:aliases w:val="Block Label,DO NOT USE_h5"/>
    <w:basedOn w:val="Normal"/>
    <w:next w:val="Normal"/>
    <w:qFormat/>
    <w:rsid w:val="004963F5"/>
    <w:pPr>
      <w:widowControl/>
      <w:tabs>
        <w:tab w:val="left" w:pos="-1440"/>
        <w:tab w:val="left" w:pos="-720"/>
      </w:tabs>
      <w:spacing w:before="240" w:after="60"/>
      <w:jc w:val="both"/>
      <w:outlineLvl w:val="4"/>
    </w:pPr>
    <w:rPr>
      <w:rFonts w:ascii="Arial" w:hAnsi="Arial" w:cs="Arial"/>
      <w:sz w:val="22"/>
      <w:szCs w:val="22"/>
    </w:rPr>
  </w:style>
  <w:style w:type="paragraph" w:styleId="Heading6">
    <w:name w:val="heading 6"/>
    <w:aliases w:val="Appendix,Appendix A"/>
    <w:basedOn w:val="Normal"/>
    <w:next w:val="Normal"/>
    <w:qFormat/>
    <w:rsid w:val="004963F5"/>
    <w:pPr>
      <w:keepNext/>
      <w:widowControl/>
      <w:tabs>
        <w:tab w:val="left" w:pos="-1440"/>
        <w:tab w:val="left" w:pos="-720"/>
      </w:tabs>
      <w:jc w:val="center"/>
      <w:outlineLvl w:val="5"/>
    </w:pPr>
    <w:rPr>
      <w:rFonts w:ascii="Arial" w:hAnsi="Arial" w:cs="Arial"/>
      <w:b/>
      <w:bCs/>
      <w:sz w:val="28"/>
      <w:szCs w:val="28"/>
    </w:rPr>
  </w:style>
  <w:style w:type="paragraph" w:styleId="Heading7">
    <w:name w:val="heading 7"/>
    <w:basedOn w:val="Normal"/>
    <w:next w:val="Normal"/>
    <w:qFormat/>
    <w:rsid w:val="004963F5"/>
    <w:pPr>
      <w:keepNext/>
      <w:widowControl/>
      <w:tabs>
        <w:tab w:val="left" w:pos="-1440"/>
        <w:tab w:val="left" w:pos="-720"/>
      </w:tabs>
      <w:jc w:val="center"/>
      <w:outlineLvl w:val="6"/>
    </w:pPr>
    <w:rPr>
      <w:rFonts w:ascii="Arial" w:hAnsi="Arial" w:cs="Arial"/>
      <w:b/>
      <w:bCs/>
      <w:i/>
      <w:iCs/>
      <w:color w:val="0000FF"/>
      <w:sz w:val="28"/>
      <w:szCs w:val="28"/>
    </w:rPr>
  </w:style>
  <w:style w:type="paragraph" w:styleId="Heading8">
    <w:name w:val="heading 8"/>
    <w:basedOn w:val="Normal"/>
    <w:next w:val="Normal"/>
    <w:qFormat/>
    <w:rsid w:val="004963F5"/>
    <w:pPr>
      <w:widowControl/>
      <w:spacing w:before="240" w:after="60"/>
      <w:outlineLvl w:val="7"/>
    </w:pPr>
    <w:rPr>
      <w:rFonts w:ascii="Arial" w:hAnsi="Arial" w:cs="Arial"/>
      <w:i/>
      <w:iCs/>
      <w:sz w:val="24"/>
      <w:szCs w:val="24"/>
    </w:rPr>
  </w:style>
  <w:style w:type="paragraph" w:styleId="Heading9">
    <w:name w:val="heading 9"/>
    <w:basedOn w:val="Normal"/>
    <w:next w:val="Normal"/>
    <w:qFormat/>
    <w:rsid w:val="004963F5"/>
    <w:pPr>
      <w:widowControl/>
      <w:spacing w:before="240" w:after="60"/>
      <w:outlineLvl w:val="8"/>
    </w:pPr>
    <w:rPr>
      <w:rFonts w:ascii="Arial"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963F5"/>
    <w:pPr>
      <w:tabs>
        <w:tab w:val="center" w:pos="4320"/>
        <w:tab w:val="right" w:pos="8640"/>
      </w:tabs>
    </w:pPr>
  </w:style>
  <w:style w:type="paragraph" w:styleId="Footer">
    <w:name w:val="footer"/>
    <w:basedOn w:val="Normal"/>
    <w:rsid w:val="004963F5"/>
    <w:pPr>
      <w:tabs>
        <w:tab w:val="center" w:pos="4320"/>
        <w:tab w:val="right" w:pos="8640"/>
      </w:tabs>
    </w:pPr>
  </w:style>
  <w:style w:type="paragraph" w:styleId="Title">
    <w:name w:val="Title"/>
    <w:basedOn w:val="Normal"/>
    <w:qFormat/>
    <w:rsid w:val="004963F5"/>
    <w:pPr>
      <w:jc w:val="center"/>
    </w:pPr>
    <w:rPr>
      <w:b/>
      <w:sz w:val="28"/>
    </w:rPr>
  </w:style>
  <w:style w:type="paragraph" w:customStyle="1" w:styleId="Map">
    <w:name w:val="Map"/>
    <w:basedOn w:val="Normal"/>
    <w:rsid w:val="004963F5"/>
    <w:pPr>
      <w:widowControl/>
      <w:tabs>
        <w:tab w:val="left" w:pos="720"/>
        <w:tab w:val="left" w:pos="1440"/>
        <w:tab w:val="left" w:pos="2880"/>
        <w:tab w:val="left" w:pos="4320"/>
      </w:tabs>
      <w:ind w:left="1440"/>
    </w:pPr>
    <w:rPr>
      <w:rFonts w:ascii="LinePrinter" w:hAnsi="LinePrinter"/>
      <w:sz w:val="16"/>
    </w:rPr>
  </w:style>
  <w:style w:type="character" w:styleId="Hyperlink">
    <w:name w:val="Hyperlink"/>
    <w:basedOn w:val="DefaultParagraphFont"/>
    <w:rsid w:val="004963F5"/>
    <w:rPr>
      <w:color w:val="0000FF"/>
      <w:sz w:val="20"/>
      <w:u w:val="single"/>
    </w:rPr>
  </w:style>
  <w:style w:type="paragraph" w:customStyle="1" w:styleId="EditRulesL1">
    <w:name w:val="EditRules L1"/>
    <w:basedOn w:val="Normal"/>
    <w:rsid w:val="004963F5"/>
    <w:pPr>
      <w:widowControl/>
      <w:tabs>
        <w:tab w:val="left" w:pos="2160"/>
        <w:tab w:val="left" w:pos="4680"/>
      </w:tabs>
      <w:spacing w:before="240"/>
      <w:ind w:left="2160" w:hanging="2160"/>
    </w:pPr>
  </w:style>
  <w:style w:type="paragraph" w:customStyle="1" w:styleId="EditRules">
    <w:name w:val="EditRules"/>
    <w:basedOn w:val="Normal"/>
    <w:rsid w:val="004963F5"/>
    <w:pPr>
      <w:widowControl/>
      <w:tabs>
        <w:tab w:val="left" w:pos="2340"/>
        <w:tab w:val="left" w:pos="4680"/>
      </w:tabs>
      <w:ind w:left="2340" w:hanging="180"/>
    </w:pPr>
  </w:style>
  <w:style w:type="paragraph" w:customStyle="1" w:styleId="DefinitionTerm">
    <w:name w:val="Definition Term"/>
    <w:basedOn w:val="Normal"/>
    <w:next w:val="DefinitionList"/>
    <w:rsid w:val="004963F5"/>
    <w:pPr>
      <w:widowControl/>
    </w:pPr>
    <w:rPr>
      <w:snapToGrid w:val="0"/>
      <w:sz w:val="24"/>
      <w:lang w:val="en-CA"/>
    </w:rPr>
  </w:style>
  <w:style w:type="paragraph" w:customStyle="1" w:styleId="DefinitionList">
    <w:name w:val="Definition List"/>
    <w:basedOn w:val="Normal"/>
    <w:next w:val="DefinitionTerm"/>
    <w:rsid w:val="004963F5"/>
    <w:pPr>
      <w:widowControl/>
      <w:ind w:left="360"/>
    </w:pPr>
    <w:rPr>
      <w:snapToGrid w:val="0"/>
      <w:sz w:val="24"/>
      <w:lang w:val="en-CA"/>
    </w:rPr>
  </w:style>
  <w:style w:type="character" w:customStyle="1" w:styleId="Definition">
    <w:name w:val="Definition"/>
    <w:rsid w:val="004963F5"/>
    <w:rPr>
      <w:i/>
    </w:rPr>
  </w:style>
  <w:style w:type="paragraph" w:customStyle="1" w:styleId="H1">
    <w:name w:val="H1"/>
    <w:basedOn w:val="Normal"/>
    <w:next w:val="Normal"/>
    <w:rsid w:val="004963F5"/>
    <w:pPr>
      <w:keepNext/>
      <w:widowControl/>
      <w:spacing w:before="100" w:after="100"/>
      <w:outlineLvl w:val="1"/>
    </w:pPr>
    <w:rPr>
      <w:b/>
      <w:snapToGrid w:val="0"/>
      <w:kern w:val="36"/>
      <w:sz w:val="48"/>
      <w:lang w:val="en-CA"/>
    </w:rPr>
  </w:style>
  <w:style w:type="paragraph" w:customStyle="1" w:styleId="H2">
    <w:name w:val="H2"/>
    <w:basedOn w:val="Normal"/>
    <w:next w:val="Normal"/>
    <w:rsid w:val="004963F5"/>
    <w:pPr>
      <w:keepNext/>
      <w:widowControl/>
      <w:spacing w:before="100" w:after="100"/>
      <w:outlineLvl w:val="2"/>
    </w:pPr>
    <w:rPr>
      <w:b/>
      <w:snapToGrid w:val="0"/>
      <w:sz w:val="36"/>
      <w:lang w:val="en-CA"/>
    </w:rPr>
  </w:style>
  <w:style w:type="paragraph" w:customStyle="1" w:styleId="H3">
    <w:name w:val="H3"/>
    <w:basedOn w:val="Normal"/>
    <w:next w:val="Normal"/>
    <w:rsid w:val="004963F5"/>
    <w:pPr>
      <w:keepNext/>
      <w:widowControl/>
      <w:spacing w:before="100" w:after="100"/>
      <w:outlineLvl w:val="3"/>
    </w:pPr>
    <w:rPr>
      <w:b/>
      <w:snapToGrid w:val="0"/>
      <w:sz w:val="28"/>
      <w:lang w:val="en-CA"/>
    </w:rPr>
  </w:style>
  <w:style w:type="paragraph" w:customStyle="1" w:styleId="H4">
    <w:name w:val="H4"/>
    <w:basedOn w:val="Normal"/>
    <w:next w:val="Normal"/>
    <w:rsid w:val="004963F5"/>
    <w:pPr>
      <w:keepNext/>
      <w:widowControl/>
      <w:spacing w:before="100" w:after="100"/>
      <w:outlineLvl w:val="4"/>
    </w:pPr>
    <w:rPr>
      <w:b/>
      <w:snapToGrid w:val="0"/>
      <w:sz w:val="24"/>
      <w:lang w:val="en-CA"/>
    </w:rPr>
  </w:style>
  <w:style w:type="paragraph" w:customStyle="1" w:styleId="H5">
    <w:name w:val="H5"/>
    <w:basedOn w:val="Normal"/>
    <w:next w:val="Normal"/>
    <w:rsid w:val="004963F5"/>
    <w:pPr>
      <w:keepNext/>
      <w:widowControl/>
      <w:spacing w:before="100" w:after="100"/>
      <w:outlineLvl w:val="5"/>
    </w:pPr>
    <w:rPr>
      <w:b/>
      <w:snapToGrid w:val="0"/>
      <w:lang w:val="en-CA"/>
    </w:rPr>
  </w:style>
  <w:style w:type="paragraph" w:customStyle="1" w:styleId="H6">
    <w:name w:val="H6"/>
    <w:basedOn w:val="Normal"/>
    <w:next w:val="Normal"/>
    <w:rsid w:val="004963F5"/>
    <w:pPr>
      <w:keepNext/>
      <w:widowControl/>
      <w:spacing w:before="100" w:after="100"/>
      <w:outlineLvl w:val="6"/>
    </w:pPr>
    <w:rPr>
      <w:b/>
      <w:snapToGrid w:val="0"/>
      <w:sz w:val="16"/>
      <w:lang w:val="en-CA"/>
    </w:rPr>
  </w:style>
  <w:style w:type="paragraph" w:customStyle="1" w:styleId="Address">
    <w:name w:val="Address"/>
    <w:basedOn w:val="Normal"/>
    <w:next w:val="Normal"/>
    <w:rsid w:val="004963F5"/>
    <w:pPr>
      <w:widowControl/>
    </w:pPr>
    <w:rPr>
      <w:i/>
      <w:snapToGrid w:val="0"/>
      <w:sz w:val="24"/>
      <w:lang w:val="en-CA"/>
    </w:rPr>
  </w:style>
  <w:style w:type="paragraph" w:customStyle="1" w:styleId="Blockquote">
    <w:name w:val="Blockquote"/>
    <w:basedOn w:val="Normal"/>
    <w:rsid w:val="004963F5"/>
    <w:pPr>
      <w:widowControl/>
      <w:spacing w:before="100" w:after="100"/>
      <w:ind w:left="360" w:right="360"/>
    </w:pPr>
    <w:rPr>
      <w:snapToGrid w:val="0"/>
      <w:sz w:val="24"/>
      <w:lang w:val="en-CA"/>
    </w:rPr>
  </w:style>
  <w:style w:type="character" w:customStyle="1" w:styleId="CITE">
    <w:name w:val="CITE"/>
    <w:rsid w:val="004963F5"/>
    <w:rPr>
      <w:i/>
    </w:rPr>
  </w:style>
  <w:style w:type="character" w:customStyle="1" w:styleId="CODE">
    <w:name w:val="CODE"/>
    <w:rsid w:val="004963F5"/>
    <w:rPr>
      <w:rFonts w:ascii="Courier New" w:hAnsi="Courier New"/>
      <w:sz w:val="20"/>
    </w:rPr>
  </w:style>
  <w:style w:type="character" w:customStyle="1" w:styleId="Keyboard">
    <w:name w:val="Keyboard"/>
    <w:rsid w:val="004963F5"/>
    <w:rPr>
      <w:rFonts w:ascii="Courier New" w:hAnsi="Courier New"/>
      <w:b/>
      <w:sz w:val="20"/>
    </w:rPr>
  </w:style>
  <w:style w:type="paragraph" w:customStyle="1" w:styleId="Preformatted">
    <w:name w:val="Preformatted"/>
    <w:basedOn w:val="Normal"/>
    <w:rsid w:val="004963F5"/>
    <w:pPr>
      <w:widowControl/>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lang w:val="en-CA"/>
    </w:rPr>
  </w:style>
  <w:style w:type="character" w:customStyle="1" w:styleId="Sample">
    <w:name w:val="Sample"/>
    <w:rsid w:val="004963F5"/>
    <w:rPr>
      <w:rFonts w:ascii="Courier New" w:hAnsi="Courier New"/>
    </w:rPr>
  </w:style>
  <w:style w:type="character" w:customStyle="1" w:styleId="Typewriter">
    <w:name w:val="Typewriter"/>
    <w:rsid w:val="004963F5"/>
    <w:rPr>
      <w:rFonts w:ascii="Courier New" w:hAnsi="Courier New"/>
      <w:sz w:val="20"/>
    </w:rPr>
  </w:style>
  <w:style w:type="character" w:customStyle="1" w:styleId="Variable">
    <w:name w:val="Variable"/>
    <w:rsid w:val="004963F5"/>
    <w:rPr>
      <w:i/>
    </w:rPr>
  </w:style>
  <w:style w:type="character" w:customStyle="1" w:styleId="HTMLMarkup">
    <w:name w:val="HTML Markup"/>
    <w:rsid w:val="004963F5"/>
    <w:rPr>
      <w:vanish/>
      <w:color w:val="FF0000"/>
    </w:rPr>
  </w:style>
  <w:style w:type="character" w:customStyle="1" w:styleId="Comment">
    <w:name w:val="Comment"/>
    <w:rsid w:val="004963F5"/>
    <w:rPr>
      <w:vanish/>
    </w:rPr>
  </w:style>
  <w:style w:type="paragraph" w:styleId="BodyText">
    <w:name w:val="Body Text"/>
    <w:basedOn w:val="Normal"/>
    <w:rsid w:val="004963F5"/>
    <w:rPr>
      <w:sz w:val="24"/>
    </w:rPr>
  </w:style>
  <w:style w:type="character" w:styleId="CommentReference">
    <w:name w:val="annotation reference"/>
    <w:basedOn w:val="DefaultParagraphFont"/>
    <w:semiHidden/>
    <w:rsid w:val="004963F5"/>
    <w:rPr>
      <w:sz w:val="16"/>
      <w:szCs w:val="16"/>
    </w:rPr>
  </w:style>
  <w:style w:type="paragraph" w:styleId="CommentText">
    <w:name w:val="annotation text"/>
    <w:basedOn w:val="Normal"/>
    <w:semiHidden/>
    <w:rsid w:val="004963F5"/>
  </w:style>
  <w:style w:type="paragraph" w:styleId="CommentSubject">
    <w:name w:val="annotation subject"/>
    <w:basedOn w:val="CommentText"/>
    <w:next w:val="CommentText"/>
    <w:semiHidden/>
    <w:rsid w:val="004963F5"/>
    <w:rPr>
      <w:b/>
      <w:bCs/>
    </w:rPr>
  </w:style>
  <w:style w:type="paragraph" w:styleId="BalloonText">
    <w:name w:val="Balloon Text"/>
    <w:basedOn w:val="Normal"/>
    <w:semiHidden/>
    <w:rsid w:val="004963F5"/>
    <w:rPr>
      <w:rFonts w:ascii="Tahoma" w:hAnsi="Tahoma" w:cs="Tahoma"/>
      <w:sz w:val="16"/>
      <w:szCs w:val="16"/>
    </w:rPr>
  </w:style>
  <w:style w:type="paragraph" w:customStyle="1" w:styleId="bullet">
    <w:name w:val="bullet"/>
    <w:basedOn w:val="Normal"/>
    <w:rsid w:val="004963F5"/>
    <w:pPr>
      <w:widowControl/>
      <w:tabs>
        <w:tab w:val="left" w:pos="-1440"/>
        <w:tab w:val="left" w:pos="480"/>
        <w:tab w:val="left" w:pos="1440"/>
      </w:tabs>
      <w:ind w:left="480" w:hanging="480"/>
      <w:jc w:val="both"/>
    </w:pPr>
    <w:rPr>
      <w:sz w:val="24"/>
    </w:rPr>
  </w:style>
  <w:style w:type="paragraph" w:styleId="NormalWeb">
    <w:name w:val="Normal (Web)"/>
    <w:basedOn w:val="Normal"/>
    <w:rsid w:val="004963F5"/>
    <w:pPr>
      <w:widowControl/>
      <w:spacing w:before="100" w:beforeAutospacing="1" w:after="100" w:afterAutospacing="1"/>
    </w:pPr>
    <w:rPr>
      <w:sz w:val="24"/>
      <w:szCs w:val="24"/>
    </w:rPr>
  </w:style>
  <w:style w:type="paragraph" w:customStyle="1" w:styleId="Bullet1">
    <w:name w:val="Bullet 1"/>
    <w:basedOn w:val="Normal"/>
    <w:rsid w:val="004963F5"/>
    <w:pPr>
      <w:numPr>
        <w:numId w:val="1"/>
      </w:numPr>
    </w:pPr>
  </w:style>
  <w:style w:type="character" w:styleId="PageNumber">
    <w:name w:val="page number"/>
    <w:basedOn w:val="DefaultParagraphFont"/>
    <w:rsid w:val="004963F5"/>
  </w:style>
  <w:style w:type="paragraph" w:styleId="ListBullet">
    <w:name w:val="List Bullet"/>
    <w:basedOn w:val="Normal"/>
    <w:autoRedefine/>
    <w:rsid w:val="004963F5"/>
    <w:pPr>
      <w:widowControl/>
      <w:tabs>
        <w:tab w:val="num" w:pos="360"/>
      </w:tabs>
      <w:spacing w:after="120"/>
      <w:ind w:left="360" w:hanging="360"/>
    </w:pPr>
    <w:rPr>
      <w:sz w:val="24"/>
      <w:szCs w:val="24"/>
    </w:rPr>
  </w:style>
  <w:style w:type="paragraph" w:customStyle="1" w:styleId="tableleft">
    <w:name w:val="table_left"/>
    <w:basedOn w:val="Normal"/>
    <w:rsid w:val="004963F5"/>
    <w:pPr>
      <w:widowControl/>
      <w:spacing w:before="20" w:after="20" w:line="220" w:lineRule="exact"/>
    </w:pPr>
    <w:rPr>
      <w:rFonts w:ascii="Times" w:hAnsi="Times" w:cs="Times"/>
      <w:b/>
      <w:bCs/>
      <w:sz w:val="24"/>
      <w:szCs w:val="24"/>
    </w:rPr>
  </w:style>
  <w:style w:type="paragraph" w:styleId="TOC4">
    <w:name w:val="toc 4"/>
    <w:basedOn w:val="Normal"/>
    <w:next w:val="Normal"/>
    <w:autoRedefine/>
    <w:semiHidden/>
    <w:rsid w:val="004963F5"/>
    <w:pPr>
      <w:widowControl/>
      <w:ind w:left="720"/>
      <w:jc w:val="both"/>
    </w:pPr>
    <w:rPr>
      <w:rFonts w:ascii="Arial" w:hAnsi="Arial" w:cs="Arial"/>
      <w:sz w:val="24"/>
      <w:szCs w:val="24"/>
    </w:rPr>
  </w:style>
  <w:style w:type="paragraph" w:customStyle="1" w:styleId="h50">
    <w:name w:val="h5"/>
    <w:basedOn w:val="Normal"/>
    <w:rsid w:val="004963F5"/>
    <w:pPr>
      <w:keepNext/>
      <w:widowControl/>
      <w:snapToGrid w:val="0"/>
      <w:spacing w:before="100" w:after="100"/>
    </w:pPr>
    <w:rPr>
      <w:b/>
      <w:bCs/>
    </w:rPr>
  </w:style>
  <w:style w:type="table" w:styleId="TableGrid">
    <w:name w:val="Table Grid"/>
    <w:basedOn w:val="TableNormal"/>
    <w:rsid w:val="004667CF"/>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ecklist">
    <w:name w:val="Checklist"/>
    <w:basedOn w:val="Normal"/>
    <w:rsid w:val="002D4221"/>
    <w:pPr>
      <w:widowControl/>
      <w:spacing w:after="120"/>
      <w:ind w:left="360" w:hanging="360"/>
    </w:pPr>
    <w:rPr>
      <w:sz w:val="22"/>
    </w:rPr>
  </w:style>
  <w:style w:type="paragraph" w:styleId="FootnoteText">
    <w:name w:val="footnote text"/>
    <w:basedOn w:val="Normal"/>
    <w:link w:val="FootnoteTextChar"/>
    <w:rsid w:val="00366263"/>
  </w:style>
  <w:style w:type="character" w:customStyle="1" w:styleId="FootnoteTextChar">
    <w:name w:val="Footnote Text Char"/>
    <w:basedOn w:val="DefaultParagraphFont"/>
    <w:link w:val="FootnoteText"/>
    <w:rsid w:val="00366263"/>
    <w:rPr>
      <w:lang w:val="en-US" w:eastAsia="en-US"/>
    </w:rPr>
  </w:style>
  <w:style w:type="character" w:styleId="FootnoteReference">
    <w:name w:val="footnote reference"/>
    <w:basedOn w:val="DefaultParagraphFont"/>
    <w:uiPriority w:val="99"/>
    <w:rsid w:val="00366263"/>
    <w:rPr>
      <w:vertAlign w:val="superscript"/>
    </w:rPr>
  </w:style>
</w:styles>
</file>

<file path=word/webSettings.xml><?xml version="1.0" encoding="utf-8"?>
<w:webSettings xmlns:r="http://schemas.openxmlformats.org/officeDocument/2006/relationships" xmlns:w="http://schemas.openxmlformats.org/wordprocessingml/2006/main">
  <w:divs>
    <w:div w:id="14812478">
      <w:bodyDiv w:val="1"/>
      <w:marLeft w:val="0"/>
      <w:marRight w:val="0"/>
      <w:marTop w:val="0"/>
      <w:marBottom w:val="0"/>
      <w:divBdr>
        <w:top w:val="none" w:sz="0" w:space="0" w:color="auto"/>
        <w:left w:val="none" w:sz="0" w:space="0" w:color="auto"/>
        <w:bottom w:val="none" w:sz="0" w:space="0" w:color="auto"/>
        <w:right w:val="none" w:sz="0" w:space="0" w:color="auto"/>
      </w:divBdr>
    </w:div>
    <w:div w:id="1130705191">
      <w:bodyDiv w:val="1"/>
      <w:marLeft w:val="0"/>
      <w:marRight w:val="0"/>
      <w:marTop w:val="0"/>
      <w:marBottom w:val="0"/>
      <w:divBdr>
        <w:top w:val="none" w:sz="0" w:space="0" w:color="auto"/>
        <w:left w:val="none" w:sz="0" w:space="0" w:color="auto"/>
        <w:bottom w:val="none" w:sz="0" w:space="0" w:color="auto"/>
        <w:right w:val="none" w:sz="0" w:space="0" w:color="auto"/>
      </w:divBdr>
    </w:div>
    <w:div w:id="1159347539">
      <w:bodyDiv w:val="1"/>
      <w:marLeft w:val="0"/>
      <w:marRight w:val="0"/>
      <w:marTop w:val="0"/>
      <w:marBottom w:val="0"/>
      <w:divBdr>
        <w:top w:val="none" w:sz="0" w:space="0" w:color="auto"/>
        <w:left w:val="none" w:sz="0" w:space="0" w:color="auto"/>
        <w:bottom w:val="none" w:sz="0" w:space="0" w:color="auto"/>
        <w:right w:val="none" w:sz="0" w:space="0" w:color="auto"/>
      </w:divBdr>
    </w:div>
    <w:div w:id="1204172557">
      <w:bodyDiv w:val="1"/>
      <w:marLeft w:val="0"/>
      <w:marRight w:val="0"/>
      <w:marTop w:val="0"/>
      <w:marBottom w:val="0"/>
      <w:divBdr>
        <w:top w:val="none" w:sz="0" w:space="0" w:color="auto"/>
        <w:left w:val="none" w:sz="0" w:space="0" w:color="auto"/>
        <w:bottom w:val="none" w:sz="0" w:space="0" w:color="auto"/>
        <w:right w:val="none" w:sz="0" w:space="0" w:color="auto"/>
      </w:divBdr>
    </w:div>
    <w:div w:id="1822648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477</Words>
  <Characters>2673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This Schedule specifies the Change Control Procedure:</vt:lpstr>
    </vt:vector>
  </TitlesOfParts>
  <Company>Pangaea Systems Inc.</Company>
  <LinksUpToDate>false</LinksUpToDate>
  <CharactersWithSpaces>3144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Schedule specifies the Change Control Procedure:</dc:title>
  <dc:creator>Tony Dellaviola</dc:creator>
  <cp:lastModifiedBy>Allan Powelson</cp:lastModifiedBy>
  <cp:revision>3</cp:revision>
  <cp:lastPrinted>2010-08-26T18:42:00Z</cp:lastPrinted>
  <dcterms:created xsi:type="dcterms:W3CDTF">2010-08-26T18:41:00Z</dcterms:created>
  <dcterms:modified xsi:type="dcterms:W3CDTF">2010-08-26T18:54:00Z</dcterms:modified>
</cp:coreProperties>
</file>