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85B" w:rsidRPr="00C16644" w:rsidRDefault="0077085B" w:rsidP="0077085B">
      <w:pPr>
        <w:jc w:val="center"/>
        <w:rPr>
          <w:rFonts w:ascii="Calibri" w:hAnsi="Calibri" w:cs="Calibri"/>
        </w:rPr>
      </w:pPr>
      <w:r w:rsidRPr="00C16644">
        <w:rPr>
          <w:rFonts w:ascii="Calibri" w:hAnsi="Calibri" w:cs="Calibri"/>
        </w:rPr>
        <w:t>FFESC Executive Summary2010</w:t>
      </w:r>
    </w:p>
    <w:p w:rsidR="0077085B" w:rsidRPr="00C16644" w:rsidRDefault="0077085B" w:rsidP="0077085B">
      <w:pPr>
        <w:jc w:val="center"/>
        <w:rPr>
          <w:rFonts w:ascii="Calibri" w:hAnsi="Calibri" w:cs="Calibri"/>
        </w:rPr>
      </w:pPr>
      <w:r w:rsidRPr="00C16644">
        <w:rPr>
          <w:rFonts w:ascii="Calibri" w:hAnsi="Calibri" w:cs="Calibri"/>
        </w:rPr>
        <w:t>Project No. 003_Chan-McLeod</w:t>
      </w:r>
    </w:p>
    <w:p w:rsidR="0077085B" w:rsidRPr="00C16644" w:rsidRDefault="0077085B" w:rsidP="0077085B">
      <w:pPr>
        <w:jc w:val="center"/>
        <w:rPr>
          <w:rFonts w:ascii="Calibri" w:hAnsi="Calibri" w:cs="Calibri"/>
        </w:rPr>
      </w:pPr>
      <w:r w:rsidRPr="00C16644">
        <w:rPr>
          <w:rFonts w:ascii="Calibri" w:hAnsi="Calibri" w:cs="Calibri"/>
        </w:rPr>
        <w:t>Integrating climate cha</w:t>
      </w:r>
      <w:r w:rsidR="00B3705D">
        <w:rPr>
          <w:rFonts w:ascii="Calibri" w:hAnsi="Calibri" w:cs="Calibri"/>
        </w:rPr>
        <w:t>nge adaptation strategies with ecological</w:t>
      </w:r>
      <w:bookmarkStart w:id="0" w:name="_GoBack"/>
      <w:bookmarkEnd w:id="0"/>
      <w:r w:rsidRPr="00C16644">
        <w:rPr>
          <w:rFonts w:ascii="Calibri" w:hAnsi="Calibri" w:cs="Calibri"/>
        </w:rPr>
        <w:t xml:space="preserve"> </w:t>
      </w:r>
    </w:p>
    <w:p w:rsidR="0077085B" w:rsidRPr="00C16644" w:rsidRDefault="0077085B" w:rsidP="0077085B">
      <w:pPr>
        <w:jc w:val="center"/>
        <w:rPr>
          <w:rFonts w:ascii="Calibri" w:hAnsi="Calibri" w:cs="Calibri"/>
        </w:rPr>
      </w:pPr>
      <w:r w:rsidRPr="00C16644">
        <w:rPr>
          <w:rFonts w:ascii="Calibri" w:hAnsi="Calibri" w:cs="Calibri"/>
        </w:rPr>
        <w:t>and socioeconomic objectives for the Quesnel Timber Supply Area</w:t>
      </w:r>
    </w:p>
    <w:p w:rsidR="0077085B" w:rsidRPr="00F50504" w:rsidRDefault="0077085B" w:rsidP="0077085B">
      <w:pPr>
        <w:pStyle w:val="Heading1"/>
      </w:pPr>
      <w:r w:rsidRPr="00F50504">
        <w:t>Research process:</w:t>
      </w:r>
    </w:p>
    <w:p w:rsidR="0077085B" w:rsidRPr="00F50504" w:rsidRDefault="0077085B" w:rsidP="0077085B">
      <w:pPr>
        <w:spacing w:before="100" w:beforeAutospacing="1" w:after="120"/>
        <w:rPr>
          <w:rFonts w:ascii="Calibri" w:hAnsi="Calibri" w:cs="Calibri"/>
        </w:rPr>
      </w:pPr>
      <w:r>
        <w:rPr>
          <w:rFonts w:ascii="Calibri" w:hAnsi="Calibri" w:cs="Calibri"/>
        </w:rPr>
        <w:t xml:space="preserve">Please refer to the Technical Report for the </w:t>
      </w:r>
      <w:r w:rsidRPr="00F50504">
        <w:rPr>
          <w:rFonts w:ascii="Calibri" w:hAnsi="Calibri" w:cs="Calibri"/>
        </w:rPr>
        <w:t>objectives, appro</w:t>
      </w:r>
      <w:r>
        <w:rPr>
          <w:rFonts w:ascii="Calibri" w:hAnsi="Calibri" w:cs="Calibri"/>
        </w:rPr>
        <w:t>ach and methods employed in this project</w:t>
      </w:r>
      <w:r w:rsidRPr="00F50504">
        <w:rPr>
          <w:rFonts w:ascii="Calibri" w:hAnsi="Calibri" w:cs="Calibri"/>
        </w:rPr>
        <w:t>.</w:t>
      </w:r>
      <w:r>
        <w:rPr>
          <w:rFonts w:ascii="Calibri" w:hAnsi="Calibri" w:cs="Calibri"/>
        </w:rPr>
        <w:t xml:space="preserve"> </w:t>
      </w:r>
    </w:p>
    <w:p w:rsidR="0077085B" w:rsidRDefault="0077085B" w:rsidP="0077085B">
      <w:pPr>
        <w:pStyle w:val="Heading1"/>
        <w:spacing w:before="100" w:beforeAutospacing="1" w:after="120"/>
      </w:pPr>
      <w:r w:rsidRPr="00F50504">
        <w:t xml:space="preserve">Collaboration: </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 xml:space="preserve">We collaborated with or benefited from the expertise of additional researchers or groups that were not named in our original proposal, including </w:t>
      </w:r>
      <w:bookmarkStart w:id="1" w:name="OLE_LINK1"/>
      <w:r w:rsidRPr="00DF07C3">
        <w:rPr>
          <w:rFonts w:asciiTheme="minorHAnsi" w:hAnsiTheme="minorHAnsi" w:cstheme="minorHAnsi"/>
        </w:rPr>
        <w:t>Craig DeLong (MOF), Ian Moss (Tesera Systems), Wildlife Infometrics, G. Nienaber (MOF), E. Campbell and Shirley Mah (MOF), D. Spittlehouse and S. Murdock (PICS)</w:t>
      </w:r>
      <w:bookmarkEnd w:id="1"/>
      <w:r w:rsidRPr="00DF07C3">
        <w:rPr>
          <w:rFonts w:asciiTheme="minorHAnsi" w:hAnsiTheme="minorHAnsi" w:cstheme="minorHAnsi"/>
        </w:rPr>
        <w:t xml:space="preserve">.Our collaborations with clients, partners, and other research teams took several forms, including </w:t>
      </w:r>
    </w:p>
    <w:p w:rsidR="0077085B" w:rsidRPr="00DF07C3" w:rsidRDefault="0077085B" w:rsidP="0077085B">
      <w:pPr>
        <w:ind w:left="720"/>
        <w:rPr>
          <w:rFonts w:asciiTheme="minorHAnsi" w:hAnsiTheme="minorHAnsi" w:cstheme="minorHAnsi"/>
        </w:rPr>
      </w:pPr>
      <w:r w:rsidRPr="00DF07C3">
        <w:rPr>
          <w:rFonts w:asciiTheme="minorHAnsi" w:hAnsiTheme="minorHAnsi" w:cstheme="minorHAnsi"/>
        </w:rPr>
        <w:t xml:space="preserve">1) soliciting input and feedback on project goals and approaches (e.g., identifying parameters of particular management interest; tree species selection for regeneration under projected climate change scenarios);, </w:t>
      </w:r>
    </w:p>
    <w:p w:rsidR="0077085B" w:rsidRPr="00DF07C3" w:rsidRDefault="0077085B" w:rsidP="0077085B">
      <w:pPr>
        <w:ind w:left="720"/>
        <w:rPr>
          <w:rFonts w:asciiTheme="minorHAnsi" w:hAnsiTheme="minorHAnsi" w:cstheme="minorHAnsi"/>
        </w:rPr>
      </w:pPr>
      <w:r w:rsidRPr="00DF07C3">
        <w:rPr>
          <w:rFonts w:asciiTheme="minorHAnsi" w:hAnsiTheme="minorHAnsi" w:cstheme="minorHAnsi"/>
        </w:rPr>
        <w:t xml:space="preserve">2) exchanging data or study findings (e.g., structural attribute trajectories; merchantable volumes; animal ecology); </w:t>
      </w:r>
    </w:p>
    <w:p w:rsidR="0077085B" w:rsidRPr="00DF07C3" w:rsidRDefault="0077085B" w:rsidP="0077085B">
      <w:pPr>
        <w:ind w:left="720"/>
        <w:rPr>
          <w:rFonts w:asciiTheme="minorHAnsi" w:hAnsiTheme="minorHAnsi" w:cstheme="minorHAnsi"/>
        </w:rPr>
      </w:pPr>
      <w:r w:rsidRPr="00DF07C3">
        <w:rPr>
          <w:rFonts w:asciiTheme="minorHAnsi" w:hAnsiTheme="minorHAnsi" w:cstheme="minorHAnsi"/>
        </w:rPr>
        <w:t xml:space="preserve">3) using tools and techniques developed by others; (e.g., using the tree and climate assessment tool to assess soil moisture and then applying approach of the DeLong team to interpret findings); </w:t>
      </w:r>
    </w:p>
    <w:p w:rsidR="0077085B" w:rsidRPr="00DF07C3" w:rsidRDefault="0077085B" w:rsidP="0077085B">
      <w:pPr>
        <w:ind w:left="720"/>
        <w:rPr>
          <w:rFonts w:asciiTheme="minorHAnsi" w:hAnsiTheme="minorHAnsi" w:cstheme="minorHAnsi"/>
        </w:rPr>
      </w:pPr>
      <w:r w:rsidRPr="00DF07C3">
        <w:rPr>
          <w:rFonts w:asciiTheme="minorHAnsi" w:hAnsiTheme="minorHAnsi" w:cstheme="minorHAnsi"/>
        </w:rPr>
        <w:t>4) applying and integrating recommendations from other studies or from current management practices (e.g., adopting assumptions from the latest provincial timber supply review (TSR4); using baseline harvest management scenarios consistent with the MOF; using the GCM scenarios recommended by the Spittlehouse team).</w:t>
      </w:r>
    </w:p>
    <w:p w:rsidR="0077085B" w:rsidRPr="0077085B" w:rsidRDefault="0077085B" w:rsidP="0077085B">
      <w:pPr>
        <w:pStyle w:val="Heading1"/>
      </w:pPr>
      <w:r w:rsidRPr="0077085B">
        <w:rPr>
          <w:rStyle w:val="Heading1Char"/>
          <w:b/>
          <w:bCs/>
        </w:rPr>
        <w:t>Communication:</w:t>
      </w:r>
      <w:r w:rsidRPr="0077085B">
        <w:t xml:space="preserve"> </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 xml:space="preserve">Our communication activities while the project was ongoing had 4 major components: team teleconferences, group meetings and communications, collaboration activities with outside partners, and research activities conducted by team members, either individually or as a group.  Team teleconferences were used to: set directions; clarify and monitor individual roles, tasks, and timelines; identify potential problems and collaborations; discuss approaches and methodologies; information transfer; and identify and address partner needs. Teleconferences involving all or nearly all team members and partners were conducted 3 times in 2010-2011 and once in 2011-2012.  Group meet-ups and teleconferences between 2 or more team </w:t>
      </w:r>
      <w:r w:rsidRPr="00DF07C3">
        <w:rPr>
          <w:rFonts w:asciiTheme="minorHAnsi" w:hAnsiTheme="minorHAnsi" w:cstheme="minorHAnsi"/>
        </w:rPr>
        <w:lastRenderedPageBreak/>
        <w:t xml:space="preserve">members occurred on a more frequent, as needed basis, to work on specific tasks and issues.  The potential for collaboration with outside groups was generally explored in webinars or teleconferences, then followed up with meetings, emails, and phone calls when promising.  </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 xml:space="preserve">Now that the project is finished, our findings will be communicated through the project website, conference or workshop presentations, and via our client representation (P. Winkle) in client forums.  </w:t>
      </w:r>
    </w:p>
    <w:p w:rsidR="0077085B" w:rsidRPr="00DF07C3" w:rsidRDefault="0077085B" w:rsidP="0077085B">
      <w:pPr>
        <w:pStyle w:val="Heading1"/>
        <w:spacing w:before="100" w:beforeAutospacing="1" w:after="120"/>
        <w:rPr>
          <w:rFonts w:asciiTheme="minorHAnsi" w:hAnsiTheme="minorHAnsi" w:cstheme="minorHAnsi"/>
        </w:rPr>
      </w:pPr>
      <w:r w:rsidRPr="00DF07C3">
        <w:rPr>
          <w:rFonts w:asciiTheme="minorHAnsi" w:hAnsiTheme="minorHAnsi" w:cstheme="minorHAnsi"/>
        </w:rPr>
        <w:t>Research outcomes:</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Please refer to the technical report and project website (</w:t>
      </w:r>
      <w:hyperlink r:id="rId6" w:history="1">
        <w:r w:rsidRPr="00DF07C3">
          <w:rPr>
            <w:rStyle w:val="Hyperlink"/>
            <w:rFonts w:asciiTheme="minorHAnsi" w:hAnsiTheme="minorHAnsi" w:cstheme="minorHAnsi"/>
          </w:rPr>
          <w:t>http://biod.forestry.ubc.ca/climatechange/</w:t>
        </w:r>
      </w:hyperlink>
      <w:r w:rsidRPr="00DF07C3">
        <w:rPr>
          <w:rFonts w:asciiTheme="minorHAnsi" w:hAnsiTheme="minorHAnsi" w:cstheme="minorHAnsi"/>
        </w:rPr>
        <w:t>) for additional details on research outcomes.</w:t>
      </w:r>
    </w:p>
    <w:p w:rsidR="0077085B" w:rsidRDefault="0077085B" w:rsidP="0077085B">
      <w:pPr>
        <w:rPr>
          <w:rFonts w:asciiTheme="minorHAnsi" w:hAnsiTheme="minorHAnsi" w:cstheme="minorHAnsi"/>
        </w:rPr>
      </w:pPr>
    </w:p>
    <w:p w:rsidR="00F77797" w:rsidRDefault="0077085B" w:rsidP="0077085B">
      <w:pPr>
        <w:rPr>
          <w:rFonts w:asciiTheme="minorHAnsi" w:hAnsiTheme="minorHAnsi" w:cstheme="minorHAnsi"/>
          <w:bCs/>
        </w:rPr>
      </w:pPr>
      <w:r w:rsidRPr="00DF07C3">
        <w:rPr>
          <w:rFonts w:asciiTheme="minorHAnsi" w:hAnsiTheme="minorHAnsi" w:cstheme="minorHAnsi"/>
        </w:rPr>
        <w:t xml:space="preserve">In brief, we developed decision support tools that integrate climate change scenarios and climate change impacts with regional short and long-term objectives of maximizing wildlife habitat values and the timber habitat supply.  We conducted a case study for the Quesnel TSA, that forecasted ecological (habitat and abundance of Swainson’s Thrush and Red-breasted Nuthatch) and socioeconomic (harvested volume, merchantable standing stock) parameters over 10, 40, and 70 year horizons.  We also compared the relative importance </w:t>
      </w:r>
      <w:r w:rsidRPr="00DF07C3">
        <w:rPr>
          <w:rFonts w:asciiTheme="minorHAnsi" w:hAnsiTheme="minorHAnsi" w:cstheme="minorHAnsi"/>
          <w:bCs/>
        </w:rPr>
        <w:t>of direct climate change effects, indirect climate change effects, MPB risk factor, silvicultural regime, and</w:t>
      </w:r>
      <w:r>
        <w:rPr>
          <w:rFonts w:asciiTheme="minorHAnsi" w:hAnsiTheme="minorHAnsi" w:cstheme="minorHAnsi"/>
          <w:bCs/>
        </w:rPr>
        <w:t xml:space="preserve"> maladapted volume losses on these parameters.</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 xml:space="preserve">Our case study indicated that conservation of wildlife habitat values in the 2050 time horizon will be best achieved by reducing the MPB risk factor.  In the 2080 time horizon, conservation of </w:t>
      </w:r>
      <w:r w:rsidR="007703A9">
        <w:rPr>
          <w:rFonts w:asciiTheme="minorHAnsi" w:hAnsiTheme="minorHAnsi" w:cstheme="minorHAnsi"/>
        </w:rPr>
        <w:lastRenderedPageBreak/>
        <w:t xml:space="preserve">Swainson’s Thrush and Red-breasted Nuthatch </w:t>
      </w:r>
      <w:r w:rsidRPr="00DF07C3">
        <w:rPr>
          <w:rFonts w:asciiTheme="minorHAnsi" w:hAnsiTheme="minorHAnsi" w:cstheme="minorHAnsi"/>
        </w:rPr>
        <w:t xml:space="preserve">habitat values will be best achieved by having a climate change adaptation silviculture strategy in place, especially if this also helps to reduce vulnerability to MPB infestation.  The inevitable steep declines in habitat values in the 2050 time horizon will be partially countered by sometimes favourable direct effects of changing climates on wildlife populations.  Long term projections of population size varied greatly depending on model assumptions and uncertainties, but an adaptation </w:t>
      </w:r>
      <w:r w:rsidR="007703A9">
        <w:rPr>
          <w:rFonts w:asciiTheme="minorHAnsi" w:hAnsiTheme="minorHAnsi" w:cstheme="minorHAnsi"/>
        </w:rPr>
        <w:t>silvicultural strategy shifted Red-breasted N</w:t>
      </w:r>
      <w:r w:rsidRPr="00DF07C3">
        <w:rPr>
          <w:rFonts w:asciiTheme="minorHAnsi" w:hAnsiTheme="minorHAnsi" w:cstheme="minorHAnsi"/>
        </w:rPr>
        <w:t xml:space="preserve">uthatch populations to a positive status despite highly unfavourable conditions in all other factors.  In terms of socioeconomic indicators, a climate change adaptation silviculture strategy maximized both the growing stock and the harvested volume in the 2050 and 2080 time horizons. In contrast, neither the MPB risk factor nor the loss in volume associated with maladapted trees had much impact on the growing stock for the 2050 and 2080 time horizons. In the middle term when growing stocks were at their lowest, a climate change adaptation policy was the only factor allowing the harvested volume to approach the target AAC, regardless of uncertainties in GCM scenario, MPB risk factor, and losses associated with maladapted stands. </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 xml:space="preserve">Thus, a climate change adaptation strategy that aligns tree species regeneration with projected shifts in biogeoclimatic zones can mitigate impending fall downs in ecological and socioeconomic values resulting from the beetle epidemic.  An adaptation-based regeneration regime should be especially effective in mitigating long term declines in </w:t>
      </w:r>
      <w:r w:rsidR="007703A9">
        <w:rPr>
          <w:rFonts w:asciiTheme="minorHAnsi" w:hAnsiTheme="minorHAnsi" w:cstheme="minorHAnsi"/>
        </w:rPr>
        <w:t xml:space="preserve">Swainson’s Thrush and Red-breasted Nuthatch </w:t>
      </w:r>
      <w:r w:rsidRPr="00DF07C3">
        <w:rPr>
          <w:rFonts w:asciiTheme="minorHAnsi" w:hAnsiTheme="minorHAnsi" w:cstheme="minorHAnsi"/>
        </w:rPr>
        <w:t xml:space="preserve">values as well as mid- and long term declines in both harvested volume and volume of standing merchantable timber.  Because there appears to be heavy costs associated with not choosing an adaptation-based silvicultural strategy, and because an adaptation-based tree species selection regime is compatible for all ecological and socioeconomic values evaluated in this research, regardless of modeling uncertainties, we strongly recommend that forest managers </w:t>
      </w:r>
      <w:r w:rsidR="007703A9">
        <w:rPr>
          <w:rFonts w:asciiTheme="minorHAnsi" w:hAnsiTheme="minorHAnsi" w:cstheme="minorHAnsi"/>
        </w:rPr>
        <w:t>consider integrating</w:t>
      </w:r>
      <w:r w:rsidRPr="00DF07C3">
        <w:rPr>
          <w:rFonts w:asciiTheme="minorHAnsi" w:hAnsiTheme="minorHAnsi" w:cstheme="minorHAnsi"/>
        </w:rPr>
        <w:t xml:space="preserve"> an adaptive tree species selection protocol in the immediate future.  </w:t>
      </w:r>
    </w:p>
    <w:p w:rsidR="0077085B" w:rsidRPr="00DF07C3" w:rsidRDefault="0077085B" w:rsidP="0077085B">
      <w:pPr>
        <w:pStyle w:val="Heading1"/>
        <w:spacing w:before="100" w:beforeAutospacing="1" w:after="120"/>
        <w:rPr>
          <w:rFonts w:asciiTheme="minorHAnsi" w:hAnsiTheme="minorHAnsi" w:cstheme="minorHAnsi"/>
        </w:rPr>
      </w:pPr>
      <w:r w:rsidRPr="00DF07C3">
        <w:rPr>
          <w:rFonts w:asciiTheme="minorHAnsi" w:hAnsiTheme="minorHAnsi" w:cstheme="minorHAnsi"/>
        </w:rPr>
        <w:t>Recommendations:</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 xml:space="preserve">Knowledge users include the Quesnel TSA Mitigation Committee, the Williams Lake TSA, managers or researchers interested in information and databases on the Quesnel TSA, and forest managers from other jurisdictions who are interested in an approach for integrating climate change adaptation with ecological and socioeconomic objectives.   </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 xml:space="preserve">In particular, forest managers and decision-makers for the Quesnel TSA can use our outcomes to assist their decision-making and legislation in 3 ways:  a) understand and consider our recommendations for integrating climate change adaptation; b) examine our case study results and compare the explicit ecological and socioeconomic consequences of adopting a silvicultural regime based on climate change adaptation, or continuing with a conventional silvicultural regime that ignores projected climate change scenarios; c) change the input values in the Bayesian decision support tools and use it to ‘game’ and evaluate the impacts of uncertainties </w:t>
      </w:r>
      <w:r w:rsidRPr="00DF07C3">
        <w:rPr>
          <w:rFonts w:asciiTheme="minorHAnsi" w:hAnsiTheme="minorHAnsi" w:cstheme="minorHAnsi"/>
        </w:rPr>
        <w:lastRenderedPageBreak/>
        <w:t xml:space="preserve">in GCM scenarios, the MPB risk factor or infestation rate, the time horizon, uncertainties in climate-change induced stand mortality, or landscape-level compositions of forestry parameters (e.g., age class structure) on ecological and socio-economic values.  </w:t>
      </w:r>
      <w:r>
        <w:rPr>
          <w:rFonts w:asciiTheme="minorHAnsi" w:hAnsiTheme="minorHAnsi" w:cstheme="minorHAnsi"/>
        </w:rPr>
        <w:t xml:space="preserve">Users of our Bayesian models require a working copy of the Netica software to run the models, but do not need any expertise of the software as the models are point and click.  </w:t>
      </w:r>
      <w:r w:rsidRPr="00DF07C3">
        <w:rPr>
          <w:rFonts w:asciiTheme="minorHAnsi" w:hAnsiTheme="minorHAnsi" w:cstheme="minorHAnsi"/>
        </w:rPr>
        <w:t xml:space="preserve">Likewise, forest managers from the Williams Lake TSA can input their regional landscape-level data into the Bayesian models for similar applications – even though modeled relationships were based on data from Quesnel, they should approximate those in </w:t>
      </w:r>
      <w:r w:rsidRPr="00DF07C3">
        <w:rPr>
          <w:rFonts w:asciiTheme="minorHAnsi" w:hAnsiTheme="minorHAnsi" w:cstheme="minorHAnsi"/>
          <w:lang w:val="en-CA"/>
        </w:rPr>
        <w:t>neighbouring</w:t>
      </w:r>
      <w:r w:rsidRPr="00DF07C3">
        <w:rPr>
          <w:rFonts w:asciiTheme="minorHAnsi" w:hAnsiTheme="minorHAnsi" w:cstheme="minorHAnsi"/>
        </w:rPr>
        <w:t xml:space="preserve"> jurisdictions with similar ecosystems.  Forest managers and researchers working in the Quesnel TSA can use our maps of future BEC and drought stress projections for their own applications.  Finally, </w:t>
      </w:r>
      <w:r>
        <w:rPr>
          <w:rFonts w:asciiTheme="minorHAnsi" w:hAnsiTheme="minorHAnsi" w:cstheme="minorHAnsi"/>
        </w:rPr>
        <w:t>researchers and resource managers from other jurisdictions can</w:t>
      </w:r>
      <w:r w:rsidRPr="00DF07C3">
        <w:rPr>
          <w:rFonts w:asciiTheme="minorHAnsi" w:hAnsiTheme="minorHAnsi" w:cstheme="minorHAnsi"/>
        </w:rPr>
        <w:t xml:space="preserve"> follow the approach used in this study to develop a climate change adaptation strategy that is integrated with regional ecological and socioeconomic objectives.</w:t>
      </w:r>
    </w:p>
    <w:p w:rsidR="0077085B" w:rsidRPr="00DF07C3" w:rsidRDefault="0077085B" w:rsidP="0077085B">
      <w:pPr>
        <w:pStyle w:val="Heading1"/>
        <w:spacing w:before="100" w:beforeAutospacing="1" w:after="120"/>
        <w:rPr>
          <w:rFonts w:asciiTheme="minorHAnsi" w:hAnsiTheme="minorHAnsi" w:cstheme="minorHAnsi"/>
        </w:rPr>
      </w:pPr>
      <w:r w:rsidRPr="00DF07C3">
        <w:rPr>
          <w:rFonts w:asciiTheme="minorHAnsi" w:hAnsiTheme="minorHAnsi" w:cstheme="minorHAnsi"/>
        </w:rPr>
        <w:t xml:space="preserve">Extension of research outcomes: </w:t>
      </w:r>
    </w:p>
    <w:p w:rsidR="0077085B" w:rsidRPr="00DF07C3" w:rsidRDefault="0077085B" w:rsidP="0077085B">
      <w:pPr>
        <w:spacing w:before="100" w:beforeAutospacing="1" w:after="120"/>
        <w:rPr>
          <w:rFonts w:asciiTheme="minorHAnsi" w:hAnsiTheme="minorHAnsi" w:cstheme="minorHAnsi"/>
        </w:rPr>
      </w:pPr>
      <w:r w:rsidRPr="00DF07C3">
        <w:rPr>
          <w:rFonts w:asciiTheme="minorHAnsi" w:hAnsiTheme="minorHAnsi" w:cstheme="minorHAnsi"/>
        </w:rPr>
        <w:t>Extension of research outcomes will happen more broadly now that the project has been completed, and will include the FFESC conference, additional workshop or conference presentations, manuscript preparation and submission, the project website, and through our client liaison, Phil Winkle.</w:t>
      </w:r>
    </w:p>
    <w:p w:rsidR="0077085B" w:rsidRDefault="0077085B" w:rsidP="0077085B"/>
    <w:sectPr w:rsidR="0077085B" w:rsidSect="00ED3D80">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562" w:rsidRDefault="00E40562" w:rsidP="007703A9">
      <w:r>
        <w:separator/>
      </w:r>
    </w:p>
  </w:endnote>
  <w:endnote w:type="continuationSeparator" w:id="0">
    <w:p w:rsidR="00E40562" w:rsidRDefault="00E40562" w:rsidP="007703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843855"/>
      <w:docPartObj>
        <w:docPartGallery w:val="Page Numbers (Bottom of Page)"/>
        <w:docPartUnique/>
      </w:docPartObj>
    </w:sdtPr>
    <w:sdtEndPr>
      <w:rPr>
        <w:noProof/>
      </w:rPr>
    </w:sdtEndPr>
    <w:sdtContent>
      <w:p w:rsidR="007703A9" w:rsidRDefault="00ED3D80">
        <w:pPr>
          <w:pStyle w:val="Footer"/>
          <w:jc w:val="right"/>
        </w:pPr>
        <w:r>
          <w:fldChar w:fldCharType="begin"/>
        </w:r>
        <w:r w:rsidR="007703A9">
          <w:instrText xml:space="preserve"> PAGE   \* MERGEFORMAT </w:instrText>
        </w:r>
        <w:r>
          <w:fldChar w:fldCharType="separate"/>
        </w:r>
        <w:r w:rsidR="004B1BEC">
          <w:rPr>
            <w:noProof/>
          </w:rPr>
          <w:t>3</w:t>
        </w:r>
        <w:r>
          <w:rPr>
            <w:noProof/>
          </w:rPr>
          <w:fldChar w:fldCharType="end"/>
        </w:r>
      </w:p>
    </w:sdtContent>
  </w:sdt>
  <w:p w:rsidR="007703A9" w:rsidRDefault="007703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562" w:rsidRDefault="00E40562" w:rsidP="007703A9">
      <w:r>
        <w:separator/>
      </w:r>
    </w:p>
  </w:footnote>
  <w:footnote w:type="continuationSeparator" w:id="0">
    <w:p w:rsidR="00E40562" w:rsidRDefault="00E40562" w:rsidP="007703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7085B"/>
    <w:rsid w:val="004B1BEC"/>
    <w:rsid w:val="007703A9"/>
    <w:rsid w:val="0077085B"/>
    <w:rsid w:val="008C7883"/>
    <w:rsid w:val="00B3705D"/>
    <w:rsid w:val="00BD271D"/>
    <w:rsid w:val="00E40562"/>
    <w:rsid w:val="00ED3D80"/>
    <w:rsid w:val="00F777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85B"/>
    <w:rPr>
      <w:rFonts w:eastAsia="Calibri" w:cs="Times New Roman"/>
      <w:szCs w:val="24"/>
    </w:rPr>
  </w:style>
  <w:style w:type="paragraph" w:styleId="Heading1">
    <w:name w:val="heading 1"/>
    <w:basedOn w:val="Normal"/>
    <w:next w:val="Normal"/>
    <w:link w:val="Heading1Char"/>
    <w:uiPriority w:val="9"/>
    <w:qFormat/>
    <w:rsid w:val="0077085B"/>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85B"/>
    <w:rPr>
      <w:rFonts w:ascii="Cambria" w:eastAsia="Times New Roman" w:hAnsi="Cambria" w:cs="Times New Roman"/>
      <w:b/>
      <w:bCs/>
      <w:color w:val="365F91"/>
      <w:sz w:val="28"/>
      <w:szCs w:val="28"/>
    </w:rPr>
  </w:style>
  <w:style w:type="character" w:styleId="Hyperlink">
    <w:name w:val="Hyperlink"/>
    <w:basedOn w:val="DefaultParagraphFont"/>
    <w:uiPriority w:val="99"/>
    <w:unhideWhenUsed/>
    <w:rsid w:val="0077085B"/>
    <w:rPr>
      <w:color w:val="0000FF" w:themeColor="hyperlink"/>
      <w:u w:val="single"/>
    </w:rPr>
  </w:style>
  <w:style w:type="paragraph" w:styleId="Header">
    <w:name w:val="header"/>
    <w:basedOn w:val="Normal"/>
    <w:link w:val="HeaderChar"/>
    <w:uiPriority w:val="99"/>
    <w:unhideWhenUsed/>
    <w:rsid w:val="007703A9"/>
    <w:pPr>
      <w:tabs>
        <w:tab w:val="center" w:pos="4680"/>
        <w:tab w:val="right" w:pos="9360"/>
      </w:tabs>
    </w:pPr>
  </w:style>
  <w:style w:type="character" w:customStyle="1" w:styleId="HeaderChar">
    <w:name w:val="Header Char"/>
    <w:basedOn w:val="DefaultParagraphFont"/>
    <w:link w:val="Header"/>
    <w:uiPriority w:val="99"/>
    <w:rsid w:val="007703A9"/>
    <w:rPr>
      <w:rFonts w:eastAsia="Calibri" w:cs="Times New Roman"/>
      <w:szCs w:val="24"/>
    </w:rPr>
  </w:style>
  <w:style w:type="paragraph" w:styleId="Footer">
    <w:name w:val="footer"/>
    <w:basedOn w:val="Normal"/>
    <w:link w:val="FooterChar"/>
    <w:uiPriority w:val="99"/>
    <w:unhideWhenUsed/>
    <w:rsid w:val="007703A9"/>
    <w:pPr>
      <w:tabs>
        <w:tab w:val="center" w:pos="4680"/>
        <w:tab w:val="right" w:pos="9360"/>
      </w:tabs>
    </w:pPr>
  </w:style>
  <w:style w:type="character" w:customStyle="1" w:styleId="FooterChar">
    <w:name w:val="Footer Char"/>
    <w:basedOn w:val="DefaultParagraphFont"/>
    <w:link w:val="Footer"/>
    <w:uiPriority w:val="99"/>
    <w:rsid w:val="007703A9"/>
    <w:rPr>
      <w:rFonts w:eastAsia="Calibri" w:cs="Times New Roman"/>
      <w:szCs w:val="24"/>
    </w:rPr>
  </w:style>
  <w:style w:type="paragraph" w:styleId="BalloonText">
    <w:name w:val="Balloon Text"/>
    <w:basedOn w:val="Normal"/>
    <w:link w:val="BalloonTextChar"/>
    <w:uiPriority w:val="99"/>
    <w:semiHidden/>
    <w:unhideWhenUsed/>
    <w:rsid w:val="007703A9"/>
    <w:rPr>
      <w:rFonts w:ascii="Tahoma" w:hAnsi="Tahoma" w:cs="Tahoma"/>
      <w:sz w:val="16"/>
      <w:szCs w:val="16"/>
    </w:rPr>
  </w:style>
  <w:style w:type="character" w:customStyle="1" w:styleId="BalloonTextChar">
    <w:name w:val="Balloon Text Char"/>
    <w:basedOn w:val="DefaultParagraphFont"/>
    <w:link w:val="BalloonText"/>
    <w:uiPriority w:val="99"/>
    <w:semiHidden/>
    <w:rsid w:val="007703A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85B"/>
    <w:rPr>
      <w:rFonts w:eastAsia="Calibri" w:cs="Times New Roman"/>
      <w:szCs w:val="24"/>
    </w:rPr>
  </w:style>
  <w:style w:type="paragraph" w:styleId="Heading1">
    <w:name w:val="heading 1"/>
    <w:basedOn w:val="Normal"/>
    <w:next w:val="Normal"/>
    <w:link w:val="Heading1Char"/>
    <w:uiPriority w:val="9"/>
    <w:qFormat/>
    <w:rsid w:val="0077085B"/>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85B"/>
    <w:rPr>
      <w:rFonts w:ascii="Cambria" w:eastAsia="Times New Roman" w:hAnsi="Cambria" w:cs="Times New Roman"/>
      <w:b/>
      <w:bCs/>
      <w:color w:val="365F91"/>
      <w:sz w:val="28"/>
      <w:szCs w:val="28"/>
    </w:rPr>
  </w:style>
  <w:style w:type="character" w:styleId="Hyperlink">
    <w:name w:val="Hyperlink"/>
    <w:basedOn w:val="DefaultParagraphFont"/>
    <w:uiPriority w:val="99"/>
    <w:unhideWhenUsed/>
    <w:rsid w:val="0077085B"/>
    <w:rPr>
      <w:color w:val="0000FF" w:themeColor="hyperlink"/>
      <w:u w:val="single"/>
    </w:rPr>
  </w:style>
  <w:style w:type="paragraph" w:styleId="Header">
    <w:name w:val="header"/>
    <w:basedOn w:val="Normal"/>
    <w:link w:val="HeaderChar"/>
    <w:uiPriority w:val="99"/>
    <w:unhideWhenUsed/>
    <w:rsid w:val="007703A9"/>
    <w:pPr>
      <w:tabs>
        <w:tab w:val="center" w:pos="4680"/>
        <w:tab w:val="right" w:pos="9360"/>
      </w:tabs>
    </w:pPr>
  </w:style>
  <w:style w:type="character" w:customStyle="1" w:styleId="HeaderChar">
    <w:name w:val="Header Char"/>
    <w:basedOn w:val="DefaultParagraphFont"/>
    <w:link w:val="Header"/>
    <w:uiPriority w:val="99"/>
    <w:rsid w:val="007703A9"/>
    <w:rPr>
      <w:rFonts w:eastAsia="Calibri" w:cs="Times New Roman"/>
      <w:szCs w:val="24"/>
    </w:rPr>
  </w:style>
  <w:style w:type="paragraph" w:styleId="Footer">
    <w:name w:val="footer"/>
    <w:basedOn w:val="Normal"/>
    <w:link w:val="FooterChar"/>
    <w:uiPriority w:val="99"/>
    <w:unhideWhenUsed/>
    <w:rsid w:val="007703A9"/>
    <w:pPr>
      <w:tabs>
        <w:tab w:val="center" w:pos="4680"/>
        <w:tab w:val="right" w:pos="9360"/>
      </w:tabs>
    </w:pPr>
  </w:style>
  <w:style w:type="character" w:customStyle="1" w:styleId="FooterChar">
    <w:name w:val="Footer Char"/>
    <w:basedOn w:val="DefaultParagraphFont"/>
    <w:link w:val="Footer"/>
    <w:uiPriority w:val="99"/>
    <w:rsid w:val="007703A9"/>
    <w:rPr>
      <w:rFonts w:eastAsia="Calibri" w:cs="Times New Roman"/>
      <w:szCs w:val="24"/>
    </w:rPr>
  </w:style>
  <w:style w:type="paragraph" w:styleId="BalloonText">
    <w:name w:val="Balloon Text"/>
    <w:basedOn w:val="Normal"/>
    <w:link w:val="BalloonTextChar"/>
    <w:uiPriority w:val="99"/>
    <w:semiHidden/>
    <w:unhideWhenUsed/>
    <w:rsid w:val="007703A9"/>
    <w:rPr>
      <w:rFonts w:ascii="Tahoma" w:hAnsi="Tahoma" w:cs="Tahoma"/>
      <w:sz w:val="16"/>
      <w:szCs w:val="16"/>
    </w:rPr>
  </w:style>
  <w:style w:type="character" w:customStyle="1" w:styleId="BalloonTextChar">
    <w:name w:val="Balloon Text Char"/>
    <w:basedOn w:val="DefaultParagraphFont"/>
    <w:link w:val="BalloonText"/>
    <w:uiPriority w:val="99"/>
    <w:semiHidden/>
    <w:rsid w:val="007703A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od.forestry.ubc.ca/climatechange/"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1283</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Faculty of Forestry, UBC</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achanmcleod</dc:creator>
  <cp:lastModifiedBy>kweese</cp:lastModifiedBy>
  <cp:revision>3</cp:revision>
  <cp:lastPrinted>2012-07-05T00:13:00Z</cp:lastPrinted>
  <dcterms:created xsi:type="dcterms:W3CDTF">2012-07-13T17:19:00Z</dcterms:created>
  <dcterms:modified xsi:type="dcterms:W3CDTF">2012-07-13T17:19:00Z</dcterms:modified>
</cp:coreProperties>
</file>