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10D4" w:rsidRPr="007505BC" w:rsidRDefault="0029680E" w:rsidP="007505BC">
      <w:pPr>
        <w:pStyle w:val="Title"/>
      </w:pPr>
      <w:r>
        <w:t>20</w:t>
      </w:r>
      <w:r w:rsidR="009977E1">
        <w:t>20</w:t>
      </w:r>
      <w:r>
        <w:t xml:space="preserve"> CRI Program Guide</w:t>
      </w:r>
      <w:r w:rsidR="00D90E46">
        <w:t xml:space="preserve"> – </w:t>
      </w:r>
      <w:r w:rsidR="00747DEA">
        <w:t>Add</w:t>
      </w:r>
      <w:r>
        <w:t>endum</w:t>
      </w:r>
    </w:p>
    <w:p w:rsidR="00A31B47" w:rsidRDefault="00A31B47" w:rsidP="00E20D69">
      <w:pPr>
        <w:pStyle w:val="Heading1"/>
        <w:ind w:left="1800" w:hanging="1800"/>
      </w:pPr>
      <w:bookmarkStart w:id="0" w:name="_Toc529430098"/>
      <w:r>
        <w:t>Additional Notes to the CRI Program Guide</w:t>
      </w:r>
      <w:bookmarkEnd w:id="0"/>
    </w:p>
    <w:p w:rsidR="0011588B" w:rsidRDefault="00365E4D" w:rsidP="0011588B">
      <w:pPr>
        <w:pStyle w:val="ListParagraph"/>
        <w:numPr>
          <w:ilvl w:val="0"/>
          <w:numId w:val="5"/>
        </w:numPr>
      </w:pPr>
      <w:r>
        <w:t xml:space="preserve">The </w:t>
      </w:r>
      <w:r w:rsidR="00B364A7">
        <w:t xml:space="preserve">feature layer description in the </w:t>
      </w:r>
      <w:hyperlink r:id="rId9" w:history="1">
        <w:r w:rsidR="00B364A7" w:rsidRPr="00F538B8">
          <w:rPr>
            <w:rStyle w:val="Hyperlink"/>
          </w:rPr>
          <w:t>CRI Program Guide</w:t>
        </w:r>
      </w:hyperlink>
      <w:r w:rsidR="00B364A7" w:rsidRPr="00F538B8">
        <w:t xml:space="preserve"> on </w:t>
      </w:r>
      <w:r w:rsidR="00B364A7" w:rsidRPr="0011588B">
        <w:rPr>
          <w:b/>
        </w:rPr>
        <w:t>page 2</w:t>
      </w:r>
      <w:r w:rsidR="00D31214">
        <w:rPr>
          <w:b/>
        </w:rPr>
        <w:t>3</w:t>
      </w:r>
      <w:r w:rsidR="00B364A7">
        <w:t xml:space="preserve"> for the </w:t>
      </w:r>
      <w:r>
        <w:t xml:space="preserve">layers </w:t>
      </w:r>
      <w:r w:rsidR="00B364A7" w:rsidRPr="00B364A7">
        <w:t>OP_PROJECT_BOUNDARY</w:t>
      </w:r>
      <w:r w:rsidR="00B364A7">
        <w:t xml:space="preserve"> and </w:t>
      </w:r>
      <w:r w:rsidR="00B364A7" w:rsidRPr="00B364A7">
        <w:t>PRESC_PROJECT_BOUNDARY</w:t>
      </w:r>
      <w:r w:rsidR="00B364A7">
        <w:t xml:space="preserve"> should read</w:t>
      </w:r>
      <w:r w:rsidR="0011588B">
        <w:t>:</w:t>
      </w:r>
    </w:p>
    <w:p w:rsidR="00A31B47" w:rsidRDefault="00B364A7" w:rsidP="0011588B">
      <w:pPr>
        <w:ind w:left="720"/>
      </w:pPr>
      <w:r>
        <w:t>“Single or multi-part dissolved</w:t>
      </w:r>
      <w:r w:rsidR="00241F69">
        <w:t xml:space="preserve"> polygon layer defining the </w:t>
      </w:r>
      <w:r w:rsidR="00241F69" w:rsidRPr="0011588B">
        <w:rPr>
          <w:u w:val="single"/>
        </w:rPr>
        <w:t>net</w:t>
      </w:r>
      <w:r w:rsidR="00241F69">
        <w:t xml:space="preserve"> area under prescription </w:t>
      </w:r>
      <w:r w:rsidR="00241F69" w:rsidRPr="0011588B">
        <w:rPr>
          <w:b/>
          <w:sz w:val="24"/>
          <w:szCs w:val="24"/>
        </w:rPr>
        <w:t>or operation</w:t>
      </w:r>
      <w:r w:rsidR="0011588B" w:rsidRPr="0011588B">
        <w:rPr>
          <w:b/>
          <w:sz w:val="24"/>
          <w:szCs w:val="24"/>
        </w:rPr>
        <w:t>”</w:t>
      </w:r>
      <w:r w:rsidR="00241F69">
        <w:t>.</w:t>
      </w:r>
    </w:p>
    <w:p w:rsidR="0011588B" w:rsidRDefault="0011588B" w:rsidP="0011588B">
      <w:pPr>
        <w:pStyle w:val="ListParagraph"/>
      </w:pPr>
    </w:p>
    <w:p w:rsidR="0011588B" w:rsidRDefault="0011588B" w:rsidP="0011588B">
      <w:pPr>
        <w:pStyle w:val="ListParagraph"/>
        <w:numPr>
          <w:ilvl w:val="0"/>
          <w:numId w:val="5"/>
        </w:numPr>
      </w:pPr>
      <w:r>
        <w:t xml:space="preserve">Where the </w:t>
      </w:r>
      <w:hyperlink r:id="rId10" w:history="1">
        <w:r w:rsidRPr="00F538B8">
          <w:rPr>
            <w:rStyle w:val="Hyperlink"/>
          </w:rPr>
          <w:t>CRI Program Guide</w:t>
        </w:r>
      </w:hyperlink>
      <w:r w:rsidRPr="00F538B8">
        <w:t xml:space="preserve"> on </w:t>
      </w:r>
      <w:r w:rsidRPr="0011588B">
        <w:rPr>
          <w:b/>
        </w:rPr>
        <w:t>page 1</w:t>
      </w:r>
      <w:r w:rsidR="00D31214">
        <w:rPr>
          <w:b/>
        </w:rPr>
        <w:t>8</w:t>
      </w:r>
      <w:r w:rsidR="00E02A96">
        <w:t xml:space="preserve"> refers to Map 2.  </w:t>
      </w:r>
    </w:p>
    <w:p w:rsidR="00241F69" w:rsidRDefault="00E02A96" w:rsidP="0011588B">
      <w:pPr>
        <w:pStyle w:val="ListParagraph"/>
      </w:pPr>
      <w:r w:rsidRPr="0011588B">
        <w:rPr>
          <w:b/>
        </w:rPr>
        <w:t>Fuel Assessment Plots and</w:t>
      </w:r>
      <w:r w:rsidR="00A036F9">
        <w:rPr>
          <w:b/>
        </w:rPr>
        <w:t>/or</w:t>
      </w:r>
      <w:r w:rsidRPr="0011588B">
        <w:rPr>
          <w:b/>
        </w:rPr>
        <w:t xml:space="preserve"> Threat Plots</w:t>
      </w:r>
      <w:r>
        <w:t xml:space="preserve"> should both be labeled by </w:t>
      </w:r>
      <w:r w:rsidRPr="0011588B">
        <w:rPr>
          <w:b/>
        </w:rPr>
        <w:t>plot number</w:t>
      </w:r>
      <w:r>
        <w:t>.</w:t>
      </w:r>
    </w:p>
    <w:p w:rsidR="0011588B" w:rsidRDefault="0011588B" w:rsidP="0011588B">
      <w:pPr>
        <w:pStyle w:val="ListParagraph"/>
      </w:pPr>
    </w:p>
    <w:p w:rsidR="0011588B" w:rsidRDefault="0011588B" w:rsidP="0011588B">
      <w:pPr>
        <w:pStyle w:val="ListParagraph"/>
      </w:pPr>
    </w:p>
    <w:p w:rsidR="00CD6066" w:rsidRDefault="00CD6066" w:rsidP="0011588B">
      <w:pPr>
        <w:pStyle w:val="ListParagraph"/>
        <w:numPr>
          <w:ilvl w:val="0"/>
          <w:numId w:val="5"/>
        </w:numPr>
      </w:pPr>
      <w:r>
        <w:t xml:space="preserve">On </w:t>
      </w:r>
      <w:r w:rsidRPr="00841A47">
        <w:rPr>
          <w:b/>
        </w:rPr>
        <w:t xml:space="preserve">page </w:t>
      </w:r>
      <w:r w:rsidR="00D31214">
        <w:rPr>
          <w:b/>
        </w:rPr>
        <w:t>20</w:t>
      </w:r>
      <w:bookmarkStart w:id="1" w:name="_GoBack"/>
      <w:bookmarkEnd w:id="1"/>
      <w:r w:rsidR="00841A47">
        <w:rPr>
          <w:b/>
        </w:rPr>
        <w:t xml:space="preserve"> </w:t>
      </w:r>
      <w:r w:rsidR="00841A47">
        <w:t xml:space="preserve">of the </w:t>
      </w:r>
      <w:hyperlink r:id="rId11" w:history="1">
        <w:r w:rsidR="00841A47" w:rsidRPr="00F538B8">
          <w:rPr>
            <w:rStyle w:val="Hyperlink"/>
          </w:rPr>
          <w:t>CRI Program Guide</w:t>
        </w:r>
      </w:hyperlink>
      <w:r w:rsidR="00841A47">
        <w:t xml:space="preserve"> </w:t>
      </w:r>
      <w:r>
        <w:t>, in addition to the information about CWPP and Fuel Management Submissions, the following information about Operational and Prescription submission should also be not</w:t>
      </w:r>
      <w:r w:rsidR="0029680E">
        <w:t>ed:</w:t>
      </w:r>
    </w:p>
    <w:p w:rsidR="00CD6066" w:rsidRPr="0029680E" w:rsidRDefault="0029680E" w:rsidP="0029680E">
      <w:pPr>
        <w:spacing w:after="120"/>
        <w:rPr>
          <w:b/>
        </w:rPr>
      </w:pPr>
      <w:r>
        <w:rPr>
          <w:b/>
        </w:rPr>
        <w:t xml:space="preserve">                             </w:t>
      </w:r>
      <w:r w:rsidR="00CD6066" w:rsidRPr="0029680E">
        <w:rPr>
          <w:b/>
        </w:rPr>
        <w:t>Operational</w:t>
      </w:r>
    </w:p>
    <w:p w:rsidR="00CD6066" w:rsidRDefault="00CD6066" w:rsidP="0029680E">
      <w:pPr>
        <w:spacing w:after="120"/>
        <w:ind w:left="1440"/>
      </w:pPr>
      <w:r>
        <w:t xml:space="preserve">One single or multi-part polygon must be submitted for each treatment unit. </w:t>
      </w:r>
    </w:p>
    <w:p w:rsidR="00CD6066" w:rsidRDefault="00CD6066" w:rsidP="0029680E">
      <w:pPr>
        <w:spacing w:after="120"/>
        <w:ind w:left="1440"/>
      </w:pPr>
      <w:r>
        <w:t xml:space="preserve">One single or multi-part polygon must be submitted for each stand treatment type (Distinct stand treatment types may overlap). </w:t>
      </w:r>
    </w:p>
    <w:p w:rsidR="00CD6066" w:rsidRDefault="00CD6066" w:rsidP="0029680E">
      <w:pPr>
        <w:spacing w:after="120"/>
        <w:ind w:left="1440"/>
      </w:pPr>
      <w:r>
        <w:t>One single or multi-part polygon must be submitted for each debris management type (Distinct debris management types may overlap).</w:t>
      </w:r>
    </w:p>
    <w:p w:rsidR="0029680E" w:rsidRPr="0029680E" w:rsidRDefault="00CD6066" w:rsidP="0029680E">
      <w:pPr>
        <w:spacing w:after="120"/>
        <w:ind w:left="1440"/>
        <w:rPr>
          <w:b/>
        </w:rPr>
      </w:pPr>
      <w:r>
        <w:t xml:space="preserve">Project boundary, treatment unit, stand treatment technique, debris management technique </w:t>
      </w:r>
      <w:r w:rsidRPr="005D436B">
        <w:t>and spatial hectares must match the hectares stated on the maps and in the final report</w:t>
      </w:r>
    </w:p>
    <w:p w:rsidR="00CD6066" w:rsidRPr="0029680E" w:rsidRDefault="00CD6066" w:rsidP="0029680E">
      <w:pPr>
        <w:spacing w:after="120"/>
        <w:ind w:left="1440"/>
        <w:rPr>
          <w:b/>
        </w:rPr>
      </w:pPr>
      <w:r w:rsidRPr="0029680E">
        <w:rPr>
          <w:b/>
        </w:rPr>
        <w:t>Prescription</w:t>
      </w:r>
    </w:p>
    <w:p w:rsidR="00CD6066" w:rsidRDefault="00CD6066" w:rsidP="0029680E">
      <w:pPr>
        <w:spacing w:after="120"/>
        <w:ind w:left="1440"/>
      </w:pPr>
      <w:r>
        <w:t xml:space="preserve">One single or multi-part polygon must be submitted for each treatment unit. </w:t>
      </w:r>
    </w:p>
    <w:p w:rsidR="00CD6066" w:rsidRDefault="00CD6066" w:rsidP="0029680E">
      <w:pPr>
        <w:spacing w:after="120"/>
        <w:ind w:left="1440"/>
      </w:pPr>
      <w:r>
        <w:t>Project boundary, treatment unit and spatial hectares must match the net hectares stated on the maps and in the final report.</w:t>
      </w:r>
    </w:p>
    <w:p w:rsidR="00CD6066" w:rsidRDefault="00CD6066" w:rsidP="0029680E">
      <w:pPr>
        <w:spacing w:after="120"/>
        <w:ind w:left="1440"/>
      </w:pPr>
      <w:r>
        <w:t>Every polygon considered for treatment as part of an operational project must contain a threat plot. Threat plots must conform to the relevant Wildfire Threat Assessment Guide</w:t>
      </w:r>
    </w:p>
    <w:p w:rsidR="00CD6066" w:rsidRPr="00A31B47" w:rsidRDefault="00CD6066" w:rsidP="00CD6066">
      <w:pPr>
        <w:ind w:left="720"/>
      </w:pPr>
    </w:p>
    <w:p w:rsidR="007505BC" w:rsidRDefault="007505BC" w:rsidP="00E20D69">
      <w:pPr>
        <w:pStyle w:val="Heading1"/>
        <w:ind w:left="1800" w:hanging="1800"/>
      </w:pPr>
      <w:bookmarkStart w:id="2" w:name="_Toc529430099"/>
    </w:p>
    <w:bookmarkEnd w:id="2"/>
    <w:sectPr w:rsidR="007505BC" w:rsidSect="008E3AFB">
      <w:footerReference w:type="default" r:id="rId12"/>
      <w:pgSz w:w="12240" w:h="15840"/>
      <w:pgMar w:top="1152" w:right="1440" w:bottom="1152" w:left="144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065A" w:rsidRDefault="000A065A" w:rsidP="006615A0">
      <w:pPr>
        <w:spacing w:after="0" w:line="240" w:lineRule="auto"/>
      </w:pPr>
      <w:r>
        <w:separator/>
      </w:r>
    </w:p>
  </w:endnote>
  <w:endnote w:type="continuationSeparator" w:id="0">
    <w:p w:rsidR="000A065A" w:rsidRDefault="000A065A" w:rsidP="006615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22511882"/>
      <w:docPartObj>
        <w:docPartGallery w:val="Page Numbers (Bottom of Page)"/>
        <w:docPartUnique/>
      </w:docPartObj>
    </w:sdtPr>
    <w:sdtEndPr>
      <w:rPr>
        <w:color w:val="808080" w:themeColor="background1" w:themeShade="80"/>
        <w:spacing w:val="60"/>
      </w:rPr>
    </w:sdtEndPr>
    <w:sdtContent>
      <w:p w:rsidR="006615A0" w:rsidRDefault="006615A0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31214">
          <w:rPr>
            <w:noProof/>
          </w:rPr>
          <w:t>1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808080" w:themeColor="background1" w:themeShade="80"/>
            <w:spacing w:val="60"/>
          </w:rPr>
          <w:t>Page</w:t>
        </w:r>
      </w:p>
    </w:sdtContent>
  </w:sdt>
  <w:p w:rsidR="006615A0" w:rsidRDefault="006615A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065A" w:rsidRDefault="000A065A" w:rsidP="006615A0">
      <w:pPr>
        <w:spacing w:after="0" w:line="240" w:lineRule="auto"/>
      </w:pPr>
      <w:r>
        <w:separator/>
      </w:r>
    </w:p>
  </w:footnote>
  <w:footnote w:type="continuationSeparator" w:id="0">
    <w:p w:rsidR="000A065A" w:rsidRDefault="000A065A" w:rsidP="006615A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6F5BE8"/>
    <w:multiLevelType w:val="hybridMultilevel"/>
    <w:tmpl w:val="4DAC387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BF48AF"/>
    <w:multiLevelType w:val="hybridMultilevel"/>
    <w:tmpl w:val="2684E3CA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880A05"/>
    <w:multiLevelType w:val="hybridMultilevel"/>
    <w:tmpl w:val="744629E6"/>
    <w:lvl w:ilvl="0" w:tplc="0C047A1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D1178C5"/>
    <w:multiLevelType w:val="hybridMultilevel"/>
    <w:tmpl w:val="D884F344"/>
    <w:lvl w:ilvl="0" w:tplc="0C047A18"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7D9B02BF"/>
    <w:multiLevelType w:val="hybridMultilevel"/>
    <w:tmpl w:val="D0AC0184"/>
    <w:lvl w:ilvl="0" w:tplc="F7C87DC8">
      <w:start w:val="1"/>
      <w:numFmt w:val="decimal"/>
      <w:lvlText w:val="%1)"/>
      <w:lvlJc w:val="left"/>
      <w:pPr>
        <w:ind w:left="720" w:hanging="72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894F63"/>
    <w:rsid w:val="00010490"/>
    <w:rsid w:val="000A065A"/>
    <w:rsid w:val="0011588B"/>
    <w:rsid w:val="001205ED"/>
    <w:rsid w:val="00121E0E"/>
    <w:rsid w:val="001C2E29"/>
    <w:rsid w:val="001C5C7E"/>
    <w:rsid w:val="001E6D77"/>
    <w:rsid w:val="001F0D42"/>
    <w:rsid w:val="00202209"/>
    <w:rsid w:val="00240B11"/>
    <w:rsid w:val="00241F69"/>
    <w:rsid w:val="00274D24"/>
    <w:rsid w:val="0029680E"/>
    <w:rsid w:val="002B06E7"/>
    <w:rsid w:val="002B273E"/>
    <w:rsid w:val="002D0F3A"/>
    <w:rsid w:val="002D7BFC"/>
    <w:rsid w:val="002F3AB8"/>
    <w:rsid w:val="0032195A"/>
    <w:rsid w:val="003316F9"/>
    <w:rsid w:val="00365E4D"/>
    <w:rsid w:val="003B4648"/>
    <w:rsid w:val="003C1CCF"/>
    <w:rsid w:val="00412527"/>
    <w:rsid w:val="00491DAC"/>
    <w:rsid w:val="004C4D33"/>
    <w:rsid w:val="005C442E"/>
    <w:rsid w:val="005C73D9"/>
    <w:rsid w:val="006615A0"/>
    <w:rsid w:val="006E72F7"/>
    <w:rsid w:val="006F1032"/>
    <w:rsid w:val="00747DEA"/>
    <w:rsid w:val="007505BC"/>
    <w:rsid w:val="00784B16"/>
    <w:rsid w:val="00841A47"/>
    <w:rsid w:val="00894F63"/>
    <w:rsid w:val="008B2562"/>
    <w:rsid w:val="008E1CFF"/>
    <w:rsid w:val="008E3AFB"/>
    <w:rsid w:val="00912E09"/>
    <w:rsid w:val="00974B15"/>
    <w:rsid w:val="009977E1"/>
    <w:rsid w:val="009C3E11"/>
    <w:rsid w:val="009D6D29"/>
    <w:rsid w:val="009F5859"/>
    <w:rsid w:val="00A036F9"/>
    <w:rsid w:val="00A0566D"/>
    <w:rsid w:val="00A31B47"/>
    <w:rsid w:val="00A410D4"/>
    <w:rsid w:val="00A61DDA"/>
    <w:rsid w:val="00AE101B"/>
    <w:rsid w:val="00B269AA"/>
    <w:rsid w:val="00B364A7"/>
    <w:rsid w:val="00BF3A23"/>
    <w:rsid w:val="00BF4EE7"/>
    <w:rsid w:val="00C23A59"/>
    <w:rsid w:val="00C449FB"/>
    <w:rsid w:val="00C77E86"/>
    <w:rsid w:val="00C961B3"/>
    <w:rsid w:val="00CD6066"/>
    <w:rsid w:val="00CE09F4"/>
    <w:rsid w:val="00CE27A7"/>
    <w:rsid w:val="00D30E7E"/>
    <w:rsid w:val="00D31214"/>
    <w:rsid w:val="00D41FCD"/>
    <w:rsid w:val="00D70277"/>
    <w:rsid w:val="00D90E46"/>
    <w:rsid w:val="00DD2FAE"/>
    <w:rsid w:val="00DE49F6"/>
    <w:rsid w:val="00E02A96"/>
    <w:rsid w:val="00E20D69"/>
    <w:rsid w:val="00E37556"/>
    <w:rsid w:val="00E90D67"/>
    <w:rsid w:val="00EB5C43"/>
    <w:rsid w:val="00ED299B"/>
    <w:rsid w:val="00EE1031"/>
    <w:rsid w:val="00EE5E30"/>
    <w:rsid w:val="00EE7B63"/>
    <w:rsid w:val="00F36D0D"/>
    <w:rsid w:val="00F43983"/>
    <w:rsid w:val="00F538B8"/>
    <w:rsid w:val="00F70C97"/>
    <w:rsid w:val="00F72D3C"/>
    <w:rsid w:val="00F868E9"/>
    <w:rsid w:val="00FA7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20D69"/>
    <w:pPr>
      <w:spacing w:before="360" w:after="240" w:line="240" w:lineRule="auto"/>
      <w:ind w:left="1267" w:hanging="1267"/>
      <w:outlineLvl w:val="0"/>
    </w:pPr>
    <w:rPr>
      <w:rFonts w:asciiTheme="majorHAnsi" w:hAnsiTheme="majorHAnsi"/>
      <w:b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E27A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D90E46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D90E4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ListParagraph">
    <w:name w:val="List Paragraph"/>
    <w:basedOn w:val="Normal"/>
    <w:uiPriority w:val="34"/>
    <w:qFormat/>
    <w:rsid w:val="00D90E4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90D67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91DAC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6615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15A0"/>
  </w:style>
  <w:style w:type="paragraph" w:styleId="Footer">
    <w:name w:val="footer"/>
    <w:basedOn w:val="Normal"/>
    <w:link w:val="FooterChar"/>
    <w:uiPriority w:val="99"/>
    <w:unhideWhenUsed/>
    <w:rsid w:val="006615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15A0"/>
  </w:style>
  <w:style w:type="character" w:styleId="CommentReference">
    <w:name w:val="annotation reference"/>
    <w:basedOn w:val="DefaultParagraphFont"/>
    <w:uiPriority w:val="99"/>
    <w:semiHidden/>
    <w:unhideWhenUsed/>
    <w:rsid w:val="00EE5E3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E5E3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E5E3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E5E3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E5E3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E5E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5E3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A0566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E20D69"/>
    <w:rPr>
      <w:rFonts w:asciiTheme="majorHAnsi" w:hAnsiTheme="majorHAnsi"/>
      <w:b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A410D4"/>
    <w:pPr>
      <w:keepNext/>
      <w:keepLines/>
      <w:spacing w:before="480" w:after="0" w:line="276" w:lineRule="auto"/>
      <w:ind w:left="0" w:firstLine="0"/>
      <w:outlineLvl w:val="9"/>
    </w:pPr>
    <w:rPr>
      <w:rFonts w:eastAsiaTheme="majorEastAsia" w:cstheme="majorBidi"/>
      <w:bCs/>
      <w:lang w:val="en-US" w:eastAsia="ja-JP"/>
    </w:rPr>
  </w:style>
  <w:style w:type="paragraph" w:styleId="TOC1">
    <w:name w:val="toc 1"/>
    <w:basedOn w:val="Normal"/>
    <w:next w:val="Normal"/>
    <w:autoRedefine/>
    <w:uiPriority w:val="39"/>
    <w:unhideWhenUsed/>
    <w:rsid w:val="00A410D4"/>
    <w:pPr>
      <w:tabs>
        <w:tab w:val="right" w:leader="dot" w:pos="9350"/>
      </w:tabs>
      <w:spacing w:after="100"/>
      <w:ind w:left="1296" w:hanging="1296"/>
    </w:pPr>
  </w:style>
  <w:style w:type="character" w:customStyle="1" w:styleId="Heading2Char">
    <w:name w:val="Heading 2 Char"/>
    <w:basedOn w:val="DefaultParagraphFont"/>
    <w:link w:val="Heading2"/>
    <w:uiPriority w:val="9"/>
    <w:rsid w:val="00CE27A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20D69"/>
    <w:pPr>
      <w:spacing w:before="360" w:after="240" w:line="240" w:lineRule="auto"/>
      <w:ind w:left="1267" w:hanging="1267"/>
      <w:outlineLvl w:val="0"/>
    </w:pPr>
    <w:rPr>
      <w:rFonts w:asciiTheme="majorHAnsi" w:hAnsiTheme="majorHAnsi"/>
      <w:b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E27A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D90E46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D90E4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ListParagraph">
    <w:name w:val="List Paragraph"/>
    <w:basedOn w:val="Normal"/>
    <w:uiPriority w:val="34"/>
    <w:qFormat/>
    <w:rsid w:val="00D90E4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90D67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91DAC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6615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15A0"/>
  </w:style>
  <w:style w:type="paragraph" w:styleId="Footer">
    <w:name w:val="footer"/>
    <w:basedOn w:val="Normal"/>
    <w:link w:val="FooterChar"/>
    <w:uiPriority w:val="99"/>
    <w:unhideWhenUsed/>
    <w:rsid w:val="006615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15A0"/>
  </w:style>
  <w:style w:type="character" w:styleId="CommentReference">
    <w:name w:val="annotation reference"/>
    <w:basedOn w:val="DefaultParagraphFont"/>
    <w:uiPriority w:val="99"/>
    <w:semiHidden/>
    <w:unhideWhenUsed/>
    <w:rsid w:val="00EE5E3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E5E3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E5E3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E5E3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E5E3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E5E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5E3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A0566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E20D69"/>
    <w:rPr>
      <w:rFonts w:asciiTheme="majorHAnsi" w:hAnsiTheme="majorHAnsi"/>
      <w:b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A410D4"/>
    <w:pPr>
      <w:keepNext/>
      <w:keepLines/>
      <w:spacing w:before="480" w:after="0" w:line="276" w:lineRule="auto"/>
      <w:ind w:left="0" w:firstLine="0"/>
      <w:outlineLvl w:val="9"/>
    </w:pPr>
    <w:rPr>
      <w:rFonts w:eastAsiaTheme="majorEastAsia" w:cstheme="majorBidi"/>
      <w:bCs/>
      <w:lang w:val="en-US" w:eastAsia="ja-JP"/>
    </w:rPr>
  </w:style>
  <w:style w:type="paragraph" w:styleId="TOC1">
    <w:name w:val="toc 1"/>
    <w:basedOn w:val="Normal"/>
    <w:next w:val="Normal"/>
    <w:autoRedefine/>
    <w:uiPriority w:val="39"/>
    <w:unhideWhenUsed/>
    <w:rsid w:val="00A410D4"/>
    <w:pPr>
      <w:tabs>
        <w:tab w:val="right" w:leader="dot" w:pos="9350"/>
      </w:tabs>
      <w:spacing w:after="100"/>
      <w:ind w:left="1296" w:hanging="1296"/>
    </w:pPr>
  </w:style>
  <w:style w:type="character" w:customStyle="1" w:styleId="Heading2Char">
    <w:name w:val="Heading 2 Char"/>
    <w:basedOn w:val="DefaultParagraphFont"/>
    <w:link w:val="Heading2"/>
    <w:uiPriority w:val="9"/>
    <w:rsid w:val="00CE27A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3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ubcm.ca/assets/Funding~Programs/LGPS/CRI/cri-2020-program-guide.pdf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www.ubcm.ca/assets/Funding~Programs/LGPS/CRI/cri-2020-program-guide.pdf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www.ubcm.ca/assets/Funding~Programs/LGPS/CRI/cri-2020-program-guide.pdf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EBC80C-5FD2-4F05-A8F4-54256E72F6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283</Words>
  <Characters>1618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Province of British Columbia</Company>
  <LinksUpToDate>false</LinksUpToDate>
  <CharactersWithSpaces>1898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McClung, Melinda J FLNR:EX</dc:creator>
  <cp:lastModifiedBy>XT:Brizan, Diana FLNR:IN</cp:lastModifiedBy>
  <cp:revision>3</cp:revision>
  <dcterms:created xsi:type="dcterms:W3CDTF">2020-03-09T17:23:00Z</dcterms:created>
  <dcterms:modified xsi:type="dcterms:W3CDTF">2020-03-09T17:28:00Z</dcterms:modified>
</cp:coreProperties>
</file>