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045" w:rsidRPr="00657873" w:rsidRDefault="00476045" w:rsidP="00E90953">
      <w:pPr>
        <w:ind w:left="720" w:hanging="720"/>
        <w:jc w:val="center"/>
        <w:rPr>
          <w:b/>
          <w:sz w:val="36"/>
          <w:szCs w:val="36"/>
        </w:rPr>
      </w:pPr>
      <w:bookmarkStart w:id="0" w:name="_Toc245612966"/>
      <w:bookmarkStart w:id="1" w:name="_GoBack"/>
      <w:bookmarkEnd w:id="1"/>
      <w:r w:rsidRPr="00657873">
        <w:rPr>
          <w:b/>
          <w:sz w:val="36"/>
          <w:szCs w:val="36"/>
        </w:rPr>
        <w:t>BRITISH COLUMBIA</w:t>
      </w:r>
    </w:p>
    <w:p w:rsidR="00476045" w:rsidRPr="00657873" w:rsidRDefault="00476045" w:rsidP="00657873">
      <w:pPr>
        <w:jc w:val="center"/>
        <w:rPr>
          <w:b/>
          <w:sz w:val="36"/>
          <w:szCs w:val="36"/>
        </w:rPr>
      </w:pPr>
      <w:r w:rsidRPr="00657873">
        <w:rPr>
          <w:b/>
          <w:sz w:val="36"/>
          <w:szCs w:val="36"/>
        </w:rPr>
        <w:t>MINISTRY OF FORESTS, LANDS AND</w:t>
      </w:r>
      <w:r w:rsidRPr="00657873">
        <w:rPr>
          <w:b/>
          <w:sz w:val="36"/>
          <w:szCs w:val="36"/>
        </w:rPr>
        <w:br/>
        <w:t>NATURAL RESOURCE OPERATIONS</w:t>
      </w:r>
    </w:p>
    <w:p w:rsidR="00476045" w:rsidRPr="00657873" w:rsidRDefault="00476045" w:rsidP="00657873">
      <w:pPr>
        <w:jc w:val="center"/>
        <w:rPr>
          <w:b/>
          <w:color w:val="000000" w:themeColor="text1"/>
          <w:sz w:val="23"/>
        </w:rPr>
      </w:pPr>
    </w:p>
    <w:p w:rsidR="00476045" w:rsidRPr="00657873" w:rsidRDefault="00476045" w:rsidP="00657873">
      <w:pPr>
        <w:jc w:val="center"/>
        <w:rPr>
          <w:b/>
          <w:color w:val="000000" w:themeColor="text1"/>
          <w:sz w:val="23"/>
        </w:rPr>
      </w:pPr>
    </w:p>
    <w:p w:rsidR="00476045" w:rsidRPr="00FA38B1" w:rsidRDefault="00476045" w:rsidP="00657873">
      <w:pPr>
        <w:jc w:val="center"/>
        <w:rPr>
          <w:b/>
          <w:sz w:val="68"/>
          <w:szCs w:val="68"/>
        </w:rPr>
      </w:pPr>
      <w:r w:rsidRPr="00657873">
        <w:rPr>
          <w:b/>
          <w:sz w:val="68"/>
          <w:szCs w:val="68"/>
        </w:rPr>
        <w:t xml:space="preserve">Tree </w:t>
      </w:r>
      <w:r w:rsidRPr="00FA38B1">
        <w:rPr>
          <w:b/>
          <w:sz w:val="68"/>
          <w:szCs w:val="68"/>
        </w:rPr>
        <w:t xml:space="preserve">Farm Licence </w:t>
      </w:r>
      <w:r w:rsidR="008724B1">
        <w:rPr>
          <w:b/>
          <w:sz w:val="68"/>
          <w:szCs w:val="68"/>
        </w:rPr>
        <w:t>48</w:t>
      </w:r>
    </w:p>
    <w:p w:rsidR="00476045" w:rsidRPr="00FA38B1" w:rsidRDefault="00476045" w:rsidP="00657873">
      <w:pPr>
        <w:jc w:val="center"/>
        <w:rPr>
          <w:b/>
          <w:sz w:val="36"/>
          <w:szCs w:val="36"/>
        </w:rPr>
      </w:pPr>
      <w:proofErr w:type="gramStart"/>
      <w:r w:rsidRPr="00FA38B1">
        <w:rPr>
          <w:b/>
          <w:sz w:val="36"/>
          <w:szCs w:val="36"/>
        </w:rPr>
        <w:t>held</w:t>
      </w:r>
      <w:proofErr w:type="gramEnd"/>
      <w:r w:rsidRPr="00FA38B1">
        <w:rPr>
          <w:b/>
          <w:sz w:val="36"/>
          <w:szCs w:val="36"/>
        </w:rPr>
        <w:t xml:space="preserve"> by</w:t>
      </w:r>
    </w:p>
    <w:p w:rsidR="00476045" w:rsidRPr="00FA38B1" w:rsidRDefault="003C6405" w:rsidP="00657873">
      <w:pPr>
        <w:jc w:val="center"/>
        <w:rPr>
          <w:b/>
          <w:sz w:val="23"/>
        </w:rPr>
      </w:pPr>
      <w:r w:rsidRPr="00FA38B1">
        <w:rPr>
          <w:b/>
          <w:sz w:val="40"/>
          <w:szCs w:val="40"/>
        </w:rPr>
        <w:t>Canadian Forest Products Ltd</w:t>
      </w:r>
      <w:r w:rsidR="00963D5E">
        <w:rPr>
          <w:b/>
          <w:sz w:val="40"/>
          <w:szCs w:val="40"/>
        </w:rPr>
        <w:t>.</w:t>
      </w:r>
      <w:r w:rsidRPr="00FA38B1">
        <w:rPr>
          <w:b/>
          <w:sz w:val="40"/>
          <w:szCs w:val="40"/>
        </w:rPr>
        <w:t xml:space="preserve"> (Canfor)</w:t>
      </w:r>
      <w:r w:rsidR="00476045" w:rsidRPr="00FA38B1">
        <w:rPr>
          <w:b/>
          <w:sz w:val="40"/>
          <w:szCs w:val="40"/>
        </w:rPr>
        <w:br/>
      </w:r>
    </w:p>
    <w:p w:rsidR="00476045" w:rsidRPr="00657873" w:rsidRDefault="00476045" w:rsidP="00657873">
      <w:pPr>
        <w:jc w:val="center"/>
        <w:rPr>
          <w:b/>
          <w:color w:val="000000" w:themeColor="text1"/>
          <w:sz w:val="48"/>
        </w:rPr>
      </w:pPr>
      <w:r w:rsidRPr="00FA38B1">
        <w:rPr>
          <w:b/>
          <w:sz w:val="48"/>
        </w:rPr>
        <w:t>Rationale</w:t>
      </w:r>
      <w:r w:rsidRPr="00657873">
        <w:rPr>
          <w:b/>
          <w:color w:val="000000" w:themeColor="text1"/>
          <w:sz w:val="48"/>
        </w:rPr>
        <w:t xml:space="preserve"> for</w:t>
      </w:r>
    </w:p>
    <w:p w:rsidR="00476045" w:rsidRPr="00657873" w:rsidRDefault="00476045" w:rsidP="00657873">
      <w:pPr>
        <w:jc w:val="center"/>
        <w:rPr>
          <w:b/>
          <w:color w:val="000000" w:themeColor="text1"/>
          <w:sz w:val="48"/>
        </w:rPr>
      </w:pPr>
      <w:r w:rsidRPr="00657873">
        <w:rPr>
          <w:b/>
          <w:color w:val="000000" w:themeColor="text1"/>
          <w:sz w:val="48"/>
        </w:rPr>
        <w:t>Allowable Annual Cut (AAC)</w:t>
      </w:r>
    </w:p>
    <w:p w:rsidR="00476045" w:rsidRPr="00657873" w:rsidRDefault="00476045" w:rsidP="00657873">
      <w:pPr>
        <w:jc w:val="center"/>
        <w:rPr>
          <w:b/>
          <w:color w:val="000000" w:themeColor="text1"/>
          <w:sz w:val="48"/>
        </w:rPr>
      </w:pPr>
      <w:r w:rsidRPr="00657873">
        <w:rPr>
          <w:b/>
          <w:color w:val="000000" w:themeColor="text1"/>
          <w:sz w:val="48"/>
        </w:rPr>
        <w:t>Determination</w:t>
      </w:r>
    </w:p>
    <w:p w:rsidR="00476045" w:rsidRPr="00657873" w:rsidRDefault="00476045" w:rsidP="00657873">
      <w:pPr>
        <w:jc w:val="center"/>
        <w:rPr>
          <w:b/>
          <w:color w:val="000000" w:themeColor="text1"/>
          <w:sz w:val="23"/>
        </w:rPr>
      </w:pPr>
    </w:p>
    <w:p w:rsidR="00476045" w:rsidRPr="00657873" w:rsidRDefault="00476045" w:rsidP="00657873">
      <w:pPr>
        <w:jc w:val="center"/>
        <w:rPr>
          <w:b/>
          <w:color w:val="000000" w:themeColor="text1"/>
          <w:sz w:val="23"/>
        </w:rPr>
      </w:pPr>
    </w:p>
    <w:p w:rsidR="00476045" w:rsidRPr="00657873" w:rsidRDefault="00476045" w:rsidP="00657873">
      <w:pPr>
        <w:jc w:val="center"/>
        <w:rPr>
          <w:b/>
          <w:color w:val="000000" w:themeColor="text1"/>
          <w:sz w:val="23"/>
        </w:rPr>
      </w:pPr>
      <w:r w:rsidRPr="00C95B1A">
        <w:rPr>
          <w:b/>
          <w:color w:val="000000" w:themeColor="text1"/>
          <w:sz w:val="38"/>
        </w:rPr>
        <w:t>Effective</w:t>
      </w:r>
      <w:r w:rsidR="00E90953" w:rsidRPr="00C95B1A">
        <w:rPr>
          <w:b/>
          <w:color w:val="000000" w:themeColor="text1"/>
          <w:sz w:val="38"/>
        </w:rPr>
        <w:t xml:space="preserve"> </w:t>
      </w:r>
      <w:r w:rsidR="00C95B1A" w:rsidRPr="00C95B1A">
        <w:rPr>
          <w:b/>
          <w:sz w:val="38"/>
        </w:rPr>
        <w:t>October</w:t>
      </w:r>
      <w:r w:rsidR="00AC066B">
        <w:rPr>
          <w:b/>
          <w:sz w:val="38"/>
        </w:rPr>
        <w:t xml:space="preserve"> </w:t>
      </w:r>
      <w:r w:rsidR="00905521">
        <w:rPr>
          <w:b/>
          <w:sz w:val="38"/>
        </w:rPr>
        <w:t>15</w:t>
      </w:r>
      <w:r w:rsidRPr="00C95B1A">
        <w:rPr>
          <w:b/>
          <w:color w:val="000000" w:themeColor="text1"/>
          <w:sz w:val="38"/>
        </w:rPr>
        <w:t>, 201</w:t>
      </w:r>
      <w:r w:rsidR="008724B1" w:rsidRPr="00C95B1A">
        <w:rPr>
          <w:b/>
          <w:color w:val="000000" w:themeColor="text1"/>
          <w:sz w:val="38"/>
        </w:rPr>
        <w:t>5</w:t>
      </w:r>
    </w:p>
    <w:p w:rsidR="00476045" w:rsidRPr="00657873" w:rsidRDefault="00476045" w:rsidP="00657873">
      <w:pPr>
        <w:jc w:val="center"/>
        <w:rPr>
          <w:b/>
          <w:color w:val="000000" w:themeColor="text1"/>
          <w:sz w:val="23"/>
        </w:rPr>
      </w:pPr>
    </w:p>
    <w:p w:rsidR="00476045" w:rsidRPr="00657873" w:rsidRDefault="00476045" w:rsidP="00657873">
      <w:pPr>
        <w:jc w:val="center"/>
        <w:rPr>
          <w:b/>
          <w:sz w:val="23"/>
        </w:rPr>
      </w:pPr>
    </w:p>
    <w:p w:rsidR="00476045" w:rsidRPr="00657873" w:rsidRDefault="00476045" w:rsidP="00657873">
      <w:pPr>
        <w:jc w:val="center"/>
        <w:rPr>
          <w:b/>
        </w:rPr>
      </w:pPr>
    </w:p>
    <w:p w:rsidR="00476045" w:rsidRPr="00FA38B1" w:rsidRDefault="008724B1" w:rsidP="00657873">
      <w:pPr>
        <w:jc w:val="center"/>
        <w:rPr>
          <w:b/>
          <w:sz w:val="40"/>
        </w:rPr>
      </w:pPr>
      <w:r>
        <w:rPr>
          <w:b/>
          <w:sz w:val="40"/>
        </w:rPr>
        <w:t>Diane Nicholls</w:t>
      </w:r>
      <w:r w:rsidR="00476045" w:rsidRPr="00FA38B1">
        <w:rPr>
          <w:b/>
          <w:sz w:val="40"/>
        </w:rPr>
        <w:t>, RPF</w:t>
      </w:r>
    </w:p>
    <w:p w:rsidR="00476045" w:rsidRPr="00657873" w:rsidRDefault="00476045" w:rsidP="00657873">
      <w:pPr>
        <w:jc w:val="center"/>
        <w:rPr>
          <w:b/>
          <w:sz w:val="40"/>
        </w:rPr>
      </w:pPr>
      <w:r w:rsidRPr="00657873">
        <w:rPr>
          <w:b/>
          <w:sz w:val="40"/>
        </w:rPr>
        <w:t>Chief Forester</w:t>
      </w:r>
    </w:p>
    <w:p w:rsidR="00476045" w:rsidRPr="00657873" w:rsidRDefault="00476045" w:rsidP="00657873">
      <w:pPr>
        <w:jc w:val="center"/>
        <w:rPr>
          <w:b/>
          <w:color w:val="000000" w:themeColor="text1"/>
          <w:sz w:val="27"/>
        </w:rPr>
      </w:pPr>
    </w:p>
    <w:p w:rsidR="00476045" w:rsidRPr="00657873" w:rsidRDefault="00476045" w:rsidP="00657873">
      <w:pPr>
        <w:jc w:val="center"/>
        <w:rPr>
          <w:b/>
          <w:color w:val="000000" w:themeColor="text1"/>
          <w:sz w:val="27"/>
        </w:rPr>
      </w:pPr>
    </w:p>
    <w:p w:rsidR="00476045" w:rsidRPr="00657873" w:rsidRDefault="00476045" w:rsidP="00657873">
      <w:pPr>
        <w:jc w:val="center"/>
        <w:rPr>
          <w:b/>
          <w:color w:val="000000" w:themeColor="text1"/>
        </w:rPr>
      </w:pPr>
    </w:p>
    <w:p w:rsidR="00476045" w:rsidRPr="00D36DC4" w:rsidRDefault="00476045" w:rsidP="00476045">
      <w:pPr>
        <w:pStyle w:val="NoSpacing"/>
        <w:rPr>
          <w:color w:val="0033CC"/>
        </w:rPr>
        <w:sectPr w:rsidR="00476045" w:rsidRPr="00D36DC4" w:rsidSect="00D82361">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440" w:left="1800" w:header="706" w:footer="706" w:gutter="0"/>
          <w:pgNumType w:start="0"/>
          <w:cols w:space="720"/>
          <w:docGrid w:linePitch="299"/>
        </w:sectPr>
      </w:pPr>
    </w:p>
    <w:p w:rsidR="003040FE" w:rsidRDefault="003040FE">
      <w:pPr>
        <w:jc w:val="center"/>
        <w:rPr>
          <w:b/>
          <w:color w:val="000000"/>
          <w:sz w:val="28"/>
          <w:u w:val="single"/>
        </w:rPr>
      </w:pPr>
      <w:bookmarkStart w:id="2" w:name="_Toc405699475"/>
      <w:bookmarkStart w:id="3" w:name="_Toc405699664"/>
      <w:bookmarkStart w:id="4" w:name="_Toc405699883"/>
      <w:bookmarkStart w:id="5" w:name="_Toc405700199"/>
      <w:bookmarkStart w:id="6" w:name="_Toc405700296"/>
      <w:bookmarkStart w:id="7" w:name="_Toc405772283"/>
      <w:bookmarkStart w:id="8" w:name="_Toc405774096"/>
      <w:bookmarkStart w:id="9" w:name="_Toc405774422"/>
      <w:bookmarkStart w:id="10" w:name="_Toc405774700"/>
      <w:bookmarkStart w:id="11" w:name="_Toc405774756"/>
      <w:bookmarkStart w:id="12" w:name="_Toc405774852"/>
      <w:bookmarkStart w:id="13" w:name="_Toc405801463"/>
      <w:bookmarkStart w:id="14" w:name="_Toc405886862"/>
      <w:bookmarkStart w:id="15" w:name="_Toc405887100"/>
      <w:bookmarkStart w:id="16" w:name="_Toc405887229"/>
      <w:bookmarkStart w:id="17" w:name="_Toc405887468"/>
      <w:bookmarkStart w:id="18" w:name="_Toc405887530"/>
      <w:bookmarkStart w:id="19" w:name="_Toc405887605"/>
      <w:bookmarkStart w:id="20" w:name="_Toc406408993"/>
      <w:bookmarkEnd w:id="0"/>
      <w:r>
        <w:rPr>
          <w:b/>
          <w:color w:val="000000"/>
          <w:sz w:val="28"/>
          <w:u w:val="single"/>
        </w:rPr>
        <w:lastRenderedPageBreak/>
        <w:t>Table of Contents</w:t>
      </w:r>
    </w:p>
    <w:p w:rsidR="00476045" w:rsidRPr="00476045" w:rsidRDefault="00476045" w:rsidP="00491C8A">
      <w:pPr>
        <w:spacing w:before="0" w:after="0"/>
        <w:rPr>
          <w:b/>
          <w:color w:val="000000"/>
          <w:szCs w:val="22"/>
          <w:u w:val="single"/>
        </w:rPr>
      </w:pPr>
    </w:p>
    <w:p w:rsidR="00491B58" w:rsidRDefault="005E1CA7">
      <w:pPr>
        <w:pStyle w:val="TOC1"/>
        <w:rPr>
          <w:rFonts w:asciiTheme="minorHAnsi" w:eastAsiaTheme="minorEastAsia" w:hAnsiTheme="minorHAnsi" w:cstheme="minorBidi"/>
          <w:szCs w:val="22"/>
        </w:rPr>
      </w:pPr>
      <w:r>
        <w:rPr>
          <w:b/>
          <w:color w:val="000000"/>
          <w:szCs w:val="22"/>
          <w:u w:val="single"/>
        </w:rPr>
        <w:fldChar w:fldCharType="begin"/>
      </w:r>
      <w:r w:rsidR="00657873">
        <w:rPr>
          <w:b/>
          <w:color w:val="000000"/>
          <w:szCs w:val="22"/>
          <w:u w:val="single"/>
        </w:rPr>
        <w:instrText xml:space="preserve"> TOC \o "1-3" \u </w:instrText>
      </w:r>
      <w:r>
        <w:rPr>
          <w:b/>
          <w:color w:val="000000"/>
          <w:szCs w:val="22"/>
          <w:u w:val="single"/>
        </w:rPr>
        <w:fldChar w:fldCharType="separate"/>
      </w:r>
      <w:r w:rsidR="00491B58" w:rsidRPr="00EF709A">
        <w:t>Objective of this document</w:t>
      </w:r>
      <w:r w:rsidR="00491B58">
        <w:tab/>
      </w:r>
      <w:r w:rsidR="00491B58">
        <w:fldChar w:fldCharType="begin"/>
      </w:r>
      <w:r w:rsidR="00491B58">
        <w:instrText xml:space="preserve"> PAGEREF _Toc432658618 \h </w:instrText>
      </w:r>
      <w:r w:rsidR="00491B58">
        <w:fldChar w:fldCharType="separate"/>
      </w:r>
      <w:r w:rsidR="009325C8">
        <w:t>1</w:t>
      </w:r>
      <w:r w:rsidR="00491B58">
        <w:fldChar w:fldCharType="end"/>
      </w:r>
    </w:p>
    <w:p w:rsidR="00491B58" w:rsidRDefault="00491B58">
      <w:pPr>
        <w:pStyle w:val="TOC1"/>
        <w:rPr>
          <w:rFonts w:asciiTheme="minorHAnsi" w:eastAsiaTheme="minorEastAsia" w:hAnsiTheme="minorHAnsi" w:cstheme="minorBidi"/>
          <w:szCs w:val="22"/>
        </w:rPr>
      </w:pPr>
      <w:r>
        <w:t>Statutory framework</w:t>
      </w:r>
      <w:r>
        <w:tab/>
      </w:r>
      <w:r>
        <w:fldChar w:fldCharType="begin"/>
      </w:r>
      <w:r>
        <w:instrText xml:space="preserve"> PAGEREF _Toc432658619 \h </w:instrText>
      </w:r>
      <w:r>
        <w:fldChar w:fldCharType="separate"/>
      </w:r>
      <w:r w:rsidR="009325C8">
        <w:t>1</w:t>
      </w:r>
      <w:r>
        <w:fldChar w:fldCharType="end"/>
      </w:r>
    </w:p>
    <w:p w:rsidR="00491B58" w:rsidRDefault="00491B58">
      <w:pPr>
        <w:pStyle w:val="TOC1"/>
        <w:rPr>
          <w:rFonts w:asciiTheme="minorHAnsi" w:eastAsiaTheme="minorEastAsia" w:hAnsiTheme="minorHAnsi" w:cstheme="minorBidi"/>
          <w:szCs w:val="22"/>
        </w:rPr>
      </w:pPr>
      <w:r w:rsidRPr="00EF709A">
        <w:t>Description of the TFL</w:t>
      </w:r>
      <w:r>
        <w:tab/>
      </w:r>
      <w:r>
        <w:fldChar w:fldCharType="begin"/>
      </w:r>
      <w:r>
        <w:instrText xml:space="preserve"> PAGEREF _Toc432658620 \h </w:instrText>
      </w:r>
      <w:r>
        <w:fldChar w:fldCharType="separate"/>
      </w:r>
      <w:r w:rsidR="009325C8">
        <w:t>1</w:t>
      </w:r>
      <w:r>
        <w:fldChar w:fldCharType="end"/>
      </w:r>
    </w:p>
    <w:p w:rsidR="00491B58" w:rsidRDefault="00491B58">
      <w:pPr>
        <w:pStyle w:val="TOC1"/>
        <w:rPr>
          <w:rFonts w:asciiTheme="minorHAnsi" w:eastAsiaTheme="minorEastAsia" w:hAnsiTheme="minorHAnsi" w:cstheme="minorBidi"/>
          <w:szCs w:val="22"/>
        </w:rPr>
      </w:pPr>
      <w:r w:rsidRPr="00EF709A">
        <w:t>History of the AAC</w:t>
      </w:r>
      <w:r>
        <w:tab/>
      </w:r>
      <w:r>
        <w:fldChar w:fldCharType="begin"/>
      </w:r>
      <w:r>
        <w:instrText xml:space="preserve"> PAGEREF _Toc432658621 \h </w:instrText>
      </w:r>
      <w:r>
        <w:fldChar w:fldCharType="separate"/>
      </w:r>
      <w:r w:rsidR="009325C8">
        <w:t>2</w:t>
      </w:r>
      <w:r>
        <w:fldChar w:fldCharType="end"/>
      </w:r>
    </w:p>
    <w:p w:rsidR="00491B58" w:rsidRDefault="00491B58">
      <w:pPr>
        <w:pStyle w:val="TOC1"/>
        <w:rPr>
          <w:rFonts w:asciiTheme="minorHAnsi" w:eastAsiaTheme="minorEastAsia" w:hAnsiTheme="minorHAnsi" w:cstheme="minorBidi"/>
          <w:szCs w:val="22"/>
        </w:rPr>
      </w:pPr>
      <w:r w:rsidRPr="00EF709A">
        <w:t>New AAC determination</w:t>
      </w:r>
      <w:r>
        <w:tab/>
      </w:r>
      <w:r>
        <w:fldChar w:fldCharType="begin"/>
      </w:r>
      <w:r>
        <w:instrText xml:space="preserve"> PAGEREF _Toc432658622 \h </w:instrText>
      </w:r>
      <w:r>
        <w:fldChar w:fldCharType="separate"/>
      </w:r>
      <w:r w:rsidR="009325C8">
        <w:t>2</w:t>
      </w:r>
      <w:r>
        <w:fldChar w:fldCharType="end"/>
      </w:r>
    </w:p>
    <w:p w:rsidR="00491B58" w:rsidRDefault="00491B58">
      <w:pPr>
        <w:pStyle w:val="TOC1"/>
        <w:rPr>
          <w:rFonts w:asciiTheme="minorHAnsi" w:eastAsiaTheme="minorEastAsia" w:hAnsiTheme="minorHAnsi" w:cstheme="minorBidi"/>
          <w:szCs w:val="22"/>
        </w:rPr>
      </w:pPr>
      <w:r w:rsidRPr="00EF709A">
        <w:t>Information sources used in the AAC determination</w:t>
      </w:r>
      <w:r>
        <w:tab/>
      </w:r>
      <w:r>
        <w:fldChar w:fldCharType="begin"/>
      </w:r>
      <w:r>
        <w:instrText xml:space="preserve"> PAGEREF _Toc432658623 \h </w:instrText>
      </w:r>
      <w:r>
        <w:fldChar w:fldCharType="separate"/>
      </w:r>
      <w:r w:rsidR="009325C8">
        <w:t>2</w:t>
      </w:r>
      <w:r>
        <w:fldChar w:fldCharType="end"/>
      </w:r>
    </w:p>
    <w:p w:rsidR="00491B58" w:rsidRDefault="00491B58">
      <w:pPr>
        <w:pStyle w:val="TOC1"/>
        <w:rPr>
          <w:rFonts w:asciiTheme="minorHAnsi" w:eastAsiaTheme="minorEastAsia" w:hAnsiTheme="minorHAnsi" w:cstheme="minorBidi"/>
          <w:szCs w:val="22"/>
        </w:rPr>
      </w:pPr>
      <w:r w:rsidRPr="00EF709A">
        <w:t>Role and limitations of the technical information used</w:t>
      </w:r>
      <w:r>
        <w:tab/>
      </w:r>
      <w:r>
        <w:fldChar w:fldCharType="begin"/>
      </w:r>
      <w:r>
        <w:instrText xml:space="preserve"> PAGEREF _Toc432658624 \h </w:instrText>
      </w:r>
      <w:r>
        <w:fldChar w:fldCharType="separate"/>
      </w:r>
      <w:r w:rsidR="009325C8">
        <w:t>4</w:t>
      </w:r>
      <w:r>
        <w:fldChar w:fldCharType="end"/>
      </w:r>
    </w:p>
    <w:p w:rsidR="00491B58" w:rsidRDefault="00491B58">
      <w:pPr>
        <w:pStyle w:val="TOC1"/>
        <w:rPr>
          <w:rFonts w:asciiTheme="minorHAnsi" w:eastAsiaTheme="minorEastAsia" w:hAnsiTheme="minorHAnsi" w:cstheme="minorBidi"/>
          <w:szCs w:val="22"/>
        </w:rPr>
      </w:pPr>
      <w:r>
        <w:t>Guiding principles for AAC determinations</w:t>
      </w:r>
      <w:r>
        <w:tab/>
      </w:r>
      <w:r>
        <w:fldChar w:fldCharType="begin"/>
      </w:r>
      <w:r>
        <w:instrText xml:space="preserve"> PAGEREF _Toc432658625 \h </w:instrText>
      </w:r>
      <w:r>
        <w:fldChar w:fldCharType="separate"/>
      </w:r>
      <w:r w:rsidR="009325C8">
        <w:t>5</w:t>
      </w:r>
      <w:r>
        <w:fldChar w:fldCharType="end"/>
      </w:r>
    </w:p>
    <w:p w:rsidR="00491B58" w:rsidRDefault="00491B58">
      <w:pPr>
        <w:pStyle w:val="TOC1"/>
        <w:rPr>
          <w:rFonts w:asciiTheme="minorHAnsi" w:eastAsiaTheme="minorEastAsia" w:hAnsiTheme="minorHAnsi" w:cstheme="minorBidi"/>
          <w:szCs w:val="22"/>
        </w:rPr>
      </w:pPr>
      <w:r>
        <w:t>The role of the base case</w:t>
      </w:r>
      <w:r>
        <w:tab/>
      </w:r>
      <w:r>
        <w:fldChar w:fldCharType="begin"/>
      </w:r>
      <w:r>
        <w:instrText xml:space="preserve"> PAGEREF _Toc432658626 \h </w:instrText>
      </w:r>
      <w:r>
        <w:fldChar w:fldCharType="separate"/>
      </w:r>
      <w:r w:rsidR="009325C8">
        <w:t>7</w:t>
      </w:r>
      <w:r>
        <w:fldChar w:fldCharType="end"/>
      </w:r>
    </w:p>
    <w:p w:rsidR="00491B58" w:rsidRDefault="00491B58">
      <w:pPr>
        <w:pStyle w:val="TOC1"/>
        <w:rPr>
          <w:rFonts w:asciiTheme="minorHAnsi" w:eastAsiaTheme="minorEastAsia" w:hAnsiTheme="minorHAnsi" w:cstheme="minorBidi"/>
          <w:szCs w:val="22"/>
        </w:rPr>
      </w:pPr>
      <w:r w:rsidRPr="00EF709A">
        <w:t>Timber supply analysis</w:t>
      </w:r>
      <w:r>
        <w:tab/>
      </w:r>
      <w:r>
        <w:fldChar w:fldCharType="begin"/>
      </w:r>
      <w:r>
        <w:instrText xml:space="preserve"> PAGEREF _Toc432658627 \h </w:instrText>
      </w:r>
      <w:r>
        <w:fldChar w:fldCharType="separate"/>
      </w:r>
      <w:r w:rsidR="009325C8">
        <w:t>8</w:t>
      </w:r>
      <w:r>
        <w:fldChar w:fldCharType="end"/>
      </w:r>
    </w:p>
    <w:p w:rsidR="00491B58" w:rsidRDefault="00491B58">
      <w:pPr>
        <w:pStyle w:val="TOC1"/>
        <w:rPr>
          <w:rFonts w:asciiTheme="minorHAnsi" w:eastAsiaTheme="minorEastAsia" w:hAnsiTheme="minorHAnsi" w:cstheme="minorBidi"/>
          <w:szCs w:val="22"/>
        </w:rPr>
      </w:pPr>
      <w:r>
        <w:t>Consideration of factors as required by Section 8 (8) of the</w:t>
      </w:r>
      <w:r w:rsidRPr="00EF709A">
        <w:rPr>
          <w:i/>
        </w:rPr>
        <w:t xml:space="preserve"> Forest Act</w:t>
      </w:r>
      <w:r>
        <w:tab/>
      </w:r>
      <w:r>
        <w:fldChar w:fldCharType="begin"/>
      </w:r>
      <w:r>
        <w:instrText xml:space="preserve"> PAGEREF _Toc432658628 \h </w:instrText>
      </w:r>
      <w:r>
        <w:fldChar w:fldCharType="separate"/>
      </w:r>
      <w:r w:rsidR="009325C8">
        <w:t>10</w:t>
      </w:r>
      <w:r>
        <w:fldChar w:fldCharType="end"/>
      </w:r>
    </w:p>
    <w:p w:rsidR="00491B58" w:rsidRDefault="00491B58">
      <w:pPr>
        <w:pStyle w:val="TOC2"/>
        <w:rPr>
          <w:rFonts w:asciiTheme="minorHAnsi" w:eastAsiaTheme="minorEastAsia" w:hAnsiTheme="minorHAnsi" w:cstheme="minorBidi"/>
          <w:szCs w:val="22"/>
        </w:rPr>
      </w:pPr>
      <w:r w:rsidRPr="00EF709A">
        <w:t>Factors requiring additional explanatory consideration</w:t>
      </w:r>
      <w:r>
        <w:tab/>
      </w:r>
      <w:r>
        <w:fldChar w:fldCharType="begin"/>
      </w:r>
      <w:r>
        <w:instrText xml:space="preserve"> PAGEREF _Toc432658629 \h </w:instrText>
      </w:r>
      <w:r>
        <w:fldChar w:fldCharType="separate"/>
      </w:r>
      <w:r w:rsidR="009325C8">
        <w:t>11</w:t>
      </w:r>
      <w:r>
        <w:fldChar w:fldCharType="end"/>
      </w:r>
    </w:p>
    <w:p w:rsidR="00491B58" w:rsidRDefault="00491B58">
      <w:pPr>
        <w:pStyle w:val="TOC2"/>
        <w:rPr>
          <w:rFonts w:asciiTheme="minorHAnsi" w:eastAsiaTheme="minorEastAsia" w:hAnsiTheme="minorHAnsi" w:cstheme="minorBidi"/>
          <w:szCs w:val="22"/>
        </w:rPr>
      </w:pPr>
      <w:r w:rsidRPr="00EF709A">
        <w:rPr>
          <w:color w:val="000000" w:themeColor="text1"/>
        </w:rPr>
        <w:t>Factors considered under Section 8(8)(a)(i)</w:t>
      </w:r>
      <w:r>
        <w:tab/>
      </w:r>
      <w:r>
        <w:fldChar w:fldCharType="begin"/>
      </w:r>
      <w:r>
        <w:instrText xml:space="preserve"> PAGEREF _Toc432658630 \h </w:instrText>
      </w:r>
      <w:r>
        <w:fldChar w:fldCharType="separate"/>
      </w:r>
      <w:r w:rsidR="009325C8">
        <w:t>11</w:t>
      </w:r>
      <w:r>
        <w:fldChar w:fldCharType="end"/>
      </w:r>
    </w:p>
    <w:p w:rsidR="00491B58" w:rsidRDefault="00491B58">
      <w:pPr>
        <w:pStyle w:val="TOC3"/>
        <w:rPr>
          <w:rFonts w:asciiTheme="minorHAnsi" w:eastAsiaTheme="minorEastAsia" w:hAnsiTheme="minorHAnsi" w:cstheme="minorBidi"/>
          <w:szCs w:val="22"/>
        </w:rPr>
      </w:pPr>
      <w:r w:rsidRPr="00EF709A">
        <w:t>- Mountain Pine Beetle epidemic</w:t>
      </w:r>
      <w:r>
        <w:tab/>
      </w:r>
      <w:r>
        <w:fldChar w:fldCharType="begin"/>
      </w:r>
      <w:r>
        <w:instrText xml:space="preserve"> PAGEREF _Toc432658631 \h </w:instrText>
      </w:r>
      <w:r>
        <w:fldChar w:fldCharType="separate"/>
      </w:r>
      <w:r w:rsidR="009325C8">
        <w:t>11</w:t>
      </w:r>
      <w:r>
        <w:fldChar w:fldCharType="end"/>
      </w:r>
    </w:p>
    <w:p w:rsidR="00491B58" w:rsidRDefault="00491B58">
      <w:pPr>
        <w:pStyle w:val="TOC3"/>
        <w:rPr>
          <w:rFonts w:asciiTheme="minorHAnsi" w:eastAsiaTheme="minorEastAsia" w:hAnsiTheme="minorHAnsi" w:cstheme="minorBidi"/>
          <w:szCs w:val="22"/>
        </w:rPr>
      </w:pPr>
      <w:r w:rsidRPr="00EF709A">
        <w:t>- forest inventory</w:t>
      </w:r>
      <w:r>
        <w:tab/>
      </w:r>
      <w:r>
        <w:fldChar w:fldCharType="begin"/>
      </w:r>
      <w:r>
        <w:instrText xml:space="preserve"> PAGEREF _Toc432658632 \h </w:instrText>
      </w:r>
      <w:r>
        <w:fldChar w:fldCharType="separate"/>
      </w:r>
      <w:r w:rsidR="009325C8">
        <w:t>12</w:t>
      </w:r>
      <w:r>
        <w:fldChar w:fldCharType="end"/>
      </w:r>
    </w:p>
    <w:p w:rsidR="00491B58" w:rsidRDefault="00491B58">
      <w:pPr>
        <w:pStyle w:val="TOC3"/>
        <w:rPr>
          <w:rFonts w:asciiTheme="minorHAnsi" w:eastAsiaTheme="minorEastAsia" w:hAnsiTheme="minorHAnsi" w:cstheme="minorBidi"/>
          <w:szCs w:val="22"/>
        </w:rPr>
      </w:pPr>
      <w:r>
        <w:t>- inoperable</w:t>
      </w:r>
      <w:r>
        <w:tab/>
      </w:r>
      <w:r>
        <w:fldChar w:fldCharType="begin"/>
      </w:r>
      <w:r>
        <w:instrText xml:space="preserve"> PAGEREF _Toc432658633 \h </w:instrText>
      </w:r>
      <w:r>
        <w:fldChar w:fldCharType="separate"/>
      </w:r>
      <w:r w:rsidR="009325C8">
        <w:t>14</w:t>
      </w:r>
      <w:r>
        <w:fldChar w:fldCharType="end"/>
      </w:r>
    </w:p>
    <w:p w:rsidR="00491B58" w:rsidRDefault="00491B58">
      <w:pPr>
        <w:pStyle w:val="TOC3"/>
        <w:rPr>
          <w:rFonts w:asciiTheme="minorHAnsi" w:eastAsiaTheme="minorEastAsia" w:hAnsiTheme="minorHAnsi" w:cstheme="minorBidi"/>
          <w:szCs w:val="22"/>
        </w:rPr>
      </w:pPr>
      <w:r>
        <w:t>- cultural heritage resource reductions</w:t>
      </w:r>
      <w:r>
        <w:tab/>
      </w:r>
      <w:r>
        <w:fldChar w:fldCharType="begin"/>
      </w:r>
      <w:r>
        <w:instrText xml:space="preserve"> PAGEREF _Toc432658634 \h </w:instrText>
      </w:r>
      <w:r>
        <w:fldChar w:fldCharType="separate"/>
      </w:r>
      <w:r w:rsidR="009325C8">
        <w:t>14</w:t>
      </w:r>
      <w:r>
        <w:fldChar w:fldCharType="end"/>
      </w:r>
    </w:p>
    <w:p w:rsidR="00491B58" w:rsidRDefault="00491B58">
      <w:pPr>
        <w:pStyle w:val="TOC3"/>
        <w:rPr>
          <w:rFonts w:asciiTheme="minorHAnsi" w:eastAsiaTheme="minorEastAsia" w:hAnsiTheme="minorHAnsi" w:cstheme="minorBidi"/>
          <w:szCs w:val="22"/>
        </w:rPr>
      </w:pPr>
      <w:r>
        <w:t>- recreation</w:t>
      </w:r>
      <w:r>
        <w:tab/>
      </w:r>
      <w:r>
        <w:fldChar w:fldCharType="begin"/>
      </w:r>
      <w:r>
        <w:instrText xml:space="preserve"> PAGEREF _Toc432658635 \h </w:instrText>
      </w:r>
      <w:r>
        <w:fldChar w:fldCharType="separate"/>
      </w:r>
      <w:r w:rsidR="009325C8">
        <w:t>15</w:t>
      </w:r>
      <w:r>
        <w:fldChar w:fldCharType="end"/>
      </w:r>
    </w:p>
    <w:p w:rsidR="00491B58" w:rsidRDefault="00491B58">
      <w:pPr>
        <w:pStyle w:val="TOC3"/>
        <w:rPr>
          <w:rFonts w:asciiTheme="minorHAnsi" w:eastAsiaTheme="minorEastAsia" w:hAnsiTheme="minorHAnsi" w:cstheme="minorBidi"/>
          <w:szCs w:val="22"/>
        </w:rPr>
      </w:pPr>
      <w:r>
        <w:t>- low productivity sites identified for immature stands</w:t>
      </w:r>
      <w:r>
        <w:tab/>
      </w:r>
      <w:r>
        <w:fldChar w:fldCharType="begin"/>
      </w:r>
      <w:r>
        <w:instrText xml:space="preserve"> PAGEREF _Toc432658636 \h </w:instrText>
      </w:r>
      <w:r>
        <w:fldChar w:fldCharType="separate"/>
      </w:r>
      <w:r w:rsidR="009325C8">
        <w:t>15</w:t>
      </w:r>
      <w:r>
        <w:fldChar w:fldCharType="end"/>
      </w:r>
    </w:p>
    <w:p w:rsidR="00491B58" w:rsidRDefault="00491B58">
      <w:pPr>
        <w:pStyle w:val="TOC3"/>
        <w:rPr>
          <w:rFonts w:asciiTheme="minorHAnsi" w:eastAsiaTheme="minorEastAsia" w:hAnsiTheme="minorHAnsi" w:cstheme="minorBidi"/>
          <w:szCs w:val="22"/>
        </w:rPr>
      </w:pPr>
      <w:r>
        <w:t>- mature stand problem forest types</w:t>
      </w:r>
      <w:r>
        <w:tab/>
      </w:r>
      <w:r>
        <w:fldChar w:fldCharType="begin"/>
      </w:r>
      <w:r>
        <w:instrText xml:space="preserve"> PAGEREF _Toc432658637 \h </w:instrText>
      </w:r>
      <w:r>
        <w:fldChar w:fldCharType="separate"/>
      </w:r>
      <w:r w:rsidR="009325C8">
        <w:t>15</w:t>
      </w:r>
      <w:r>
        <w:fldChar w:fldCharType="end"/>
      </w:r>
    </w:p>
    <w:p w:rsidR="00491B58" w:rsidRDefault="00491B58">
      <w:pPr>
        <w:pStyle w:val="TOC3"/>
        <w:rPr>
          <w:rFonts w:asciiTheme="minorHAnsi" w:eastAsiaTheme="minorEastAsia" w:hAnsiTheme="minorHAnsi" w:cstheme="minorBidi"/>
          <w:szCs w:val="22"/>
        </w:rPr>
      </w:pPr>
      <w:r w:rsidRPr="00EF709A">
        <w:t>- regeneration delay</w:t>
      </w:r>
      <w:r>
        <w:tab/>
      </w:r>
      <w:r>
        <w:fldChar w:fldCharType="begin"/>
      </w:r>
      <w:r>
        <w:instrText xml:space="preserve"> PAGEREF _Toc432658638 \h </w:instrText>
      </w:r>
      <w:r>
        <w:fldChar w:fldCharType="separate"/>
      </w:r>
      <w:r w:rsidR="009325C8">
        <w:t>16</w:t>
      </w:r>
      <w:r>
        <w:fldChar w:fldCharType="end"/>
      </w:r>
    </w:p>
    <w:p w:rsidR="00491B58" w:rsidRDefault="00491B58">
      <w:pPr>
        <w:pStyle w:val="TOC3"/>
        <w:rPr>
          <w:rFonts w:asciiTheme="minorHAnsi" w:eastAsiaTheme="minorEastAsia" w:hAnsiTheme="minorHAnsi" w:cstheme="minorBidi"/>
          <w:szCs w:val="22"/>
        </w:rPr>
      </w:pPr>
      <w:r w:rsidRPr="00EF709A">
        <w:t>- not sufficiently restocked</w:t>
      </w:r>
      <w:r>
        <w:tab/>
      </w:r>
      <w:r>
        <w:fldChar w:fldCharType="begin"/>
      </w:r>
      <w:r>
        <w:instrText xml:space="preserve"> PAGEREF _Toc432658639 \h </w:instrText>
      </w:r>
      <w:r>
        <w:fldChar w:fldCharType="separate"/>
      </w:r>
      <w:r w:rsidR="009325C8">
        <w:t>16</w:t>
      </w:r>
      <w:r>
        <w:fldChar w:fldCharType="end"/>
      </w:r>
    </w:p>
    <w:p w:rsidR="00491B58" w:rsidRDefault="00491B58">
      <w:pPr>
        <w:pStyle w:val="TOC3"/>
        <w:rPr>
          <w:rFonts w:asciiTheme="minorHAnsi" w:eastAsiaTheme="minorEastAsia" w:hAnsiTheme="minorHAnsi" w:cstheme="minorBidi"/>
          <w:szCs w:val="22"/>
        </w:rPr>
      </w:pPr>
      <w:r w:rsidRPr="00EF709A">
        <w:t>- silvicultural systems</w:t>
      </w:r>
      <w:r>
        <w:tab/>
      </w:r>
      <w:r>
        <w:fldChar w:fldCharType="begin"/>
      </w:r>
      <w:r>
        <w:instrText xml:space="preserve"> PAGEREF _Toc432658640 \h </w:instrText>
      </w:r>
      <w:r>
        <w:fldChar w:fldCharType="separate"/>
      </w:r>
      <w:r w:rsidR="009325C8">
        <w:t>17</w:t>
      </w:r>
      <w:r>
        <w:fldChar w:fldCharType="end"/>
      </w:r>
    </w:p>
    <w:p w:rsidR="00491B58" w:rsidRDefault="00491B58">
      <w:pPr>
        <w:pStyle w:val="TOC3"/>
        <w:rPr>
          <w:rFonts w:asciiTheme="minorHAnsi" w:eastAsiaTheme="minorEastAsia" w:hAnsiTheme="minorHAnsi" w:cstheme="minorBidi"/>
          <w:szCs w:val="22"/>
        </w:rPr>
      </w:pPr>
      <w:r w:rsidRPr="00EF709A">
        <w:t>- genetic improvement</w:t>
      </w:r>
      <w:r>
        <w:tab/>
      </w:r>
      <w:r>
        <w:fldChar w:fldCharType="begin"/>
      </w:r>
      <w:r>
        <w:instrText xml:space="preserve"> PAGEREF _Toc432658641 \h </w:instrText>
      </w:r>
      <w:r>
        <w:fldChar w:fldCharType="separate"/>
      </w:r>
      <w:r w:rsidR="009325C8">
        <w:t>17</w:t>
      </w:r>
      <w:r>
        <w:fldChar w:fldCharType="end"/>
      </w:r>
    </w:p>
    <w:p w:rsidR="00491B58" w:rsidRDefault="00491B58">
      <w:pPr>
        <w:pStyle w:val="TOC2"/>
        <w:rPr>
          <w:rFonts w:asciiTheme="minorHAnsi" w:eastAsiaTheme="minorEastAsia" w:hAnsiTheme="minorHAnsi" w:cstheme="minorBidi"/>
          <w:szCs w:val="22"/>
        </w:rPr>
      </w:pPr>
      <w:r w:rsidRPr="00EF709A">
        <w:rPr>
          <w:color w:val="000000" w:themeColor="text1"/>
        </w:rPr>
        <w:t>Factors considered under Section 8(8) (a)(v)</w:t>
      </w:r>
      <w:r>
        <w:tab/>
      </w:r>
      <w:r>
        <w:fldChar w:fldCharType="begin"/>
      </w:r>
      <w:r>
        <w:instrText xml:space="preserve"> PAGEREF _Toc432658642 \h </w:instrText>
      </w:r>
      <w:r>
        <w:fldChar w:fldCharType="separate"/>
      </w:r>
      <w:r w:rsidR="009325C8">
        <w:t>18</w:t>
      </w:r>
      <w:r>
        <w:fldChar w:fldCharType="end"/>
      </w:r>
    </w:p>
    <w:p w:rsidR="00491B58" w:rsidRDefault="00491B58">
      <w:pPr>
        <w:pStyle w:val="TOC3"/>
        <w:rPr>
          <w:rFonts w:asciiTheme="minorHAnsi" w:eastAsiaTheme="minorEastAsia" w:hAnsiTheme="minorHAnsi" w:cstheme="minorBidi"/>
          <w:szCs w:val="22"/>
        </w:rPr>
      </w:pPr>
      <w:r w:rsidRPr="00EF709A">
        <w:t>- ungulate winter range</w:t>
      </w:r>
      <w:r>
        <w:tab/>
      </w:r>
      <w:r>
        <w:fldChar w:fldCharType="begin"/>
      </w:r>
      <w:r>
        <w:instrText xml:space="preserve"> PAGEREF _Toc432658643 \h </w:instrText>
      </w:r>
      <w:r>
        <w:fldChar w:fldCharType="separate"/>
      </w:r>
      <w:r w:rsidR="009325C8">
        <w:t>18</w:t>
      </w:r>
      <w:r>
        <w:fldChar w:fldCharType="end"/>
      </w:r>
    </w:p>
    <w:p w:rsidR="00491B58" w:rsidRDefault="00491B58">
      <w:pPr>
        <w:pStyle w:val="TOC3"/>
        <w:rPr>
          <w:rFonts w:asciiTheme="minorHAnsi" w:eastAsiaTheme="minorEastAsia" w:hAnsiTheme="minorHAnsi" w:cstheme="minorBidi"/>
          <w:szCs w:val="22"/>
        </w:rPr>
      </w:pPr>
      <w:r w:rsidRPr="00EF709A">
        <w:t>- wildlife habitat areas</w:t>
      </w:r>
      <w:r>
        <w:tab/>
      </w:r>
      <w:r>
        <w:fldChar w:fldCharType="begin"/>
      </w:r>
      <w:r>
        <w:instrText xml:space="preserve"> PAGEREF _Toc432658644 \h </w:instrText>
      </w:r>
      <w:r>
        <w:fldChar w:fldCharType="separate"/>
      </w:r>
      <w:r w:rsidR="009325C8">
        <w:t>18</w:t>
      </w:r>
      <w:r>
        <w:fldChar w:fldCharType="end"/>
      </w:r>
    </w:p>
    <w:p w:rsidR="00491B58" w:rsidRDefault="00491B58">
      <w:pPr>
        <w:pStyle w:val="TOC3"/>
        <w:rPr>
          <w:rFonts w:asciiTheme="minorHAnsi" w:eastAsiaTheme="minorEastAsia" w:hAnsiTheme="minorHAnsi" w:cstheme="minorBidi"/>
          <w:szCs w:val="22"/>
        </w:rPr>
      </w:pPr>
      <w:r w:rsidRPr="00EF709A">
        <w:t>- watershed objectives</w:t>
      </w:r>
      <w:r>
        <w:tab/>
      </w:r>
      <w:r>
        <w:fldChar w:fldCharType="begin"/>
      </w:r>
      <w:r>
        <w:instrText xml:space="preserve"> PAGEREF _Toc432658645 \h </w:instrText>
      </w:r>
      <w:r>
        <w:fldChar w:fldCharType="separate"/>
      </w:r>
      <w:r w:rsidR="009325C8">
        <w:t>19</w:t>
      </w:r>
      <w:r>
        <w:fldChar w:fldCharType="end"/>
      </w:r>
    </w:p>
    <w:p w:rsidR="00491B58" w:rsidRDefault="00491B58">
      <w:pPr>
        <w:pStyle w:val="TOC3"/>
        <w:rPr>
          <w:rFonts w:asciiTheme="minorHAnsi" w:eastAsiaTheme="minorEastAsia" w:hAnsiTheme="minorHAnsi" w:cstheme="minorBidi"/>
          <w:szCs w:val="22"/>
        </w:rPr>
      </w:pPr>
      <w:r w:rsidRPr="00EF709A">
        <w:t>- disturbing the non</w:t>
      </w:r>
      <w:r w:rsidRPr="00EF709A">
        <w:noBreakHyphen/>
        <w:t>contributing land base</w:t>
      </w:r>
      <w:r>
        <w:tab/>
      </w:r>
      <w:r>
        <w:fldChar w:fldCharType="begin"/>
      </w:r>
      <w:r>
        <w:instrText xml:space="preserve"> PAGEREF _Toc432658646 \h </w:instrText>
      </w:r>
      <w:r>
        <w:fldChar w:fldCharType="separate"/>
      </w:r>
      <w:r w:rsidR="009325C8">
        <w:t>20</w:t>
      </w:r>
      <w:r>
        <w:fldChar w:fldCharType="end"/>
      </w:r>
    </w:p>
    <w:p w:rsidR="00491B58" w:rsidRDefault="00491B58">
      <w:pPr>
        <w:pStyle w:val="TOC2"/>
        <w:rPr>
          <w:rFonts w:asciiTheme="minorHAnsi" w:eastAsiaTheme="minorEastAsia" w:hAnsiTheme="minorHAnsi" w:cstheme="minorBidi"/>
          <w:szCs w:val="22"/>
        </w:rPr>
      </w:pPr>
      <w:r>
        <w:t>-</w:t>
      </w:r>
      <w:r w:rsidRPr="00EF709A">
        <w:rPr>
          <w:color w:val="000000" w:themeColor="text1"/>
        </w:rPr>
        <w:t xml:space="preserve"> Factors considered under Section 8(8) (a)(vi)</w:t>
      </w:r>
      <w:r>
        <w:tab/>
      </w:r>
      <w:r>
        <w:fldChar w:fldCharType="begin"/>
      </w:r>
      <w:r>
        <w:instrText xml:space="preserve"> PAGEREF _Toc432658647 \h </w:instrText>
      </w:r>
      <w:r>
        <w:fldChar w:fldCharType="separate"/>
      </w:r>
      <w:r w:rsidR="009325C8">
        <w:t>20</w:t>
      </w:r>
      <w:r>
        <w:fldChar w:fldCharType="end"/>
      </w:r>
    </w:p>
    <w:p w:rsidR="00491B58" w:rsidRDefault="00491B58">
      <w:pPr>
        <w:pStyle w:val="TOC3"/>
        <w:rPr>
          <w:rFonts w:asciiTheme="minorHAnsi" w:eastAsiaTheme="minorEastAsia" w:hAnsiTheme="minorHAnsi" w:cstheme="minorBidi"/>
          <w:szCs w:val="22"/>
        </w:rPr>
      </w:pPr>
      <w:r w:rsidRPr="00EF709A">
        <w:t>- pulpwood agreements, deciduous harvest and partitioned component of harvest</w:t>
      </w:r>
      <w:r>
        <w:tab/>
      </w:r>
      <w:r>
        <w:fldChar w:fldCharType="begin"/>
      </w:r>
      <w:r>
        <w:instrText xml:space="preserve"> PAGEREF _Toc432658648 \h </w:instrText>
      </w:r>
      <w:r>
        <w:fldChar w:fldCharType="separate"/>
      </w:r>
      <w:r w:rsidR="009325C8">
        <w:t>20</w:t>
      </w:r>
      <w:r>
        <w:fldChar w:fldCharType="end"/>
      </w:r>
    </w:p>
    <w:p w:rsidR="00491B58" w:rsidRDefault="00491B58">
      <w:pPr>
        <w:pStyle w:val="TOC3"/>
        <w:rPr>
          <w:rFonts w:asciiTheme="minorHAnsi" w:eastAsiaTheme="minorEastAsia" w:hAnsiTheme="minorHAnsi" w:cstheme="minorBidi"/>
          <w:szCs w:val="22"/>
        </w:rPr>
      </w:pPr>
      <w:r>
        <w:t>- harvest performance in balsam stands</w:t>
      </w:r>
      <w:r>
        <w:tab/>
      </w:r>
      <w:r>
        <w:fldChar w:fldCharType="begin"/>
      </w:r>
      <w:r>
        <w:instrText xml:space="preserve"> PAGEREF _Toc432658649 \h </w:instrText>
      </w:r>
      <w:r>
        <w:fldChar w:fldCharType="separate"/>
      </w:r>
      <w:r w:rsidR="009325C8">
        <w:t>21</w:t>
      </w:r>
      <w:r>
        <w:fldChar w:fldCharType="end"/>
      </w:r>
    </w:p>
    <w:p w:rsidR="00491B58" w:rsidRDefault="00491B58">
      <w:pPr>
        <w:pStyle w:val="TOC3"/>
        <w:rPr>
          <w:rFonts w:asciiTheme="minorHAnsi" w:eastAsiaTheme="minorEastAsia" w:hAnsiTheme="minorHAnsi" w:cstheme="minorBidi"/>
          <w:szCs w:val="22"/>
        </w:rPr>
      </w:pPr>
      <w:r>
        <w:t>- cumulative effects</w:t>
      </w:r>
      <w:r>
        <w:tab/>
      </w:r>
      <w:r>
        <w:fldChar w:fldCharType="begin"/>
      </w:r>
      <w:r>
        <w:instrText xml:space="preserve"> PAGEREF _Toc432658650 \h </w:instrText>
      </w:r>
      <w:r>
        <w:fldChar w:fldCharType="separate"/>
      </w:r>
      <w:r w:rsidR="009325C8">
        <w:t>22</w:t>
      </w:r>
      <w:r>
        <w:fldChar w:fldCharType="end"/>
      </w:r>
    </w:p>
    <w:p w:rsidR="00491B58" w:rsidRDefault="00491B58">
      <w:pPr>
        <w:pStyle w:val="TOC3"/>
        <w:rPr>
          <w:rFonts w:asciiTheme="minorHAnsi" w:eastAsiaTheme="minorEastAsia" w:hAnsiTheme="minorHAnsi" w:cstheme="minorBidi"/>
          <w:szCs w:val="22"/>
        </w:rPr>
      </w:pPr>
      <w:r>
        <w:t>- First Nations considerations</w:t>
      </w:r>
      <w:r>
        <w:tab/>
      </w:r>
      <w:r>
        <w:fldChar w:fldCharType="begin"/>
      </w:r>
      <w:r>
        <w:instrText xml:space="preserve"> PAGEREF _Toc432658651 \h </w:instrText>
      </w:r>
      <w:r>
        <w:fldChar w:fldCharType="separate"/>
      </w:r>
      <w:r w:rsidR="009325C8">
        <w:t>24</w:t>
      </w:r>
      <w:r>
        <w:fldChar w:fldCharType="end"/>
      </w:r>
    </w:p>
    <w:p w:rsidR="00491B58" w:rsidRDefault="00491B58">
      <w:pPr>
        <w:pStyle w:val="TOC2"/>
        <w:rPr>
          <w:rFonts w:asciiTheme="minorHAnsi" w:eastAsiaTheme="minorEastAsia" w:hAnsiTheme="minorHAnsi" w:cstheme="minorBidi"/>
          <w:szCs w:val="22"/>
        </w:rPr>
      </w:pPr>
      <w:r w:rsidRPr="00EF709A">
        <w:rPr>
          <w:color w:val="000000" w:themeColor="text1"/>
        </w:rPr>
        <w:t>Factors considered under Section 8(8) (b)</w:t>
      </w:r>
      <w:r>
        <w:tab/>
      </w:r>
      <w:r>
        <w:fldChar w:fldCharType="begin"/>
      </w:r>
      <w:r>
        <w:instrText xml:space="preserve"> PAGEREF _Toc432658652 \h </w:instrText>
      </w:r>
      <w:r>
        <w:fldChar w:fldCharType="separate"/>
      </w:r>
      <w:r w:rsidR="009325C8">
        <w:t>28</w:t>
      </w:r>
      <w:r>
        <w:fldChar w:fldCharType="end"/>
      </w:r>
    </w:p>
    <w:p w:rsidR="00491B58" w:rsidRDefault="00491B58">
      <w:pPr>
        <w:pStyle w:val="TOC3"/>
        <w:rPr>
          <w:rFonts w:asciiTheme="minorHAnsi" w:eastAsiaTheme="minorEastAsia" w:hAnsiTheme="minorHAnsi" w:cstheme="minorBidi"/>
          <w:szCs w:val="22"/>
        </w:rPr>
      </w:pPr>
      <w:r>
        <w:t>- alternative rates of harvest</w:t>
      </w:r>
      <w:r>
        <w:tab/>
      </w:r>
      <w:r>
        <w:fldChar w:fldCharType="begin"/>
      </w:r>
      <w:r>
        <w:instrText xml:space="preserve"> PAGEREF _Toc432658653 \h </w:instrText>
      </w:r>
      <w:r>
        <w:fldChar w:fldCharType="separate"/>
      </w:r>
      <w:r w:rsidR="009325C8">
        <w:t>28</w:t>
      </w:r>
      <w:r>
        <w:fldChar w:fldCharType="end"/>
      </w:r>
    </w:p>
    <w:p w:rsidR="00491B58" w:rsidRDefault="00491B58">
      <w:pPr>
        <w:pStyle w:val="TOC2"/>
        <w:rPr>
          <w:rFonts w:asciiTheme="minorHAnsi" w:eastAsiaTheme="minorEastAsia" w:hAnsiTheme="minorHAnsi" w:cstheme="minorBidi"/>
          <w:szCs w:val="22"/>
        </w:rPr>
      </w:pPr>
      <w:r w:rsidRPr="00EF709A">
        <w:rPr>
          <w:color w:val="000000" w:themeColor="text1"/>
        </w:rPr>
        <w:t>Factors considered under Section 8(8) (d)</w:t>
      </w:r>
      <w:r>
        <w:tab/>
      </w:r>
      <w:r>
        <w:fldChar w:fldCharType="begin"/>
      </w:r>
      <w:r>
        <w:instrText xml:space="preserve"> PAGEREF _Toc432658654 \h </w:instrText>
      </w:r>
      <w:r>
        <w:fldChar w:fldCharType="separate"/>
      </w:r>
      <w:r w:rsidR="009325C8">
        <w:t>29</w:t>
      </w:r>
      <w:r>
        <w:fldChar w:fldCharType="end"/>
      </w:r>
    </w:p>
    <w:p w:rsidR="00491B58" w:rsidRDefault="00491B58">
      <w:pPr>
        <w:pStyle w:val="TOC3"/>
        <w:rPr>
          <w:rFonts w:asciiTheme="minorHAnsi" w:eastAsiaTheme="minorEastAsia" w:hAnsiTheme="minorHAnsi" w:cstheme="minorBidi"/>
          <w:szCs w:val="22"/>
        </w:rPr>
      </w:pPr>
      <w:r w:rsidRPr="00EF709A">
        <w:rPr>
          <w:color w:val="000000" w:themeColor="text1"/>
        </w:rPr>
        <w:t>- Minister’s letter</w:t>
      </w:r>
      <w:r>
        <w:tab/>
      </w:r>
      <w:r>
        <w:fldChar w:fldCharType="begin"/>
      </w:r>
      <w:r>
        <w:instrText xml:space="preserve"> PAGEREF _Toc432658655 \h </w:instrText>
      </w:r>
      <w:r>
        <w:fldChar w:fldCharType="separate"/>
      </w:r>
      <w:r w:rsidR="009325C8">
        <w:t>29</w:t>
      </w:r>
      <w:r>
        <w:fldChar w:fldCharType="end"/>
      </w:r>
    </w:p>
    <w:p w:rsidR="00491B58" w:rsidRDefault="00491B58">
      <w:pPr>
        <w:pStyle w:val="TOC2"/>
        <w:rPr>
          <w:rFonts w:asciiTheme="minorHAnsi" w:eastAsiaTheme="minorEastAsia" w:hAnsiTheme="minorHAnsi" w:cstheme="minorBidi"/>
          <w:szCs w:val="22"/>
        </w:rPr>
      </w:pPr>
      <w:r w:rsidRPr="00EF709A">
        <w:rPr>
          <w:color w:val="000000" w:themeColor="text1"/>
        </w:rPr>
        <w:t>Factors considered under Section 8(8) (e)</w:t>
      </w:r>
      <w:r>
        <w:tab/>
      </w:r>
      <w:r>
        <w:fldChar w:fldCharType="begin"/>
      </w:r>
      <w:r>
        <w:instrText xml:space="preserve"> PAGEREF _Toc432658656 \h </w:instrText>
      </w:r>
      <w:r>
        <w:fldChar w:fldCharType="separate"/>
      </w:r>
      <w:r w:rsidR="009325C8">
        <w:t>30</w:t>
      </w:r>
      <w:r>
        <w:fldChar w:fldCharType="end"/>
      </w:r>
    </w:p>
    <w:p w:rsidR="00491B58" w:rsidRDefault="00491B58">
      <w:pPr>
        <w:pStyle w:val="TOC3"/>
        <w:rPr>
          <w:rFonts w:asciiTheme="minorHAnsi" w:eastAsiaTheme="minorEastAsia" w:hAnsiTheme="minorHAnsi" w:cstheme="minorBidi"/>
          <w:szCs w:val="22"/>
        </w:rPr>
      </w:pPr>
      <w:r w:rsidRPr="00EF709A">
        <w:rPr>
          <w:color w:val="000000" w:themeColor="text1"/>
        </w:rPr>
        <w:t>- fires</w:t>
      </w:r>
      <w:r>
        <w:tab/>
      </w:r>
      <w:r>
        <w:fldChar w:fldCharType="begin"/>
      </w:r>
      <w:r>
        <w:instrText xml:space="preserve"> PAGEREF _Toc432658657 \h </w:instrText>
      </w:r>
      <w:r>
        <w:fldChar w:fldCharType="separate"/>
      </w:r>
      <w:r w:rsidR="009325C8">
        <w:t>30</w:t>
      </w:r>
      <w:r>
        <w:fldChar w:fldCharType="end"/>
      </w:r>
    </w:p>
    <w:p w:rsidR="00491B58" w:rsidRDefault="00491B58">
      <w:pPr>
        <w:pStyle w:val="TOC1"/>
        <w:rPr>
          <w:rFonts w:asciiTheme="minorHAnsi" w:eastAsiaTheme="minorEastAsia" w:hAnsiTheme="minorHAnsi" w:cstheme="minorBidi"/>
          <w:szCs w:val="22"/>
        </w:rPr>
      </w:pPr>
      <w:r>
        <w:t>Reasons for Decision</w:t>
      </w:r>
      <w:r>
        <w:tab/>
      </w:r>
      <w:r>
        <w:fldChar w:fldCharType="begin"/>
      </w:r>
      <w:r>
        <w:instrText xml:space="preserve"> PAGEREF _Toc432658658 \h </w:instrText>
      </w:r>
      <w:r>
        <w:fldChar w:fldCharType="separate"/>
      </w:r>
      <w:r w:rsidR="009325C8">
        <w:t>30</w:t>
      </w:r>
      <w:r>
        <w:fldChar w:fldCharType="end"/>
      </w:r>
    </w:p>
    <w:p w:rsidR="00491B58" w:rsidRDefault="00491B58">
      <w:pPr>
        <w:pStyle w:val="TOC1"/>
        <w:rPr>
          <w:rFonts w:asciiTheme="minorHAnsi" w:eastAsiaTheme="minorEastAsia" w:hAnsiTheme="minorHAnsi" w:cstheme="minorBidi"/>
          <w:szCs w:val="22"/>
        </w:rPr>
      </w:pPr>
      <w:r w:rsidRPr="00EF709A">
        <w:rPr>
          <w:color w:val="000000" w:themeColor="text1"/>
        </w:rPr>
        <w:t>Determination</w:t>
      </w:r>
      <w:r>
        <w:tab/>
      </w:r>
      <w:r>
        <w:fldChar w:fldCharType="begin"/>
      </w:r>
      <w:r>
        <w:instrText xml:space="preserve"> PAGEREF _Toc432658659 \h </w:instrText>
      </w:r>
      <w:r>
        <w:fldChar w:fldCharType="separate"/>
      </w:r>
      <w:r w:rsidR="009325C8">
        <w:t>32</w:t>
      </w:r>
      <w:r>
        <w:fldChar w:fldCharType="end"/>
      </w:r>
    </w:p>
    <w:p w:rsidR="00491B58" w:rsidRDefault="00491B58">
      <w:pPr>
        <w:pStyle w:val="TOC1"/>
        <w:rPr>
          <w:rFonts w:asciiTheme="minorHAnsi" w:eastAsiaTheme="minorEastAsia" w:hAnsiTheme="minorHAnsi" w:cstheme="minorBidi"/>
          <w:szCs w:val="22"/>
        </w:rPr>
      </w:pPr>
      <w:r w:rsidRPr="00EF709A">
        <w:rPr>
          <w:color w:val="000000" w:themeColor="text1"/>
        </w:rPr>
        <w:t>Implementation</w:t>
      </w:r>
      <w:r>
        <w:tab/>
      </w:r>
      <w:r>
        <w:fldChar w:fldCharType="begin"/>
      </w:r>
      <w:r>
        <w:instrText xml:space="preserve"> PAGEREF _Toc432658660 \h </w:instrText>
      </w:r>
      <w:r>
        <w:fldChar w:fldCharType="separate"/>
      </w:r>
      <w:r w:rsidR="009325C8">
        <w:t>32</w:t>
      </w:r>
      <w:r>
        <w:fldChar w:fldCharType="end"/>
      </w:r>
    </w:p>
    <w:p w:rsidR="00491B58" w:rsidRDefault="00491B58">
      <w:pPr>
        <w:pStyle w:val="TOC1"/>
        <w:rPr>
          <w:rFonts w:asciiTheme="minorHAnsi" w:eastAsiaTheme="minorEastAsia" w:hAnsiTheme="minorHAnsi" w:cstheme="minorBidi"/>
          <w:szCs w:val="22"/>
        </w:rPr>
      </w:pPr>
      <w:r w:rsidRPr="00EF709A">
        <w:rPr>
          <w:color w:val="000000" w:themeColor="text1"/>
        </w:rPr>
        <w:t xml:space="preserve">Appendix 1: Section 8 of the </w:t>
      </w:r>
      <w:r w:rsidRPr="00EF709A">
        <w:rPr>
          <w:i/>
          <w:color w:val="000000" w:themeColor="text1"/>
        </w:rPr>
        <w:t>Forest Act</w:t>
      </w:r>
      <w:r>
        <w:tab/>
      </w:r>
      <w:r>
        <w:fldChar w:fldCharType="begin"/>
      </w:r>
      <w:r>
        <w:instrText xml:space="preserve"> PAGEREF _Toc432658661 \h </w:instrText>
      </w:r>
      <w:r>
        <w:fldChar w:fldCharType="separate"/>
      </w:r>
      <w:r w:rsidR="009325C8">
        <w:t>34</w:t>
      </w:r>
      <w:r>
        <w:fldChar w:fldCharType="end"/>
      </w:r>
    </w:p>
    <w:p w:rsidR="00491B58" w:rsidRDefault="00491B58">
      <w:pPr>
        <w:pStyle w:val="TOC1"/>
        <w:rPr>
          <w:rFonts w:asciiTheme="minorHAnsi" w:eastAsiaTheme="minorEastAsia" w:hAnsiTheme="minorHAnsi" w:cstheme="minorBidi"/>
          <w:szCs w:val="22"/>
        </w:rPr>
      </w:pPr>
      <w:r w:rsidRPr="00EF709A">
        <w:rPr>
          <w:color w:val="000000" w:themeColor="text1"/>
        </w:rPr>
        <w:t xml:space="preserve">Appendix 2: Section 4 of the </w:t>
      </w:r>
      <w:r w:rsidRPr="00EF709A">
        <w:rPr>
          <w:i/>
          <w:color w:val="000000" w:themeColor="text1"/>
        </w:rPr>
        <w:t>Ministry of Forests and Range Act</w:t>
      </w:r>
      <w:r>
        <w:tab/>
      </w:r>
      <w:r>
        <w:fldChar w:fldCharType="begin"/>
      </w:r>
      <w:r>
        <w:instrText xml:space="preserve"> PAGEREF _Toc432658662 \h </w:instrText>
      </w:r>
      <w:r>
        <w:fldChar w:fldCharType="separate"/>
      </w:r>
      <w:r w:rsidR="009325C8">
        <w:t>37</w:t>
      </w:r>
      <w:r>
        <w:fldChar w:fldCharType="end"/>
      </w:r>
    </w:p>
    <w:p w:rsidR="00491B58" w:rsidRDefault="00491B58">
      <w:pPr>
        <w:pStyle w:val="TOC1"/>
        <w:rPr>
          <w:rFonts w:asciiTheme="minorHAnsi" w:eastAsiaTheme="minorEastAsia" w:hAnsiTheme="minorHAnsi" w:cstheme="minorBidi"/>
          <w:szCs w:val="22"/>
        </w:rPr>
      </w:pPr>
      <w:r w:rsidRPr="00EF709A">
        <w:rPr>
          <w:color w:val="000000" w:themeColor="text1"/>
        </w:rPr>
        <w:t>Appendix 3: Minister’s letter of July 4, 2006</w:t>
      </w:r>
      <w:r>
        <w:tab/>
      </w:r>
      <w:r>
        <w:fldChar w:fldCharType="begin"/>
      </w:r>
      <w:r>
        <w:instrText xml:space="preserve"> PAGEREF _Toc432658663 \h </w:instrText>
      </w:r>
      <w:r>
        <w:fldChar w:fldCharType="separate"/>
      </w:r>
      <w:r w:rsidR="009325C8">
        <w:t>38</w:t>
      </w:r>
      <w:r>
        <w:fldChar w:fldCharType="end"/>
      </w:r>
    </w:p>
    <w:p w:rsidR="00491B58" w:rsidRDefault="00491B58">
      <w:pPr>
        <w:pStyle w:val="TOC1"/>
        <w:rPr>
          <w:rFonts w:asciiTheme="minorHAnsi" w:eastAsiaTheme="minorEastAsia" w:hAnsiTheme="minorHAnsi" w:cstheme="minorBidi"/>
          <w:szCs w:val="22"/>
        </w:rPr>
      </w:pPr>
      <w:r>
        <w:t>Appendix 4: Minister’s letter of October 27, 2010</w:t>
      </w:r>
      <w:r>
        <w:tab/>
      </w:r>
      <w:r>
        <w:fldChar w:fldCharType="begin"/>
      </w:r>
      <w:r>
        <w:instrText xml:space="preserve"> PAGEREF _Toc432658664 \h </w:instrText>
      </w:r>
      <w:r>
        <w:fldChar w:fldCharType="separate"/>
      </w:r>
      <w:r w:rsidR="009325C8">
        <w:t>40</w:t>
      </w:r>
      <w:r>
        <w:fldChar w:fldCharType="end"/>
      </w:r>
    </w:p>
    <w:p w:rsidR="00476045" w:rsidRDefault="005E1CA7" w:rsidP="00F44D90">
      <w:pPr>
        <w:spacing w:before="60" w:after="0"/>
        <w:rPr>
          <w:b/>
          <w:color w:val="000000"/>
          <w:szCs w:val="22"/>
          <w:u w:val="single"/>
        </w:rPr>
      </w:pPr>
      <w:r>
        <w:rPr>
          <w:b/>
          <w:color w:val="000000"/>
          <w:szCs w:val="22"/>
          <w:u w:val="single"/>
        </w:rPr>
        <w:lastRenderedPageBreak/>
        <w:fldChar w:fldCharType="end"/>
      </w:r>
    </w:p>
    <w:p w:rsidR="006158E8" w:rsidRPr="00597B41" w:rsidRDefault="006158E8" w:rsidP="006158E8">
      <w:pPr>
        <w:jc w:val="center"/>
        <w:rPr>
          <w:b/>
          <w:u w:val="single"/>
        </w:rPr>
      </w:pPr>
      <w:r w:rsidRPr="00597B41">
        <w:rPr>
          <w:b/>
          <w:u w:val="single"/>
        </w:rPr>
        <w:t>List of Tables</w:t>
      </w:r>
    </w:p>
    <w:p w:rsidR="006158E8" w:rsidRDefault="006158E8" w:rsidP="00657873">
      <w:pPr>
        <w:spacing w:before="60" w:after="0"/>
        <w:rPr>
          <w:b/>
          <w:color w:val="000000"/>
          <w:szCs w:val="22"/>
          <w:u w:val="single"/>
        </w:rPr>
      </w:pPr>
    </w:p>
    <w:p w:rsidR="00491B58" w:rsidRDefault="005E1CA7">
      <w:pPr>
        <w:pStyle w:val="TableofFigures"/>
        <w:tabs>
          <w:tab w:val="left" w:pos="1080"/>
          <w:tab w:val="right" w:leader="dot" w:pos="8630"/>
        </w:tabs>
        <w:rPr>
          <w:rFonts w:asciiTheme="minorHAnsi" w:eastAsiaTheme="minorEastAsia" w:hAnsiTheme="minorHAnsi" w:cstheme="minorBidi"/>
          <w:noProof/>
          <w:szCs w:val="22"/>
        </w:rPr>
      </w:pPr>
      <w:r>
        <w:fldChar w:fldCharType="begin"/>
      </w:r>
      <w:r w:rsidR="006158E8">
        <w:instrText xml:space="preserve"> TOC \h \z \t "Caption" \c </w:instrText>
      </w:r>
      <w:r>
        <w:fldChar w:fldCharType="separate"/>
      </w:r>
      <w:hyperlink w:anchor="_Toc432658665" w:history="1">
        <w:r w:rsidR="00491B58" w:rsidRPr="00AA4A64">
          <w:rPr>
            <w:rStyle w:val="Hyperlink"/>
            <w:noProof/>
          </w:rPr>
          <w:t>Table 1.</w:t>
        </w:r>
        <w:r w:rsidR="00491B58">
          <w:rPr>
            <w:rFonts w:asciiTheme="minorHAnsi" w:eastAsiaTheme="minorEastAsia" w:hAnsiTheme="minorHAnsi" w:cstheme="minorBidi"/>
            <w:noProof/>
            <w:szCs w:val="22"/>
          </w:rPr>
          <w:tab/>
        </w:r>
        <w:r w:rsidR="00491B58" w:rsidRPr="00AA4A64">
          <w:rPr>
            <w:rStyle w:val="Hyperlink"/>
            <w:noProof/>
          </w:rPr>
          <w:t>List of accepted factors</w:t>
        </w:r>
        <w:r w:rsidR="00491B58">
          <w:rPr>
            <w:noProof/>
            <w:webHidden/>
          </w:rPr>
          <w:tab/>
        </w:r>
        <w:r w:rsidR="00491B58">
          <w:rPr>
            <w:noProof/>
            <w:webHidden/>
          </w:rPr>
          <w:fldChar w:fldCharType="begin"/>
        </w:r>
        <w:r w:rsidR="00491B58">
          <w:rPr>
            <w:noProof/>
            <w:webHidden/>
          </w:rPr>
          <w:instrText xml:space="preserve"> PAGEREF _Toc432658665 \h </w:instrText>
        </w:r>
        <w:r w:rsidR="00491B58">
          <w:rPr>
            <w:noProof/>
            <w:webHidden/>
          </w:rPr>
        </w:r>
        <w:r w:rsidR="00491B58">
          <w:rPr>
            <w:noProof/>
            <w:webHidden/>
          </w:rPr>
          <w:fldChar w:fldCharType="separate"/>
        </w:r>
        <w:r w:rsidR="009325C8">
          <w:rPr>
            <w:noProof/>
            <w:webHidden/>
          </w:rPr>
          <w:t>10</w:t>
        </w:r>
        <w:r w:rsidR="00491B58">
          <w:rPr>
            <w:noProof/>
            <w:webHidden/>
          </w:rPr>
          <w:fldChar w:fldCharType="end"/>
        </w:r>
      </w:hyperlink>
    </w:p>
    <w:p w:rsidR="00342A7B" w:rsidRDefault="005E1CA7" w:rsidP="00655AC5">
      <w:pPr>
        <w:pStyle w:val="TableofFigures"/>
        <w:tabs>
          <w:tab w:val="left" w:pos="1080"/>
          <w:tab w:val="right" w:leader="dot" w:pos="8630"/>
        </w:tabs>
      </w:pPr>
      <w:r>
        <w:fldChar w:fldCharType="end"/>
      </w:r>
    </w:p>
    <w:p w:rsidR="00491C8A" w:rsidRDefault="00491C8A" w:rsidP="00655AC5">
      <w:pPr>
        <w:pStyle w:val="TableofFigures"/>
        <w:tabs>
          <w:tab w:val="left" w:pos="1080"/>
          <w:tab w:val="right" w:leader="dot" w:pos="8630"/>
        </w:tabs>
        <w:sectPr w:rsidR="00491C8A" w:rsidSect="00491C8A">
          <w:headerReference w:type="default" r:id="rId15"/>
          <w:footerReference w:type="even" r:id="rId16"/>
          <w:footerReference w:type="default" r:id="rId17"/>
          <w:pgSz w:w="12240" w:h="15840"/>
          <w:pgMar w:top="1440" w:right="1800" w:bottom="1440" w:left="1800" w:header="706" w:footer="706" w:gutter="0"/>
          <w:pgNumType w:fmt="lowerRoman" w:start="1"/>
          <w:cols w:space="720"/>
          <w:titlePg/>
          <w:docGrid w:linePitch="360"/>
        </w:sectPr>
      </w:pPr>
    </w:p>
    <w:p w:rsidR="004D680B" w:rsidRPr="00C541B6" w:rsidRDefault="004D680B" w:rsidP="004D680B">
      <w:pPr>
        <w:pStyle w:val="Heading1"/>
        <w:spacing w:before="0"/>
        <w:rPr>
          <w:lang w:val="en-CA"/>
        </w:rPr>
      </w:pPr>
      <w:bookmarkStart w:id="21" w:name="_Toc432658618"/>
      <w:bookmarkStart w:id="22" w:name="_Toc406464382"/>
      <w:bookmarkStart w:id="23" w:name="_Toc421290301"/>
      <w:bookmarkStart w:id="24" w:name="_Toc255246755"/>
      <w:bookmarkStart w:id="25" w:name="_Toc255246843"/>
      <w:bookmarkStart w:id="26" w:name="_Toc256501001"/>
      <w:bookmarkStart w:id="27" w:name="_Toc317667240"/>
      <w:r w:rsidRPr="00C541B6">
        <w:rPr>
          <w:lang w:val="en-CA"/>
        </w:rPr>
        <w:t>Objective of this document</w:t>
      </w:r>
      <w:bookmarkEnd w:id="21"/>
    </w:p>
    <w:p w:rsidR="004D680B" w:rsidRPr="00C541B6" w:rsidRDefault="004D680B" w:rsidP="004D680B">
      <w:r w:rsidRPr="00C541B6">
        <w:t xml:space="preserve">This document provides an accounting of the factors I have considered, and the rationale I have employed in making my determination, under Section 8 of the </w:t>
      </w:r>
      <w:r w:rsidRPr="00C541B6">
        <w:rPr>
          <w:i/>
        </w:rPr>
        <w:t>Forest Act</w:t>
      </w:r>
      <w:r w:rsidRPr="00C541B6">
        <w:t>, of the allowable annual cut (AAC) for T</w:t>
      </w:r>
      <w:r w:rsidR="00CB5A47">
        <w:t xml:space="preserve">ree </w:t>
      </w:r>
      <w:r w:rsidRPr="00C541B6">
        <w:t>F</w:t>
      </w:r>
      <w:r w:rsidR="00CB5A47">
        <w:t xml:space="preserve">arm </w:t>
      </w:r>
      <w:r w:rsidRPr="00C541B6">
        <w:t>L</w:t>
      </w:r>
      <w:r w:rsidR="00CB5A47">
        <w:t>icence</w:t>
      </w:r>
      <w:r w:rsidR="00E90953">
        <w:t> </w:t>
      </w:r>
      <w:r w:rsidR="008724B1">
        <w:t>48</w:t>
      </w:r>
      <w:r w:rsidR="00CB5A47">
        <w:t xml:space="preserve"> (TFL</w:t>
      </w:r>
      <w:r w:rsidR="00E90953">
        <w:t> </w:t>
      </w:r>
      <w:r w:rsidR="00CB5A47">
        <w:t>48)</w:t>
      </w:r>
      <w:r w:rsidRPr="00C541B6">
        <w:t>.  This document also identifies where new or better information is needed for incorporation in future determinations.</w:t>
      </w:r>
    </w:p>
    <w:p w:rsidR="004D680B" w:rsidRPr="005E3775" w:rsidRDefault="004D680B" w:rsidP="004D680B">
      <w:pPr>
        <w:pStyle w:val="Heading1"/>
        <w:spacing w:before="240"/>
        <w:rPr>
          <w:szCs w:val="26"/>
        </w:rPr>
      </w:pPr>
      <w:bookmarkStart w:id="28" w:name="_Toc317767196"/>
      <w:bookmarkStart w:id="29" w:name="_Toc432658619"/>
      <w:r w:rsidRPr="005E3775">
        <w:rPr>
          <w:szCs w:val="26"/>
        </w:rPr>
        <w:t>Statutory framework</w:t>
      </w:r>
      <w:bookmarkEnd w:id="28"/>
      <w:bookmarkEnd w:id="29"/>
    </w:p>
    <w:p w:rsidR="004D680B" w:rsidRPr="00C541B6" w:rsidRDefault="004D680B" w:rsidP="004D680B">
      <w:r w:rsidRPr="00C541B6">
        <w:t>Section</w:t>
      </w:r>
      <w:r w:rsidR="008724B1">
        <w:t xml:space="preserve"> </w:t>
      </w:r>
      <w:r w:rsidRPr="00C541B6">
        <w:t xml:space="preserve">8 of the </w:t>
      </w:r>
      <w:r w:rsidRPr="00C541B6">
        <w:rPr>
          <w:i/>
        </w:rPr>
        <w:t>Forest Act</w:t>
      </w:r>
      <w:r w:rsidRPr="00C541B6">
        <w:t xml:space="preserve"> requires the chief forester to consider a number of specified factors in determining AACs for timber supply areas (TSAs) and TFLs.  Section 8 of the </w:t>
      </w:r>
      <w:r w:rsidRPr="00C541B6">
        <w:rPr>
          <w:i/>
        </w:rPr>
        <w:t>Act</w:t>
      </w:r>
      <w:r w:rsidRPr="00C541B6">
        <w:t xml:space="preserve"> is reproduced in full as Appendix 1 of this document.</w:t>
      </w:r>
    </w:p>
    <w:p w:rsidR="004D680B" w:rsidRPr="00C541B6" w:rsidRDefault="004D680B" w:rsidP="004D680B">
      <w:pPr>
        <w:pStyle w:val="Heading1"/>
        <w:rPr>
          <w:lang w:val="en-CA"/>
        </w:rPr>
      </w:pPr>
      <w:bookmarkStart w:id="30" w:name="_Toc317767197"/>
      <w:bookmarkStart w:id="31" w:name="_Toc432658620"/>
      <w:r w:rsidRPr="00C541B6">
        <w:rPr>
          <w:lang w:val="en-CA"/>
        </w:rPr>
        <w:t xml:space="preserve">Description </w:t>
      </w:r>
      <w:bookmarkEnd w:id="30"/>
      <w:r w:rsidRPr="00C541B6">
        <w:rPr>
          <w:lang w:val="en-CA"/>
        </w:rPr>
        <w:t>of the TFL</w:t>
      </w:r>
      <w:bookmarkEnd w:id="31"/>
    </w:p>
    <w:p w:rsidR="008724B1" w:rsidRPr="0025119B" w:rsidRDefault="008724B1" w:rsidP="008724B1">
      <w:r w:rsidRPr="0025119B">
        <w:t>TFL</w:t>
      </w:r>
      <w:r w:rsidR="00E90953">
        <w:t> </w:t>
      </w:r>
      <w:r w:rsidRPr="0025119B">
        <w:t xml:space="preserve">48, also known as the </w:t>
      </w:r>
      <w:proofErr w:type="spellStart"/>
      <w:r w:rsidRPr="0025119B">
        <w:t>Chetwynd</w:t>
      </w:r>
      <w:proofErr w:type="spellEnd"/>
      <w:r w:rsidR="00E90953">
        <w:t> </w:t>
      </w:r>
      <w:r w:rsidRPr="0025119B">
        <w:t xml:space="preserve">TFL, is held by </w:t>
      </w:r>
      <w:bookmarkStart w:id="32" w:name="OLE_LINK5"/>
      <w:bookmarkStart w:id="33" w:name="OLE_LINK6"/>
      <w:r w:rsidRPr="0025119B">
        <w:t>Canadian Forest Products Limited</w:t>
      </w:r>
      <w:bookmarkEnd w:id="32"/>
      <w:bookmarkEnd w:id="33"/>
      <w:r w:rsidRPr="0025119B">
        <w:t xml:space="preserve"> (Canfor</w:t>
      </w:r>
      <w:r w:rsidR="00E90953">
        <w:t> </w:t>
      </w:r>
      <w:r w:rsidRPr="0025119B">
        <w:t xml:space="preserve">or </w:t>
      </w:r>
      <w:r w:rsidR="00866BF7">
        <w:t>‘</w:t>
      </w:r>
      <w:r w:rsidRPr="0025119B">
        <w:t>the licensee</w:t>
      </w:r>
      <w:r w:rsidR="00866BF7">
        <w:t>’</w:t>
      </w:r>
      <w:r w:rsidRPr="0025119B">
        <w:t xml:space="preserve">).  </w:t>
      </w:r>
      <w:r w:rsidR="0025119B" w:rsidRPr="0025119B">
        <w:t>It is made up of</w:t>
      </w:r>
      <w:r w:rsidRPr="0025119B">
        <w:t xml:space="preserve"> five </w:t>
      </w:r>
      <w:r w:rsidR="0025119B" w:rsidRPr="0025119B">
        <w:t xml:space="preserve">distinct </w:t>
      </w:r>
      <w:r w:rsidRPr="0025119B">
        <w:t xml:space="preserve">supply blocks in the southwest portion of the Peace </w:t>
      </w:r>
      <w:r w:rsidR="002F363A" w:rsidRPr="0025119B">
        <w:t xml:space="preserve">Natural Resource </w:t>
      </w:r>
      <w:r w:rsidRPr="0025119B">
        <w:t xml:space="preserve">District.  </w:t>
      </w:r>
      <w:r w:rsidR="0025119B" w:rsidRPr="0025119B">
        <w:t>The d</w:t>
      </w:r>
      <w:r w:rsidRPr="0025119B">
        <w:t>istrict office is based in Dawson Creek</w:t>
      </w:r>
      <w:r w:rsidR="004C6BB8">
        <w:t>.  It</w:t>
      </w:r>
      <w:r w:rsidRPr="0025119B">
        <w:t xml:space="preserve"> is one of </w:t>
      </w:r>
      <w:r w:rsidR="00B94F61">
        <w:t>two</w:t>
      </w:r>
      <w:r w:rsidR="00B94F61" w:rsidRPr="0025119B">
        <w:t xml:space="preserve"> </w:t>
      </w:r>
      <w:r w:rsidR="0025119B" w:rsidRPr="0025119B">
        <w:t xml:space="preserve">districts </w:t>
      </w:r>
      <w:r w:rsidRPr="0025119B">
        <w:t xml:space="preserve">in the </w:t>
      </w:r>
      <w:r w:rsidR="0025119B" w:rsidRPr="0025119B">
        <w:t>Northeast</w:t>
      </w:r>
      <w:r w:rsidRPr="0025119B">
        <w:t xml:space="preserve"> Region </w:t>
      </w:r>
      <w:r w:rsidR="0025119B" w:rsidRPr="0025119B">
        <w:t>of the Ministry of Forests, Lands and Natural Resource Operations (FLNR)</w:t>
      </w:r>
      <w:r w:rsidRPr="0025119B">
        <w:t>.</w:t>
      </w:r>
    </w:p>
    <w:p w:rsidR="008724B1" w:rsidRPr="0025119B" w:rsidRDefault="0025119B" w:rsidP="008724B1">
      <w:r w:rsidRPr="0025119B">
        <w:t xml:space="preserve">The majority of the </w:t>
      </w:r>
      <w:r w:rsidR="008724B1" w:rsidRPr="0025119B">
        <w:t>TFL borders the Dawson Creek Timber Supply Area (TSA), but portions also share boundaries with the Mackenzie</w:t>
      </w:r>
      <w:r w:rsidRPr="0025119B">
        <w:t xml:space="preserve">, </w:t>
      </w:r>
      <w:r w:rsidR="008724B1" w:rsidRPr="0025119B">
        <w:t xml:space="preserve">Fort St. John </w:t>
      </w:r>
      <w:r w:rsidRPr="0025119B">
        <w:t xml:space="preserve">and Prince George </w:t>
      </w:r>
      <w:r w:rsidR="008724B1" w:rsidRPr="0025119B">
        <w:t>TSAs.</w:t>
      </w:r>
      <w:r w:rsidRPr="0025119B">
        <w:t xml:space="preserve">  Approximately 67 percent of the TFL overlaps with the operating area of Pulpwood Agreement </w:t>
      </w:r>
      <w:r w:rsidR="000339DE">
        <w:t>(PA)</w:t>
      </w:r>
      <w:r w:rsidR="007478D1">
        <w:t> </w:t>
      </w:r>
      <w:r w:rsidRPr="0025119B">
        <w:t xml:space="preserve">13, held by </w:t>
      </w:r>
      <w:proofErr w:type="spellStart"/>
      <w:r w:rsidR="00345205">
        <w:t>Chetwynd</w:t>
      </w:r>
      <w:proofErr w:type="spellEnd"/>
      <w:r w:rsidR="00345205">
        <w:t xml:space="preserve"> Mechanical Pulp, a Paper Excellence Company</w:t>
      </w:r>
      <w:r w:rsidRPr="0025119B">
        <w:t>.</w:t>
      </w:r>
    </w:p>
    <w:p w:rsidR="008724B1" w:rsidRPr="0025119B" w:rsidRDefault="008724B1" w:rsidP="008724B1">
      <w:r w:rsidRPr="0025119B">
        <w:t>The eastern</w:t>
      </w:r>
      <w:r w:rsidR="0025119B" w:rsidRPr="0025119B">
        <w:t xml:space="preserve"> </w:t>
      </w:r>
      <w:r w:rsidR="00B94F61" w:rsidRPr="0025119B">
        <w:t>p</w:t>
      </w:r>
      <w:r w:rsidR="00B94F61">
        <w:t>a</w:t>
      </w:r>
      <w:r w:rsidR="00B94F61" w:rsidRPr="0025119B">
        <w:t xml:space="preserve">rt </w:t>
      </w:r>
      <w:r w:rsidR="0025119B" w:rsidRPr="0025119B">
        <w:t xml:space="preserve">of the TFL is located in the Alberta Plateau, </w:t>
      </w:r>
      <w:r w:rsidRPr="0025119B">
        <w:t xml:space="preserve">characterized by flat or gently rolling terrain, while the southern and western parts are </w:t>
      </w:r>
      <w:r w:rsidR="0025119B" w:rsidRPr="0025119B">
        <w:t xml:space="preserve">within the Rocky Mountains.  </w:t>
      </w:r>
      <w:r w:rsidRPr="0025119B">
        <w:t>The</w:t>
      </w:r>
      <w:r w:rsidR="0025119B" w:rsidRPr="0025119B">
        <w:t>re are</w:t>
      </w:r>
      <w:r w:rsidRPr="0025119B">
        <w:t xml:space="preserve"> four </w:t>
      </w:r>
      <w:proofErr w:type="spellStart"/>
      <w:r w:rsidRPr="0025119B">
        <w:t>biogeoclimatic</w:t>
      </w:r>
      <w:proofErr w:type="spellEnd"/>
      <w:r w:rsidRPr="0025119B">
        <w:t xml:space="preserve"> zones </w:t>
      </w:r>
      <w:r w:rsidR="0025119B" w:rsidRPr="0025119B">
        <w:t xml:space="preserve">found </w:t>
      </w:r>
      <w:r w:rsidRPr="0025119B">
        <w:t>in the TFL</w:t>
      </w:r>
      <w:r w:rsidR="0025119B" w:rsidRPr="0025119B">
        <w:t xml:space="preserve">:  </w:t>
      </w:r>
      <w:r w:rsidRPr="0025119B">
        <w:t>Boreal White and Black Spruce (BWBS), Sub</w:t>
      </w:r>
      <w:r w:rsidRPr="0025119B">
        <w:noBreakHyphen/>
        <w:t>Boreal Spruce (SBS), Engelmann Spruce</w:t>
      </w:r>
      <w:r w:rsidRPr="0025119B">
        <w:noBreakHyphen/>
        <w:t>Subalpine Fir (ESSF) and Alpine Tundra (AT).</w:t>
      </w:r>
    </w:p>
    <w:p w:rsidR="008724B1" w:rsidRPr="0025119B" w:rsidRDefault="0025119B" w:rsidP="008724B1">
      <w:r w:rsidRPr="0025119B">
        <w:t>There is</w:t>
      </w:r>
      <w:r w:rsidR="008724B1" w:rsidRPr="0025119B">
        <w:t xml:space="preserve"> considerable variation in tree species and productivity.  </w:t>
      </w:r>
      <w:r w:rsidRPr="0025119B">
        <w:t>P</w:t>
      </w:r>
      <w:r w:rsidR="008724B1" w:rsidRPr="0025119B">
        <w:t xml:space="preserve">rincipal commercial </w:t>
      </w:r>
      <w:r w:rsidRPr="0025119B">
        <w:t xml:space="preserve">tree </w:t>
      </w:r>
      <w:r w:rsidR="008724B1" w:rsidRPr="0025119B">
        <w:t xml:space="preserve">species are white spruce, </w:t>
      </w:r>
      <w:proofErr w:type="spellStart"/>
      <w:r w:rsidR="008724B1" w:rsidRPr="0025119B">
        <w:t>lodgepole</w:t>
      </w:r>
      <w:proofErr w:type="spellEnd"/>
      <w:r w:rsidR="008724B1" w:rsidRPr="0025119B">
        <w:t xml:space="preserve"> pine, subalpine fir, trembling aspen and cottonwood.  A large proportion of these species exist in mixed</w:t>
      </w:r>
      <w:r w:rsidR="008724B1" w:rsidRPr="0025119B">
        <w:noBreakHyphen/>
        <w:t xml:space="preserve">wood stands </w:t>
      </w:r>
      <w:r w:rsidRPr="0025119B">
        <w:t>of</w:t>
      </w:r>
      <w:r w:rsidR="008724B1" w:rsidRPr="0025119B">
        <w:t xml:space="preserve"> two or more different species.  </w:t>
      </w:r>
      <w:r w:rsidRPr="0025119B">
        <w:t>L</w:t>
      </w:r>
      <w:r w:rsidR="008724B1" w:rsidRPr="0025119B">
        <w:t xml:space="preserve">arch, white birch and black spruce also occur in the TFL but </w:t>
      </w:r>
      <w:r w:rsidRPr="0025119B">
        <w:t xml:space="preserve">are not </w:t>
      </w:r>
      <w:r w:rsidR="008724B1" w:rsidRPr="0025119B">
        <w:t>commercial</w:t>
      </w:r>
      <w:r w:rsidRPr="0025119B">
        <w:t>ly valuable</w:t>
      </w:r>
      <w:r w:rsidR="008724B1" w:rsidRPr="0025119B">
        <w:t xml:space="preserve"> at present.</w:t>
      </w:r>
    </w:p>
    <w:p w:rsidR="008724B1" w:rsidRPr="006372CC" w:rsidRDefault="00923F44" w:rsidP="008724B1">
      <w:r w:rsidRPr="00C95B1A">
        <w:rPr>
          <w:szCs w:val="22"/>
        </w:rPr>
        <w:t>TFL</w:t>
      </w:r>
      <w:r w:rsidR="00C95B1A">
        <w:rPr>
          <w:szCs w:val="22"/>
        </w:rPr>
        <w:t> </w:t>
      </w:r>
      <w:r w:rsidRPr="00C95B1A">
        <w:rPr>
          <w:szCs w:val="22"/>
        </w:rPr>
        <w:t>48 is within the geographical area covered by Treaty</w:t>
      </w:r>
      <w:r w:rsidR="00C95B1A">
        <w:rPr>
          <w:szCs w:val="22"/>
        </w:rPr>
        <w:t> </w:t>
      </w:r>
      <w:r w:rsidRPr="00C95B1A">
        <w:rPr>
          <w:szCs w:val="22"/>
        </w:rPr>
        <w:t>8 and overlaps the traditional territories of t</w:t>
      </w:r>
      <w:r w:rsidR="008724B1" w:rsidRPr="00C95B1A">
        <w:t>he West Moberly</w:t>
      </w:r>
      <w:r w:rsidR="006372CC" w:rsidRPr="00C95B1A">
        <w:t xml:space="preserve"> First Nation</w:t>
      </w:r>
      <w:r w:rsidR="00346D70" w:rsidRPr="00C95B1A">
        <w:t>s</w:t>
      </w:r>
      <w:r w:rsidR="008724B1" w:rsidRPr="00C95B1A">
        <w:t xml:space="preserve">, </w:t>
      </w:r>
      <w:proofErr w:type="spellStart"/>
      <w:r w:rsidR="008724B1" w:rsidRPr="00C95B1A">
        <w:t>Saulteau</w:t>
      </w:r>
      <w:proofErr w:type="spellEnd"/>
      <w:r w:rsidR="006372CC" w:rsidRPr="00C95B1A">
        <w:t xml:space="preserve"> First Nation</w:t>
      </w:r>
      <w:r w:rsidR="00346D70" w:rsidRPr="00C95B1A">
        <w:t>s</w:t>
      </w:r>
      <w:r w:rsidR="00DE6CBF" w:rsidRPr="00C95B1A">
        <w:t xml:space="preserve">, </w:t>
      </w:r>
      <w:r w:rsidR="008724B1" w:rsidRPr="00C95B1A">
        <w:t xml:space="preserve">Halfway River First Nation, </w:t>
      </w:r>
      <w:r w:rsidR="009E2584" w:rsidRPr="00C95B1A">
        <w:t xml:space="preserve">Blueberry River First Nations </w:t>
      </w:r>
      <w:r w:rsidR="008724B1" w:rsidRPr="00C95B1A">
        <w:t xml:space="preserve">and </w:t>
      </w:r>
      <w:r w:rsidR="006372CC" w:rsidRPr="00C95B1A">
        <w:t xml:space="preserve">the </w:t>
      </w:r>
      <w:r w:rsidR="008724B1" w:rsidRPr="00C95B1A">
        <w:t xml:space="preserve">McLeod Lake Indian Band </w:t>
      </w:r>
      <w:r w:rsidRPr="00C95B1A">
        <w:t xml:space="preserve">who </w:t>
      </w:r>
      <w:r w:rsidR="008724B1" w:rsidRPr="00C95B1A">
        <w:t>are signatories to Treaty</w:t>
      </w:r>
      <w:r w:rsidR="00C0005F" w:rsidRPr="00C95B1A">
        <w:t> </w:t>
      </w:r>
      <w:r w:rsidR="008724B1" w:rsidRPr="00C95B1A">
        <w:t>8</w:t>
      </w:r>
      <w:r w:rsidR="006372CC" w:rsidRPr="00C95B1A">
        <w:t>.  They</w:t>
      </w:r>
      <w:r w:rsidR="006372CC" w:rsidRPr="006372CC">
        <w:t xml:space="preserve"> </w:t>
      </w:r>
      <w:r w:rsidR="007A6C69">
        <w:t xml:space="preserve">each </w:t>
      </w:r>
      <w:r w:rsidR="006372CC" w:rsidRPr="006372CC">
        <w:t xml:space="preserve">have </w:t>
      </w:r>
      <w:r w:rsidR="009E2584">
        <w:t>traditional territor</w:t>
      </w:r>
      <w:r w:rsidR="001065B9">
        <w:t>ies</w:t>
      </w:r>
      <w:r w:rsidR="008724B1" w:rsidRPr="006372CC">
        <w:t xml:space="preserve"> that overlap with portions of TFL</w:t>
      </w:r>
      <w:r w:rsidR="007478D1">
        <w:t> </w:t>
      </w:r>
      <w:r w:rsidR="008724B1" w:rsidRPr="006372CC">
        <w:t>48</w:t>
      </w:r>
      <w:r w:rsidR="006372CC" w:rsidRPr="006372CC">
        <w:t>.  The West Moberly First</w:t>
      </w:r>
      <w:r w:rsidR="007478D1">
        <w:t> </w:t>
      </w:r>
      <w:r w:rsidR="006372CC" w:rsidRPr="006372CC">
        <w:t>Nation</w:t>
      </w:r>
      <w:r w:rsidR="00481C2E">
        <w:t>s</w:t>
      </w:r>
      <w:r w:rsidR="006372CC" w:rsidRPr="006372CC">
        <w:t xml:space="preserve"> and </w:t>
      </w:r>
      <w:proofErr w:type="spellStart"/>
      <w:r w:rsidR="006372CC" w:rsidRPr="006372CC">
        <w:t>Saulteau</w:t>
      </w:r>
      <w:proofErr w:type="spellEnd"/>
      <w:r w:rsidR="006372CC" w:rsidRPr="006372CC">
        <w:t xml:space="preserve"> First Nation</w:t>
      </w:r>
      <w:r w:rsidR="00481C2E">
        <w:t>s</w:t>
      </w:r>
      <w:r w:rsidR="006372CC" w:rsidRPr="006372CC">
        <w:t xml:space="preserve"> have</w:t>
      </w:r>
      <w:r w:rsidR="008724B1" w:rsidRPr="006372CC">
        <w:t xml:space="preserve"> reserves that are directly adjacent to the TFL.</w:t>
      </w:r>
    </w:p>
    <w:p w:rsidR="008724B1" w:rsidRPr="0025119B" w:rsidRDefault="0025119B" w:rsidP="008724B1">
      <w:r w:rsidRPr="0025119B">
        <w:t xml:space="preserve">Communities in the area include </w:t>
      </w:r>
      <w:proofErr w:type="spellStart"/>
      <w:r w:rsidR="008724B1" w:rsidRPr="0025119B">
        <w:t>Chetwynd</w:t>
      </w:r>
      <w:proofErr w:type="spellEnd"/>
      <w:r w:rsidR="008724B1" w:rsidRPr="0025119B">
        <w:t xml:space="preserve">, Tumbler Ridge, Hudson’s Hope, </w:t>
      </w:r>
      <w:r w:rsidRPr="0025119B">
        <w:t xml:space="preserve">West Moberly, </w:t>
      </w:r>
      <w:r w:rsidR="008724B1" w:rsidRPr="0025119B">
        <w:t xml:space="preserve">Moberly Lake and </w:t>
      </w:r>
      <w:proofErr w:type="spellStart"/>
      <w:r w:rsidR="008724B1" w:rsidRPr="0025119B">
        <w:t>Saulteau</w:t>
      </w:r>
      <w:proofErr w:type="spellEnd"/>
      <w:r w:rsidR="008724B1" w:rsidRPr="0025119B">
        <w:t xml:space="preserve">.  </w:t>
      </w:r>
      <w:proofErr w:type="spellStart"/>
      <w:r w:rsidR="008724B1" w:rsidRPr="0025119B">
        <w:t>Chetwynd</w:t>
      </w:r>
      <w:proofErr w:type="spellEnd"/>
      <w:r w:rsidRPr="0025119B">
        <w:t xml:space="preserve"> is where the </w:t>
      </w:r>
      <w:r w:rsidR="008724B1" w:rsidRPr="0025119B">
        <w:t>licensee’s sawmill</w:t>
      </w:r>
      <w:r w:rsidRPr="0025119B">
        <w:t xml:space="preserve"> is located and</w:t>
      </w:r>
      <w:r w:rsidR="008724B1" w:rsidRPr="0025119B">
        <w:t xml:space="preserve"> is the most economically dependent upon harvesting </w:t>
      </w:r>
      <w:r w:rsidRPr="0025119B">
        <w:t xml:space="preserve">operations </w:t>
      </w:r>
      <w:r w:rsidR="008724B1" w:rsidRPr="0025119B">
        <w:t>in TFL</w:t>
      </w:r>
      <w:r w:rsidR="007478D1">
        <w:t> </w:t>
      </w:r>
      <w:r w:rsidR="008724B1" w:rsidRPr="0025119B">
        <w:t>48.  Other economic activities in the area include oil and gas exploration and development, mining, hydro</w:t>
      </w:r>
      <w:r w:rsidR="008724B1" w:rsidRPr="0025119B">
        <w:noBreakHyphen/>
        <w:t>electric power generation, agriculture, trapping, outdoor recreation</w:t>
      </w:r>
      <w:r w:rsidRPr="0025119B">
        <w:t xml:space="preserve"> and public service</w:t>
      </w:r>
      <w:r>
        <w:t>s</w:t>
      </w:r>
      <w:r w:rsidR="008724B1" w:rsidRPr="0025119B">
        <w:t>.</w:t>
      </w:r>
    </w:p>
    <w:p w:rsidR="008724B1" w:rsidRPr="001065B9" w:rsidRDefault="004A7108" w:rsidP="008724B1">
      <w:r w:rsidRPr="004A7108">
        <w:t>The current timber harvesting land base</w:t>
      </w:r>
      <w:r w:rsidR="00F6233D">
        <w:t xml:space="preserve"> (THLB)</w:t>
      </w:r>
      <w:r w:rsidRPr="004A7108">
        <w:t xml:space="preserve"> assumed in the base case of the TFL</w:t>
      </w:r>
      <w:r w:rsidR="007478D1">
        <w:t> </w:t>
      </w:r>
      <w:r w:rsidRPr="004A7108">
        <w:t xml:space="preserve">48 analysis is </w:t>
      </w:r>
      <w:r w:rsidR="008724B1" w:rsidRPr="004A7108">
        <w:t>35</w:t>
      </w:r>
      <w:r w:rsidRPr="004A7108">
        <w:t>9</w:t>
      </w:r>
      <w:r w:rsidR="008724B1" w:rsidRPr="004A7108">
        <w:t> </w:t>
      </w:r>
      <w:r w:rsidRPr="004A7108">
        <w:t>717 hectares, or 55.9 percent of the total TFL area.  A further 32 percent of the</w:t>
      </w:r>
      <w:r w:rsidR="00F74DAD">
        <w:t xml:space="preserve"> TFL is covered in productive forest</w:t>
      </w:r>
      <w:r w:rsidR="00B94F61">
        <w:t xml:space="preserve"> that is not considered to be in the timber harvesting land base</w:t>
      </w:r>
      <w:r w:rsidRPr="004A7108">
        <w:t>, and the remainder is non</w:t>
      </w:r>
      <w:r w:rsidR="007478D1">
        <w:noBreakHyphen/>
      </w:r>
      <w:r w:rsidRPr="004A7108">
        <w:t>productive or non</w:t>
      </w:r>
      <w:r w:rsidR="007478D1">
        <w:noBreakHyphen/>
      </w:r>
      <w:r w:rsidRPr="004A7108">
        <w:t>forested area</w:t>
      </w:r>
      <w:r>
        <w:t>.</w:t>
      </w:r>
    </w:p>
    <w:p w:rsidR="007478D1" w:rsidRDefault="007478D1">
      <w:pPr>
        <w:overflowPunct/>
        <w:autoSpaceDE/>
        <w:autoSpaceDN/>
        <w:adjustRightInd/>
        <w:spacing w:before="0" w:after="0"/>
        <w:textAlignment w:val="auto"/>
        <w:rPr>
          <w:b/>
          <w:kern w:val="28"/>
          <w:sz w:val="26"/>
        </w:rPr>
      </w:pPr>
      <w:bookmarkStart w:id="34" w:name="_Toc405699477"/>
      <w:bookmarkStart w:id="35" w:name="_Toc405699666"/>
      <w:bookmarkStart w:id="36" w:name="_Toc405699885"/>
      <w:bookmarkStart w:id="37" w:name="_Toc405700201"/>
      <w:bookmarkStart w:id="38" w:name="_Toc405700298"/>
      <w:bookmarkStart w:id="39" w:name="_Toc405772285"/>
      <w:bookmarkStart w:id="40" w:name="_Toc405774098"/>
      <w:bookmarkStart w:id="41" w:name="_Toc405774424"/>
      <w:bookmarkStart w:id="42" w:name="_Toc405774702"/>
      <w:bookmarkStart w:id="43" w:name="_Toc405774758"/>
      <w:bookmarkStart w:id="44" w:name="_Toc405774854"/>
      <w:bookmarkStart w:id="45" w:name="_Toc405801465"/>
      <w:bookmarkStart w:id="46" w:name="_Toc405886864"/>
      <w:bookmarkStart w:id="47" w:name="_Toc405887102"/>
      <w:bookmarkStart w:id="48" w:name="_Toc405887231"/>
      <w:bookmarkStart w:id="49" w:name="_Toc405887470"/>
      <w:bookmarkStart w:id="50" w:name="_Toc405887532"/>
      <w:bookmarkStart w:id="51" w:name="_Toc405887607"/>
      <w:bookmarkStart w:id="52" w:name="_Toc406408995"/>
      <w:bookmarkStart w:id="53" w:name="_Toc406464384"/>
      <w:bookmarkStart w:id="54" w:name="_Toc421290303"/>
      <w:bookmarkStart w:id="55" w:name="_Toc256501004"/>
      <w:bookmarkStart w:id="56" w:name="_Toc31766724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2"/>
      <w:bookmarkEnd w:id="23"/>
      <w:bookmarkEnd w:id="24"/>
      <w:bookmarkEnd w:id="25"/>
      <w:bookmarkEnd w:id="26"/>
      <w:bookmarkEnd w:id="27"/>
      <w:r>
        <w:br w:type="page"/>
      </w:r>
    </w:p>
    <w:p w:rsidR="004D680B" w:rsidRPr="00C541B6" w:rsidRDefault="004D680B" w:rsidP="004D680B">
      <w:pPr>
        <w:pStyle w:val="Heading1"/>
        <w:rPr>
          <w:sz w:val="24"/>
          <w:lang w:val="en-CA"/>
        </w:rPr>
      </w:pPr>
      <w:bookmarkStart w:id="57" w:name="_Toc432658621"/>
      <w:r w:rsidRPr="00C541B6">
        <w:rPr>
          <w:lang w:val="en-CA"/>
        </w:rPr>
        <w:t>History of the AAC</w:t>
      </w:r>
      <w:bookmarkEnd w:id="57"/>
    </w:p>
    <w:p w:rsidR="008724B1" w:rsidRDefault="004D680B" w:rsidP="004D680B">
      <w:r w:rsidRPr="00C541B6">
        <w:t xml:space="preserve">The most recent AAC was determined in </w:t>
      </w:r>
      <w:r w:rsidR="008724B1">
        <w:t>May</w:t>
      </w:r>
      <w:r w:rsidR="00C0005F">
        <w:t> </w:t>
      </w:r>
      <w:r w:rsidRPr="00C541B6">
        <w:t>200</w:t>
      </w:r>
      <w:r w:rsidR="008724B1">
        <w:t>7</w:t>
      </w:r>
      <w:r w:rsidRPr="00C541B6">
        <w:t xml:space="preserve"> at </w:t>
      </w:r>
      <w:r w:rsidR="008724B1">
        <w:t>900</w:t>
      </w:r>
      <w:r w:rsidR="007478D1">
        <w:t> </w:t>
      </w:r>
      <w:r w:rsidRPr="00C541B6">
        <w:t xml:space="preserve">000 cubic metres. </w:t>
      </w:r>
      <w:r w:rsidR="00F74DAD">
        <w:t xml:space="preserve"> This included a 100 000 </w:t>
      </w:r>
      <w:r w:rsidR="001F1F10">
        <w:t xml:space="preserve">cubic metre attribution </w:t>
      </w:r>
      <w:r w:rsidR="003E71E6">
        <w:t xml:space="preserve">under </w:t>
      </w:r>
      <w:r w:rsidR="007478D1">
        <w:t>S</w:t>
      </w:r>
      <w:r w:rsidR="003E71E6">
        <w:t>ection</w:t>
      </w:r>
      <w:r w:rsidR="00AF188C">
        <w:t> </w:t>
      </w:r>
      <w:r w:rsidR="003E71E6">
        <w:t>8(5</w:t>
      </w:r>
      <w:proofErr w:type="gramStart"/>
      <w:r w:rsidR="003E71E6">
        <w:t>)(</w:t>
      </w:r>
      <w:proofErr w:type="gramEnd"/>
      <w:r w:rsidR="003E71E6">
        <w:t xml:space="preserve">a) of the </w:t>
      </w:r>
      <w:r w:rsidR="003E71E6" w:rsidRPr="009F47B4">
        <w:rPr>
          <w:i/>
        </w:rPr>
        <w:t>Forest Act</w:t>
      </w:r>
      <w:r w:rsidR="003E71E6">
        <w:t xml:space="preserve"> </w:t>
      </w:r>
      <w:r w:rsidR="001F1F10">
        <w:t>to deciduous</w:t>
      </w:r>
      <w:r w:rsidR="00F74DAD">
        <w:t xml:space="preserve"> and coniferous trees within deciduous</w:t>
      </w:r>
      <w:r w:rsidR="007478D1">
        <w:noBreakHyphen/>
      </w:r>
      <w:r w:rsidR="00F74DAD">
        <w:t>leading stands.</w:t>
      </w:r>
    </w:p>
    <w:p w:rsidR="004D680B" w:rsidRPr="00C541B6" w:rsidRDefault="004D680B" w:rsidP="004D680B">
      <w:pPr>
        <w:pStyle w:val="Heading1"/>
        <w:rPr>
          <w:lang w:val="en-CA"/>
        </w:rPr>
      </w:pPr>
      <w:bookmarkStart w:id="58" w:name="_Toc317767199"/>
      <w:bookmarkStart w:id="59" w:name="_Toc432658622"/>
      <w:r w:rsidRPr="00C541B6">
        <w:rPr>
          <w:lang w:val="en-CA"/>
        </w:rPr>
        <w:t>New AAC determination</w:t>
      </w:r>
      <w:bookmarkEnd w:id="58"/>
      <w:bookmarkEnd w:id="59"/>
    </w:p>
    <w:p w:rsidR="004D680B" w:rsidRPr="00C541B6" w:rsidRDefault="004D680B" w:rsidP="004D680B">
      <w:r w:rsidRPr="00C541B6">
        <w:t>Effective</w:t>
      </w:r>
      <w:r w:rsidR="007478D1">
        <w:t xml:space="preserve"> </w:t>
      </w:r>
      <w:r w:rsidR="00391021">
        <w:t>October</w:t>
      </w:r>
      <w:r w:rsidR="00C0005F">
        <w:t> </w:t>
      </w:r>
      <w:r w:rsidR="00BC5124">
        <w:t>15</w:t>
      </w:r>
      <w:r w:rsidR="007478D1">
        <w:t>,</w:t>
      </w:r>
      <w:r w:rsidRPr="00C541B6">
        <w:t xml:space="preserve"> 201</w:t>
      </w:r>
      <w:r w:rsidR="008724B1">
        <w:t>5</w:t>
      </w:r>
      <w:r w:rsidR="002A6AC2">
        <w:t>,</w:t>
      </w:r>
      <w:r w:rsidRPr="00C541B6">
        <w:t xml:space="preserve"> the new AAC for TFL</w:t>
      </w:r>
      <w:r w:rsidR="007478D1">
        <w:t> </w:t>
      </w:r>
      <w:r w:rsidR="008724B1">
        <w:t>48</w:t>
      </w:r>
      <w:r w:rsidRPr="00C541B6">
        <w:t xml:space="preserve"> is </w:t>
      </w:r>
      <w:r w:rsidR="00BC698C">
        <w:t>1</w:t>
      </w:r>
      <w:r w:rsidR="007478D1">
        <w:t> </w:t>
      </w:r>
      <w:r w:rsidR="00BC698C">
        <w:t>550</w:t>
      </w:r>
      <w:r w:rsidR="007478D1">
        <w:t> </w:t>
      </w:r>
      <w:r w:rsidR="00BC698C">
        <w:t>000</w:t>
      </w:r>
      <w:r w:rsidRPr="00C541B6">
        <w:t xml:space="preserve"> cubic metres</w:t>
      </w:r>
      <w:r w:rsidR="0039542E">
        <w:t xml:space="preserve"> for five</w:t>
      </w:r>
      <w:r w:rsidR="007478D1">
        <w:t> </w:t>
      </w:r>
      <w:r w:rsidR="0039542E">
        <w:t xml:space="preserve">years from the date of this determination.  After that the AAC will be </w:t>
      </w:r>
      <w:r w:rsidR="002A6AC2">
        <w:t>871</w:t>
      </w:r>
      <w:r w:rsidR="007478D1">
        <w:t> </w:t>
      </w:r>
      <w:r w:rsidR="002A6AC2">
        <w:t>000</w:t>
      </w:r>
      <w:r w:rsidR="0039542E">
        <w:t xml:space="preserve"> cubic metres.</w:t>
      </w:r>
      <w:r w:rsidRPr="00C541B6">
        <w:t xml:space="preserve">  </w:t>
      </w:r>
      <w:r w:rsidR="003E71E6">
        <w:t>Within t</w:t>
      </w:r>
      <w:r w:rsidR="001A44D8">
        <w:t>his AAC</w:t>
      </w:r>
      <w:r w:rsidR="009F47B4">
        <w:t>,</w:t>
      </w:r>
      <w:r w:rsidR="001A44D8">
        <w:t xml:space="preserve"> </w:t>
      </w:r>
      <w:r w:rsidR="002A6AC2">
        <w:t>I specify</w:t>
      </w:r>
      <w:r w:rsidR="003E71E6">
        <w:t xml:space="preserve"> under </w:t>
      </w:r>
      <w:r w:rsidR="007478D1">
        <w:t>S</w:t>
      </w:r>
      <w:r w:rsidR="003E71E6">
        <w:t>ection</w:t>
      </w:r>
      <w:r w:rsidR="00C0005F">
        <w:t> </w:t>
      </w:r>
      <w:r w:rsidR="003E71E6">
        <w:t>8(5</w:t>
      </w:r>
      <w:proofErr w:type="gramStart"/>
      <w:r w:rsidR="003E71E6">
        <w:t>)(</w:t>
      </w:r>
      <w:proofErr w:type="gramEnd"/>
      <w:r w:rsidR="003E71E6">
        <w:t xml:space="preserve">a) of the </w:t>
      </w:r>
      <w:r w:rsidR="003E71E6" w:rsidRPr="009F47B4">
        <w:rPr>
          <w:i/>
        </w:rPr>
        <w:t>Forest Act</w:t>
      </w:r>
      <w:r w:rsidR="001A44D8">
        <w:t xml:space="preserve"> </w:t>
      </w:r>
      <w:r w:rsidR="003E71E6">
        <w:t xml:space="preserve">that </w:t>
      </w:r>
      <w:r w:rsidR="00BC698C">
        <w:t>100</w:t>
      </w:r>
      <w:r w:rsidR="00FB2621">
        <w:t> </w:t>
      </w:r>
      <w:r w:rsidR="00BC698C">
        <w:t>000</w:t>
      </w:r>
      <w:r w:rsidR="001A44D8">
        <w:t xml:space="preserve"> cubic metres </w:t>
      </w:r>
      <w:r w:rsidR="003E71E6">
        <w:t xml:space="preserve">are </w:t>
      </w:r>
      <w:r w:rsidR="001A44D8">
        <w:t xml:space="preserve">attributable to </w:t>
      </w:r>
      <w:r w:rsidR="00917313">
        <w:t xml:space="preserve">deciduous and coniferous trees in </w:t>
      </w:r>
      <w:r w:rsidR="001A44D8">
        <w:t>deciduous</w:t>
      </w:r>
      <w:r w:rsidR="00C0005F">
        <w:noBreakHyphen/>
      </w:r>
      <w:r w:rsidR="001A44D8">
        <w:t xml:space="preserve">leading stands.  </w:t>
      </w:r>
      <w:r w:rsidRPr="00C541B6">
        <w:t xml:space="preserve">This AAC will remain in effect until a new AAC is determined, which must take place within </w:t>
      </w:r>
      <w:r w:rsidRPr="00EA3D2F">
        <w:t>10</w:t>
      </w:r>
      <w:r w:rsidRPr="00C541B6">
        <w:t> years of this determination.</w:t>
      </w:r>
    </w:p>
    <w:p w:rsidR="003040FE" w:rsidRPr="00C541B6" w:rsidRDefault="007525B5">
      <w:pPr>
        <w:pStyle w:val="Heading1"/>
        <w:rPr>
          <w:lang w:val="en-CA"/>
        </w:rPr>
      </w:pPr>
      <w:bookmarkStart w:id="60" w:name="_Toc405699479"/>
      <w:bookmarkStart w:id="61" w:name="_Toc405699668"/>
      <w:bookmarkStart w:id="62" w:name="_Toc405699887"/>
      <w:bookmarkStart w:id="63" w:name="_Toc405700203"/>
      <w:bookmarkStart w:id="64" w:name="_Toc405700300"/>
      <w:bookmarkStart w:id="65" w:name="_Toc405772287"/>
      <w:bookmarkStart w:id="66" w:name="_Toc405774100"/>
      <w:bookmarkStart w:id="67" w:name="_Toc405774426"/>
      <w:bookmarkStart w:id="68" w:name="_Toc405774704"/>
      <w:bookmarkStart w:id="69" w:name="_Toc405774760"/>
      <w:bookmarkStart w:id="70" w:name="_Toc405774856"/>
      <w:bookmarkStart w:id="71" w:name="_Toc405801467"/>
      <w:bookmarkStart w:id="72" w:name="_Toc405886866"/>
      <w:bookmarkStart w:id="73" w:name="_Toc405887104"/>
      <w:bookmarkStart w:id="74" w:name="_Toc405887233"/>
      <w:bookmarkStart w:id="75" w:name="_Toc405887472"/>
      <w:bookmarkStart w:id="76" w:name="_Toc405887534"/>
      <w:bookmarkStart w:id="77" w:name="_Toc405887609"/>
      <w:bookmarkStart w:id="78" w:name="_Toc406408997"/>
      <w:bookmarkStart w:id="79" w:name="_Toc406464386"/>
      <w:bookmarkStart w:id="80" w:name="_Toc421290305"/>
      <w:bookmarkStart w:id="81" w:name="_Toc256501006"/>
      <w:bookmarkStart w:id="82" w:name="_Toc317667244"/>
      <w:bookmarkStart w:id="83" w:name="_Toc43265862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7525B5">
        <w:rPr>
          <w:lang w:val="en-CA"/>
        </w:rPr>
        <w:t>Information sources used in the AAC determination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E33C6C" w:rsidRPr="00463753" w:rsidRDefault="00E33C6C" w:rsidP="00E33C6C">
      <w:pPr>
        <w:rPr>
          <w:color w:val="000000" w:themeColor="text1"/>
        </w:rPr>
      </w:pPr>
      <w:bookmarkStart w:id="84" w:name="_Toc405699480"/>
      <w:bookmarkStart w:id="85" w:name="_Toc405699669"/>
      <w:bookmarkStart w:id="86" w:name="_Toc405699888"/>
      <w:bookmarkStart w:id="87" w:name="_Toc405700204"/>
      <w:bookmarkStart w:id="88" w:name="_Toc405700301"/>
      <w:bookmarkStart w:id="89" w:name="_Toc405772288"/>
      <w:bookmarkStart w:id="90" w:name="_Toc405774101"/>
      <w:bookmarkStart w:id="91" w:name="_Toc405774427"/>
      <w:bookmarkStart w:id="92" w:name="_Toc405774705"/>
      <w:bookmarkStart w:id="93" w:name="_Toc405774761"/>
      <w:bookmarkStart w:id="94" w:name="_Toc405774857"/>
      <w:bookmarkStart w:id="95" w:name="_Toc405801468"/>
      <w:bookmarkStart w:id="96" w:name="_Toc405886867"/>
      <w:bookmarkStart w:id="97" w:name="_Toc405887105"/>
      <w:bookmarkStart w:id="98" w:name="_Toc405887234"/>
      <w:bookmarkStart w:id="99" w:name="_Toc405887473"/>
      <w:bookmarkStart w:id="100" w:name="_Toc405887535"/>
      <w:bookmarkStart w:id="101" w:name="_Toc405887610"/>
      <w:bookmarkStart w:id="102" w:name="_Toc406408998"/>
      <w:bookmarkStart w:id="103" w:name="_Toc406464387"/>
      <w:bookmarkStart w:id="104" w:name="_Toc421290306"/>
      <w:bookmarkStart w:id="105" w:name="_Toc256501007"/>
      <w:r>
        <w:rPr>
          <w:color w:val="000000" w:themeColor="text1"/>
        </w:rPr>
        <w:t>The information sources considered in determining this AAC for TFL </w:t>
      </w:r>
      <w:r w:rsidR="008724B1">
        <w:rPr>
          <w:color w:val="000000" w:themeColor="text1"/>
        </w:rPr>
        <w:t>48</w:t>
      </w:r>
      <w:r>
        <w:rPr>
          <w:color w:val="000000" w:themeColor="text1"/>
        </w:rPr>
        <w:t xml:space="preserve"> include the following:</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TFL</w:t>
      </w:r>
      <w:r w:rsidR="00C0005F">
        <w:rPr>
          <w:color w:val="000000" w:themeColor="text1"/>
        </w:rPr>
        <w:t> </w:t>
      </w:r>
      <w:r w:rsidRPr="003A4EEF">
        <w:rPr>
          <w:color w:val="000000" w:themeColor="text1"/>
        </w:rPr>
        <w:t xml:space="preserve">48 Timber Supply Analysis Report. </w:t>
      </w:r>
      <w:r w:rsidR="00C0005F">
        <w:rPr>
          <w:color w:val="000000" w:themeColor="text1"/>
        </w:rPr>
        <w:t xml:space="preserve"> </w:t>
      </w:r>
      <w:r w:rsidRPr="003A4EEF">
        <w:rPr>
          <w:color w:val="000000" w:themeColor="text1"/>
        </w:rPr>
        <w:t xml:space="preserve">Canfor.  Submitted August 8, 2006 and accepted by the BCFS on August 31, 2006 (referred to as the </w:t>
      </w:r>
      <w:r w:rsidR="00866BF7">
        <w:rPr>
          <w:color w:val="000000" w:themeColor="text1"/>
        </w:rPr>
        <w:t>‘</w:t>
      </w:r>
      <w:r w:rsidRPr="003A4EEF">
        <w:rPr>
          <w:color w:val="000000" w:themeColor="text1"/>
        </w:rPr>
        <w:t>2006 analysis</w:t>
      </w:r>
      <w:r w:rsidR="00866BF7">
        <w:rPr>
          <w:color w:val="000000" w:themeColor="text1"/>
        </w:rPr>
        <w:t>’</w:t>
      </w:r>
      <w:r w:rsidRPr="003A4EEF">
        <w:rPr>
          <w:color w:val="000000" w:themeColor="text1"/>
        </w:rPr>
        <w:t xml:space="preserve"> in this document);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TFL</w:t>
      </w:r>
      <w:r w:rsidR="00C0005F">
        <w:rPr>
          <w:color w:val="000000" w:themeColor="text1"/>
        </w:rPr>
        <w:t> </w:t>
      </w:r>
      <w:r w:rsidRPr="003A4EEF">
        <w:rPr>
          <w:color w:val="000000" w:themeColor="text1"/>
        </w:rPr>
        <w:t>48 Timber Supply Analysis Information Package.  Canfor.  Submitted March 17, 2006 and accepted by the BCFS on April 25, 2006;</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Tree Farm Licence 48, Vegetation Resource Inventory Statistical Adjustment.  </w:t>
      </w:r>
      <w:r w:rsidRPr="003A4EEF" w:rsidDel="00EE77D5">
        <w:rPr>
          <w:color w:val="000000" w:themeColor="text1"/>
        </w:rPr>
        <w:t>Prepared by J.</w:t>
      </w:r>
      <w:r w:rsidRPr="003A4EEF">
        <w:rPr>
          <w:color w:val="000000" w:themeColor="text1"/>
        </w:rPr>
        <w:t> </w:t>
      </w:r>
      <w:r w:rsidRPr="003A4EEF" w:rsidDel="00EE77D5">
        <w:rPr>
          <w:color w:val="000000" w:themeColor="text1"/>
        </w:rPr>
        <w:t>S. Thrower and Associates for Canfor</w:t>
      </w:r>
      <w:r w:rsidR="007A6C69">
        <w:rPr>
          <w:color w:val="000000" w:themeColor="text1"/>
        </w:rPr>
        <w:t xml:space="preserve">, </w:t>
      </w:r>
      <w:r w:rsidRPr="003A4EEF">
        <w:rPr>
          <w:color w:val="000000" w:themeColor="text1"/>
        </w:rPr>
        <w:t>March 16, 2005;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Natural Stand Yields, submitted September, 2013 and accepted by F</w:t>
      </w:r>
      <w:r w:rsidR="005B650A">
        <w:rPr>
          <w:color w:val="000000" w:themeColor="text1"/>
        </w:rPr>
        <w:t xml:space="preserve">orest </w:t>
      </w:r>
      <w:r w:rsidRPr="003A4EEF">
        <w:rPr>
          <w:color w:val="000000" w:themeColor="text1"/>
        </w:rPr>
        <w:t>A</w:t>
      </w:r>
      <w:r w:rsidR="005B650A">
        <w:rPr>
          <w:color w:val="000000" w:themeColor="text1"/>
        </w:rPr>
        <w:t xml:space="preserve">nalysis and </w:t>
      </w:r>
      <w:r w:rsidRPr="003A4EEF">
        <w:rPr>
          <w:color w:val="000000" w:themeColor="text1"/>
        </w:rPr>
        <w:t>I</w:t>
      </w:r>
      <w:r w:rsidR="005B650A">
        <w:rPr>
          <w:color w:val="000000" w:themeColor="text1"/>
        </w:rPr>
        <w:t xml:space="preserve">nventory </w:t>
      </w:r>
      <w:r w:rsidRPr="003A4EEF">
        <w:rPr>
          <w:color w:val="000000" w:themeColor="text1"/>
        </w:rPr>
        <w:t>B</w:t>
      </w:r>
      <w:r w:rsidR="005B650A">
        <w:rPr>
          <w:color w:val="000000" w:themeColor="text1"/>
        </w:rPr>
        <w:t>ranch (FAIB)</w:t>
      </w:r>
      <w:r w:rsidRPr="003A4EEF">
        <w:rPr>
          <w:color w:val="000000" w:themeColor="text1"/>
        </w:rPr>
        <w:t xml:space="preserve"> staff April 8,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Managed Stand Yields, submitted February 12, 2014 and accepted by FAIB staff March</w:t>
      </w:r>
      <w:r w:rsidR="00C0005F">
        <w:rPr>
          <w:color w:val="000000" w:themeColor="text1"/>
        </w:rPr>
        <w:t> </w:t>
      </w:r>
      <w:r w:rsidRPr="003A4EEF">
        <w:rPr>
          <w:color w:val="000000" w:themeColor="text1"/>
        </w:rPr>
        <w:t>20,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Tree Farm Licence # 48, Timber Supply Analysis Data Package submitted September,</w:t>
      </w:r>
      <w:r w:rsidR="00FB2621">
        <w:rPr>
          <w:color w:val="000000" w:themeColor="text1"/>
        </w:rPr>
        <w:t> </w:t>
      </w:r>
      <w:r w:rsidRPr="003A4EEF">
        <w:rPr>
          <w:color w:val="000000" w:themeColor="text1"/>
        </w:rPr>
        <w:t>2013, updated February 2014, accepted by FAIB staff April 1,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Tree Farm Licence #48, Management Plan # 5, Expedited Timber Supply Analysis, submitted February, 2014, re</w:t>
      </w:r>
      <w:r w:rsidR="00C0005F">
        <w:rPr>
          <w:color w:val="000000" w:themeColor="text1"/>
        </w:rPr>
        <w:noBreakHyphen/>
      </w:r>
      <w:r w:rsidRPr="003A4EEF">
        <w:rPr>
          <w:color w:val="000000" w:themeColor="text1"/>
        </w:rPr>
        <w:t>submitted June, 2014, re</w:t>
      </w:r>
      <w:r w:rsidR="00C0005F">
        <w:rPr>
          <w:color w:val="000000" w:themeColor="text1"/>
        </w:rPr>
        <w:noBreakHyphen/>
      </w:r>
      <w:r w:rsidRPr="003A4EEF">
        <w:rPr>
          <w:color w:val="000000" w:themeColor="text1"/>
        </w:rPr>
        <w:t xml:space="preserve">submitted December 2014, accepted </w:t>
      </w:r>
      <w:r w:rsidR="00833B28">
        <w:rPr>
          <w:color w:val="000000" w:themeColor="text1"/>
        </w:rPr>
        <w:t xml:space="preserve">by FAIB staff </w:t>
      </w:r>
      <w:r w:rsidRPr="003A4EEF">
        <w:rPr>
          <w:color w:val="000000" w:themeColor="text1"/>
        </w:rPr>
        <w:t>April 1, 2015;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Management Plan #5, Tree Farm Licence 48, submitted June 11, 2014, re</w:t>
      </w:r>
      <w:r w:rsidR="00C0005F">
        <w:rPr>
          <w:color w:val="000000" w:themeColor="text1"/>
        </w:rPr>
        <w:noBreakHyphen/>
      </w:r>
      <w:r w:rsidRPr="003A4EEF">
        <w:rPr>
          <w:color w:val="000000" w:themeColor="text1"/>
        </w:rPr>
        <w:t>submitted January</w:t>
      </w:r>
      <w:r w:rsidR="00FA3CAE">
        <w:rPr>
          <w:color w:val="000000" w:themeColor="text1"/>
        </w:rPr>
        <w:t> </w:t>
      </w:r>
      <w:r w:rsidRPr="003A4EEF">
        <w:rPr>
          <w:color w:val="000000" w:themeColor="text1"/>
        </w:rPr>
        <w:t>21, 2015.  Chief Forester a</w:t>
      </w:r>
      <w:r w:rsidR="00E95463">
        <w:rPr>
          <w:color w:val="000000" w:themeColor="text1"/>
        </w:rPr>
        <w:t>pproved October 15, 2015</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Dawson Creek Land and Resource Management Plan, BC Land Use Coordination Office, 1999;</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Forest and Range Practices Act</w:t>
      </w:r>
      <w:r w:rsidRPr="003A4EEF">
        <w:rPr>
          <w:color w:val="000000" w:themeColor="text1"/>
        </w:rPr>
        <w:t>, Regulations and Amendments;</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0339DE">
        <w:rPr>
          <w:i/>
          <w:color w:val="000000" w:themeColor="text1"/>
        </w:rPr>
        <w:t>Oil and Gas Activities Act</w:t>
      </w:r>
      <w:r w:rsidRPr="003A4EEF">
        <w:rPr>
          <w:color w:val="000000" w:themeColor="text1"/>
        </w:rPr>
        <w:t>, Regulations and Amendments;</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Forest Practices Code of British Columbia Act</w:t>
      </w:r>
      <w:r w:rsidRPr="003A4EEF">
        <w:rPr>
          <w:color w:val="000000" w:themeColor="text1"/>
        </w:rPr>
        <w:t xml:space="preserve"> and amendments and regulations and guidebooks;</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Interpretation Act</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Land Act</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Heritage Conservation Act</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Order Establishing Provincial Non</w:t>
      </w:r>
      <w:r w:rsidR="00C0005F">
        <w:rPr>
          <w:color w:val="000000" w:themeColor="text1"/>
        </w:rPr>
        <w:noBreakHyphen/>
      </w:r>
      <w:r w:rsidRPr="003A4EEF">
        <w:rPr>
          <w:color w:val="000000" w:themeColor="text1"/>
        </w:rPr>
        <w:t>Spatial Old Growth Objectives, June 30, 2004;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2010 Visual Landscape Inventory Update, Peace Forest District, Dawson Creek TSA</w:t>
      </w:r>
      <w:r w:rsidR="000339DE">
        <w:rPr>
          <w:color w:val="000000" w:themeColor="text1"/>
        </w:rPr>
        <w:t xml:space="preserve"> </w:t>
      </w:r>
      <w:r w:rsidRPr="003A4EEF">
        <w:rPr>
          <w:color w:val="000000" w:themeColor="text1"/>
        </w:rPr>
        <w:t>&amp;</w:t>
      </w:r>
      <w:r w:rsidR="000339DE">
        <w:rPr>
          <w:color w:val="000000" w:themeColor="text1"/>
        </w:rPr>
        <w:t xml:space="preserve"> </w:t>
      </w:r>
      <w:r w:rsidR="00780A2C" w:rsidRPr="003A4EEF">
        <w:rPr>
          <w:color w:val="000000" w:themeColor="text1"/>
        </w:rPr>
        <w:t>TFL</w:t>
      </w:r>
      <w:r w:rsidR="00780A2C">
        <w:rPr>
          <w:color w:val="000000" w:themeColor="text1"/>
        </w:rPr>
        <w:t> </w:t>
      </w:r>
      <w:r w:rsidRPr="003A4EEF">
        <w:rPr>
          <w:color w:val="000000" w:themeColor="text1"/>
        </w:rPr>
        <w:t xml:space="preserve">48 – Moberly Lake and Highway 97, </w:t>
      </w:r>
      <w:r w:rsidR="00FB2621">
        <w:rPr>
          <w:color w:val="000000" w:themeColor="text1"/>
        </w:rPr>
        <w:t>S</w:t>
      </w:r>
      <w:r w:rsidRPr="003A4EEF">
        <w:rPr>
          <w:color w:val="000000" w:themeColor="text1"/>
        </w:rPr>
        <w:t>ection</w:t>
      </w:r>
      <w:r w:rsidR="00FB2621">
        <w:rPr>
          <w:color w:val="000000" w:themeColor="text1"/>
        </w:rPr>
        <w:t> </w:t>
      </w:r>
      <w:r w:rsidRPr="003A4EEF">
        <w:rPr>
          <w:color w:val="000000" w:themeColor="text1"/>
        </w:rPr>
        <w:t xml:space="preserve">7(1) of the </w:t>
      </w:r>
      <w:r w:rsidRPr="001907D3">
        <w:rPr>
          <w:i/>
          <w:color w:val="000000" w:themeColor="text1"/>
        </w:rPr>
        <w:t>Government Actions Regulation</w:t>
      </w:r>
      <w:r w:rsidRPr="003A4EEF">
        <w:rPr>
          <w:color w:val="000000" w:themeColor="text1"/>
        </w:rPr>
        <w:t>, March 22, 2010;</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Establishment of Scenic Areas and Visual Quality Objectives within the Peace District, </w:t>
      </w:r>
      <w:r w:rsidR="00FB2621">
        <w:rPr>
          <w:color w:val="000000" w:themeColor="text1"/>
        </w:rPr>
        <w:t>S</w:t>
      </w:r>
      <w:r w:rsidRPr="003A4EEF">
        <w:rPr>
          <w:color w:val="000000" w:themeColor="text1"/>
        </w:rPr>
        <w:t xml:space="preserve">ection 7(1) of the </w:t>
      </w:r>
      <w:r w:rsidRPr="001907D3">
        <w:rPr>
          <w:i/>
          <w:color w:val="000000" w:themeColor="text1"/>
        </w:rPr>
        <w:t>Government Actions Regulation</w:t>
      </w:r>
      <w:r w:rsidRPr="003A4EEF">
        <w:rPr>
          <w:color w:val="000000" w:themeColor="text1"/>
        </w:rPr>
        <w:t>, July 12, 2012;</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Order for the Establishment of Visual Quality Objectives for the Peace Forest District, </w:t>
      </w:r>
      <w:r w:rsidR="00FB2621">
        <w:rPr>
          <w:color w:val="000000" w:themeColor="text1"/>
        </w:rPr>
        <w:t>S</w:t>
      </w:r>
      <w:r w:rsidRPr="003A4EEF">
        <w:rPr>
          <w:color w:val="000000" w:themeColor="text1"/>
        </w:rPr>
        <w:t xml:space="preserve">ection 7(2) of the </w:t>
      </w:r>
      <w:r w:rsidRPr="001907D3">
        <w:rPr>
          <w:i/>
          <w:color w:val="000000" w:themeColor="text1"/>
        </w:rPr>
        <w:t>Government Actions Regulation</w:t>
      </w:r>
      <w:r w:rsidRPr="003A4EEF">
        <w:rPr>
          <w:color w:val="000000" w:themeColor="text1"/>
        </w:rPr>
        <w:t>, December 16, 2012;</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Summary of dead potential volume estimates for management units within the Northern and Southern Interior Forest Regions, BC Ministry of Forests and Range, Forest Analysis and Inventory Branch, 2006;</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TFL 48 Predictive Ecosystem Mapping (PEM) Year 2008 Accuracy Assessment, Bio</w:t>
      </w:r>
      <w:r w:rsidR="00C0005F">
        <w:rPr>
          <w:color w:val="000000" w:themeColor="text1"/>
        </w:rPr>
        <w:noBreakHyphen/>
      </w:r>
      <w:r w:rsidRPr="003A4EEF">
        <w:rPr>
          <w:color w:val="000000" w:themeColor="text1"/>
        </w:rPr>
        <w:t>Geo Dynamics Ltd., 2009;</w:t>
      </w:r>
    </w:p>
    <w:p w:rsidR="008D4771" w:rsidRPr="003A4EEF" w:rsidRDefault="008D4771" w:rsidP="008D4771">
      <w:pPr>
        <w:numPr>
          <w:ilvl w:val="0"/>
          <w:numId w:val="39"/>
        </w:numPr>
        <w:tabs>
          <w:tab w:val="clear" w:pos="720"/>
          <w:tab w:val="num" w:pos="360"/>
        </w:tabs>
        <w:spacing w:before="0" w:after="0"/>
        <w:ind w:left="360"/>
        <w:rPr>
          <w:color w:val="000000" w:themeColor="text1"/>
        </w:rPr>
      </w:pPr>
      <w:r w:rsidRPr="003A4EEF">
        <w:rPr>
          <w:color w:val="000000" w:themeColor="text1"/>
        </w:rPr>
        <w:t>Stream Classification Tool, TFL 48. Prepared for Canfor</w:t>
      </w:r>
      <w:r>
        <w:rPr>
          <w:color w:val="000000" w:themeColor="text1"/>
        </w:rPr>
        <w:t xml:space="preserve"> </w:t>
      </w:r>
      <w:r w:rsidRPr="003A4EEF">
        <w:rPr>
          <w:color w:val="000000" w:themeColor="text1"/>
        </w:rPr>
        <w:t xml:space="preserve">by Hatfield Consultants and </w:t>
      </w:r>
      <w:proofErr w:type="spellStart"/>
      <w:r w:rsidRPr="003A4EEF">
        <w:rPr>
          <w:color w:val="000000" w:themeColor="text1"/>
        </w:rPr>
        <w:t>Ecometrics</w:t>
      </w:r>
      <w:proofErr w:type="spellEnd"/>
      <w:r w:rsidRPr="003A4EEF">
        <w:rPr>
          <w:color w:val="000000" w:themeColor="text1"/>
        </w:rPr>
        <w:t xml:space="preserve"> Research, 2000;</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0339DE">
        <w:rPr>
          <w:i/>
          <w:color w:val="000000" w:themeColor="text1"/>
        </w:rPr>
        <w:t>Species at Risk Act</w:t>
      </w:r>
      <w:r w:rsidRPr="003A4EEF">
        <w:rPr>
          <w:color w:val="000000" w:themeColor="text1"/>
        </w:rPr>
        <w:t xml:space="preserve"> (S.C 2002, c29);</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Identified Wildlife Management Strategy Version 2004. Ministry of Environment. May 2004;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Committee on the Status of Endangered Wildlife in Canada, Candidate Wildlife Species, September 5,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Action Plan for the </w:t>
      </w:r>
      <w:proofErr w:type="spellStart"/>
      <w:r w:rsidRPr="003A4EEF">
        <w:rPr>
          <w:color w:val="000000" w:themeColor="text1"/>
        </w:rPr>
        <w:t>Klinse</w:t>
      </w:r>
      <w:r w:rsidR="00C0005F">
        <w:rPr>
          <w:color w:val="000000" w:themeColor="text1"/>
        </w:rPr>
        <w:noBreakHyphen/>
      </w:r>
      <w:r w:rsidRPr="003A4EEF">
        <w:rPr>
          <w:color w:val="000000" w:themeColor="text1"/>
        </w:rPr>
        <w:t>Za</w:t>
      </w:r>
      <w:proofErr w:type="spellEnd"/>
      <w:r w:rsidRPr="003A4EEF">
        <w:rPr>
          <w:color w:val="000000" w:themeColor="text1"/>
        </w:rPr>
        <w:t xml:space="preserve"> Herd of Woodland Caribou (Rangifer </w:t>
      </w:r>
      <w:proofErr w:type="spellStart"/>
      <w:r w:rsidRPr="003A4EEF">
        <w:rPr>
          <w:color w:val="000000" w:themeColor="text1"/>
        </w:rPr>
        <w:t>tarandus</w:t>
      </w:r>
      <w:proofErr w:type="spellEnd"/>
      <w:r w:rsidRPr="003A4EEF">
        <w:rPr>
          <w:color w:val="000000" w:themeColor="text1"/>
        </w:rPr>
        <w:t xml:space="preserve"> caribou) in Canada [Draft].  Species at Risk Act Action Plan Series.  West Moberly First Nations, Moberly Lake, British Columbia, 2013;</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Implementation Plan for the Ongoing Management of South Peace Northern Caribou (Rangifer </w:t>
      </w:r>
      <w:proofErr w:type="spellStart"/>
      <w:r w:rsidRPr="003A4EEF">
        <w:rPr>
          <w:color w:val="000000" w:themeColor="text1"/>
        </w:rPr>
        <w:t>tarandus</w:t>
      </w:r>
      <w:proofErr w:type="spellEnd"/>
      <w:r w:rsidRPr="003A4EEF">
        <w:rPr>
          <w:color w:val="000000" w:themeColor="text1"/>
        </w:rPr>
        <w:t xml:space="preserve"> caribou pop. 15) in British Columbia</w:t>
      </w:r>
      <w:r w:rsidR="00866BF7">
        <w:rPr>
          <w:color w:val="000000" w:themeColor="text1"/>
        </w:rPr>
        <w:t>’</w:t>
      </w:r>
      <w:r w:rsidRPr="003A4EEF">
        <w:rPr>
          <w:color w:val="000000" w:themeColor="text1"/>
        </w:rPr>
        <w:t>, March 2013;</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Ungulate Winter Range (UWR) Order # U</w:t>
      </w:r>
      <w:r w:rsidR="00C0005F">
        <w:rPr>
          <w:color w:val="000000" w:themeColor="text1"/>
        </w:rPr>
        <w:noBreakHyphen/>
      </w:r>
      <w:r w:rsidRPr="003A4EEF">
        <w:rPr>
          <w:color w:val="000000" w:themeColor="text1"/>
        </w:rPr>
        <w:t>9</w:t>
      </w:r>
      <w:r w:rsidR="00C0005F">
        <w:rPr>
          <w:color w:val="000000" w:themeColor="text1"/>
        </w:rPr>
        <w:noBreakHyphen/>
      </w:r>
      <w:r w:rsidRPr="003A4EEF">
        <w:rPr>
          <w:color w:val="000000" w:themeColor="text1"/>
        </w:rPr>
        <w:t>002 for Caribou, Bighorn Sheep and Mountain Goat, October 22, 2006;</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Ungulate Winter Range Order#U</w:t>
      </w:r>
      <w:r w:rsidR="00C0005F">
        <w:rPr>
          <w:color w:val="000000" w:themeColor="text1"/>
        </w:rPr>
        <w:noBreakHyphen/>
      </w:r>
      <w:r w:rsidRPr="003A4EEF">
        <w:rPr>
          <w:color w:val="000000" w:themeColor="text1"/>
        </w:rPr>
        <w:t>9</w:t>
      </w:r>
      <w:r w:rsidR="00C0005F">
        <w:rPr>
          <w:color w:val="000000" w:themeColor="text1"/>
        </w:rPr>
        <w:noBreakHyphen/>
      </w:r>
      <w:r w:rsidRPr="003A4EEF">
        <w:rPr>
          <w:color w:val="000000" w:themeColor="text1"/>
        </w:rPr>
        <w:t>004 for Northern Caribou and Stone’s Sheep, May 20, 2008;</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British Columbia Ministry of Environment (</w:t>
      </w:r>
      <w:proofErr w:type="spellStart"/>
      <w:r w:rsidRPr="003A4EEF">
        <w:rPr>
          <w:color w:val="000000" w:themeColor="text1"/>
        </w:rPr>
        <w:t>MoE</w:t>
      </w:r>
      <w:proofErr w:type="spellEnd"/>
      <w:r w:rsidRPr="003A4EEF">
        <w:rPr>
          <w:color w:val="000000" w:themeColor="text1"/>
        </w:rPr>
        <w:t>), Wildlife Habitat Area # 9</w:t>
      </w:r>
      <w:r w:rsidR="00C0005F">
        <w:rPr>
          <w:color w:val="000000" w:themeColor="text1"/>
        </w:rPr>
        <w:noBreakHyphen/>
      </w:r>
      <w:r w:rsidRPr="003A4EEF">
        <w:rPr>
          <w:color w:val="000000" w:themeColor="text1"/>
        </w:rPr>
        <w:t>029, June 11, 2002;</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British Columbia Ministry of Environment (</w:t>
      </w:r>
      <w:proofErr w:type="spellStart"/>
      <w:r w:rsidRPr="003A4EEF">
        <w:rPr>
          <w:color w:val="000000" w:themeColor="text1"/>
        </w:rPr>
        <w:t>MoE</w:t>
      </w:r>
      <w:proofErr w:type="spellEnd"/>
      <w:r w:rsidRPr="003A4EEF">
        <w:rPr>
          <w:color w:val="000000" w:themeColor="text1"/>
        </w:rPr>
        <w:t xml:space="preserve">). </w:t>
      </w:r>
      <w:r w:rsidR="00C0005F">
        <w:rPr>
          <w:color w:val="000000" w:themeColor="text1"/>
        </w:rPr>
        <w:t xml:space="preserve"> </w:t>
      </w:r>
      <w:r w:rsidRPr="003A4EEF">
        <w:rPr>
          <w:color w:val="000000" w:themeColor="text1"/>
        </w:rPr>
        <w:t>2008a.  Order – Wildlife Habitat Areas #</w:t>
      </w:r>
      <w:r w:rsidR="00C0005F">
        <w:rPr>
          <w:color w:val="000000" w:themeColor="text1"/>
        </w:rPr>
        <w:t> </w:t>
      </w:r>
      <w:r w:rsidRPr="003A4EEF">
        <w:rPr>
          <w:color w:val="000000" w:themeColor="text1"/>
        </w:rPr>
        <w:t>9</w:t>
      </w:r>
      <w:r w:rsidR="00C0005F">
        <w:rPr>
          <w:color w:val="000000" w:themeColor="text1"/>
        </w:rPr>
        <w:noBreakHyphen/>
      </w:r>
      <w:r w:rsidRPr="003A4EEF">
        <w:rPr>
          <w:color w:val="000000" w:themeColor="text1"/>
        </w:rPr>
        <w:t>032, 9</w:t>
      </w:r>
      <w:r w:rsidR="00C0005F">
        <w:rPr>
          <w:color w:val="000000" w:themeColor="text1"/>
        </w:rPr>
        <w:noBreakHyphen/>
      </w:r>
      <w:r w:rsidRPr="003A4EEF">
        <w:rPr>
          <w:color w:val="000000" w:themeColor="text1"/>
        </w:rPr>
        <w:t>033, 9</w:t>
      </w:r>
      <w:r w:rsidR="00C0005F">
        <w:rPr>
          <w:color w:val="000000" w:themeColor="text1"/>
        </w:rPr>
        <w:noBreakHyphen/>
      </w:r>
      <w:r w:rsidRPr="003A4EEF">
        <w:rPr>
          <w:color w:val="000000" w:themeColor="text1"/>
        </w:rPr>
        <w:t>034, 9</w:t>
      </w:r>
      <w:r w:rsidR="00C0005F">
        <w:rPr>
          <w:color w:val="000000" w:themeColor="text1"/>
        </w:rPr>
        <w:noBreakHyphen/>
      </w:r>
      <w:r w:rsidRPr="003A4EEF">
        <w:rPr>
          <w:color w:val="000000" w:themeColor="text1"/>
        </w:rPr>
        <w:t>041, 9</w:t>
      </w:r>
      <w:r w:rsidR="00C0005F">
        <w:rPr>
          <w:color w:val="000000" w:themeColor="text1"/>
        </w:rPr>
        <w:noBreakHyphen/>
      </w:r>
      <w:r w:rsidRPr="003A4EEF">
        <w:rPr>
          <w:color w:val="000000" w:themeColor="text1"/>
        </w:rPr>
        <w:t>042, 9</w:t>
      </w:r>
      <w:r w:rsidR="00C0005F">
        <w:rPr>
          <w:color w:val="000000" w:themeColor="text1"/>
        </w:rPr>
        <w:noBreakHyphen/>
      </w:r>
      <w:r w:rsidRPr="003A4EEF">
        <w:rPr>
          <w:color w:val="000000" w:themeColor="text1"/>
        </w:rPr>
        <w:t>043, 9</w:t>
      </w:r>
      <w:r w:rsidR="00C0005F">
        <w:rPr>
          <w:color w:val="000000" w:themeColor="text1"/>
        </w:rPr>
        <w:noBreakHyphen/>
      </w:r>
      <w:r w:rsidRPr="003A4EEF">
        <w:rPr>
          <w:color w:val="000000" w:themeColor="text1"/>
        </w:rPr>
        <w:t>044, 9</w:t>
      </w:r>
      <w:r w:rsidR="00C0005F">
        <w:rPr>
          <w:color w:val="000000" w:themeColor="text1"/>
        </w:rPr>
        <w:noBreakHyphen/>
      </w:r>
      <w:r w:rsidRPr="003A4EEF">
        <w:rPr>
          <w:color w:val="000000" w:themeColor="text1"/>
        </w:rPr>
        <w:t>045, 9</w:t>
      </w:r>
      <w:r w:rsidR="00C0005F">
        <w:rPr>
          <w:color w:val="000000" w:themeColor="text1"/>
        </w:rPr>
        <w:noBreakHyphen/>
      </w:r>
      <w:r w:rsidRPr="003A4EEF">
        <w:rPr>
          <w:color w:val="000000" w:themeColor="text1"/>
        </w:rPr>
        <w:t>046, 9</w:t>
      </w:r>
      <w:r w:rsidR="00C0005F">
        <w:rPr>
          <w:color w:val="000000" w:themeColor="text1"/>
        </w:rPr>
        <w:noBreakHyphen/>
      </w:r>
      <w:r w:rsidRPr="003A4EEF">
        <w:rPr>
          <w:color w:val="000000" w:themeColor="text1"/>
        </w:rPr>
        <w:t>047, 9</w:t>
      </w:r>
      <w:r w:rsidR="00C0005F">
        <w:rPr>
          <w:color w:val="000000" w:themeColor="text1"/>
        </w:rPr>
        <w:noBreakHyphen/>
      </w:r>
      <w:r w:rsidRPr="003A4EEF">
        <w:rPr>
          <w:color w:val="000000" w:themeColor="text1"/>
        </w:rPr>
        <w:t>048, 9</w:t>
      </w:r>
      <w:r w:rsidR="00C0005F">
        <w:rPr>
          <w:color w:val="000000" w:themeColor="text1"/>
        </w:rPr>
        <w:noBreakHyphen/>
      </w:r>
      <w:r w:rsidRPr="003A4EEF">
        <w:rPr>
          <w:color w:val="000000" w:themeColor="text1"/>
        </w:rPr>
        <w:t>049, 9</w:t>
      </w:r>
      <w:r w:rsidR="00C0005F">
        <w:rPr>
          <w:color w:val="000000" w:themeColor="text1"/>
        </w:rPr>
        <w:noBreakHyphen/>
      </w:r>
      <w:r w:rsidRPr="003A4EEF">
        <w:rPr>
          <w:color w:val="000000" w:themeColor="text1"/>
        </w:rPr>
        <w:t>050, 9</w:t>
      </w:r>
      <w:r w:rsidR="00C0005F">
        <w:rPr>
          <w:color w:val="000000" w:themeColor="text1"/>
        </w:rPr>
        <w:noBreakHyphen/>
      </w:r>
      <w:r w:rsidRPr="003A4EEF">
        <w:rPr>
          <w:color w:val="000000" w:themeColor="text1"/>
        </w:rPr>
        <w:t>051, 9</w:t>
      </w:r>
      <w:r w:rsidR="00C0005F">
        <w:rPr>
          <w:color w:val="000000" w:themeColor="text1"/>
        </w:rPr>
        <w:noBreakHyphen/>
      </w:r>
      <w:r w:rsidRPr="003A4EEF">
        <w:rPr>
          <w:color w:val="000000" w:themeColor="text1"/>
        </w:rPr>
        <w:t>052, 9</w:t>
      </w:r>
      <w:r w:rsidR="00C0005F">
        <w:rPr>
          <w:color w:val="000000" w:themeColor="text1"/>
        </w:rPr>
        <w:noBreakHyphen/>
      </w:r>
      <w:r w:rsidRPr="003A4EEF">
        <w:rPr>
          <w:color w:val="000000" w:themeColor="text1"/>
        </w:rPr>
        <w:t>053, 9</w:t>
      </w:r>
      <w:r w:rsidR="00C0005F">
        <w:rPr>
          <w:color w:val="000000" w:themeColor="text1"/>
        </w:rPr>
        <w:noBreakHyphen/>
      </w:r>
      <w:r w:rsidRPr="003A4EEF">
        <w:rPr>
          <w:color w:val="000000" w:themeColor="text1"/>
        </w:rPr>
        <w:t>054, 9</w:t>
      </w:r>
      <w:r w:rsidR="00C0005F">
        <w:rPr>
          <w:color w:val="000000" w:themeColor="text1"/>
        </w:rPr>
        <w:noBreakHyphen/>
      </w:r>
      <w:r w:rsidRPr="003A4EEF">
        <w:rPr>
          <w:color w:val="000000" w:themeColor="text1"/>
        </w:rPr>
        <w:t>055, 9</w:t>
      </w:r>
      <w:r w:rsidR="00C0005F">
        <w:rPr>
          <w:color w:val="000000" w:themeColor="text1"/>
        </w:rPr>
        <w:noBreakHyphen/>
      </w:r>
      <w:r w:rsidRPr="003A4EEF">
        <w:rPr>
          <w:color w:val="000000" w:themeColor="text1"/>
        </w:rPr>
        <w:t>056, 9</w:t>
      </w:r>
      <w:r w:rsidR="00C0005F">
        <w:rPr>
          <w:color w:val="000000" w:themeColor="text1"/>
        </w:rPr>
        <w:noBreakHyphen/>
      </w:r>
      <w:r w:rsidRPr="003A4EEF">
        <w:rPr>
          <w:color w:val="000000" w:themeColor="text1"/>
        </w:rPr>
        <w:t>057, 9</w:t>
      </w:r>
      <w:r w:rsidR="00C0005F">
        <w:rPr>
          <w:color w:val="000000" w:themeColor="text1"/>
        </w:rPr>
        <w:noBreakHyphen/>
      </w:r>
      <w:r w:rsidRPr="003A4EEF">
        <w:rPr>
          <w:color w:val="000000" w:themeColor="text1"/>
        </w:rPr>
        <w:t>058, 9</w:t>
      </w:r>
      <w:r w:rsidR="00C0005F">
        <w:rPr>
          <w:color w:val="000000" w:themeColor="text1"/>
        </w:rPr>
        <w:noBreakHyphen/>
      </w:r>
      <w:r w:rsidRPr="003A4EEF">
        <w:rPr>
          <w:color w:val="000000" w:themeColor="text1"/>
        </w:rPr>
        <w:t>059, 9</w:t>
      </w:r>
      <w:r w:rsidR="00C0005F">
        <w:rPr>
          <w:color w:val="000000" w:themeColor="text1"/>
        </w:rPr>
        <w:noBreakHyphen/>
      </w:r>
      <w:r w:rsidRPr="003A4EEF">
        <w:rPr>
          <w:color w:val="000000" w:themeColor="text1"/>
        </w:rPr>
        <w:t>060, 9</w:t>
      </w:r>
      <w:r w:rsidR="00C0005F">
        <w:rPr>
          <w:color w:val="000000" w:themeColor="text1"/>
        </w:rPr>
        <w:noBreakHyphen/>
      </w:r>
      <w:r w:rsidRPr="003A4EEF">
        <w:rPr>
          <w:color w:val="000000" w:themeColor="text1"/>
        </w:rPr>
        <w:t>061, 9</w:t>
      </w:r>
      <w:r w:rsidR="00C0005F">
        <w:rPr>
          <w:color w:val="000000" w:themeColor="text1"/>
        </w:rPr>
        <w:noBreakHyphen/>
      </w:r>
      <w:r w:rsidRPr="003A4EEF">
        <w:rPr>
          <w:color w:val="000000" w:themeColor="text1"/>
        </w:rPr>
        <w:t>062, 9</w:t>
      </w:r>
      <w:r w:rsidR="00C0005F">
        <w:rPr>
          <w:color w:val="000000" w:themeColor="text1"/>
        </w:rPr>
        <w:noBreakHyphen/>
      </w:r>
      <w:r w:rsidRPr="003A4EEF">
        <w:rPr>
          <w:color w:val="000000" w:themeColor="text1"/>
        </w:rPr>
        <w:t>063, 9</w:t>
      </w:r>
      <w:r w:rsidR="00C0005F">
        <w:rPr>
          <w:color w:val="000000" w:themeColor="text1"/>
        </w:rPr>
        <w:noBreakHyphen/>
      </w:r>
      <w:r w:rsidRPr="003A4EEF">
        <w:rPr>
          <w:color w:val="000000" w:themeColor="text1"/>
        </w:rPr>
        <w:t>064, 9</w:t>
      </w:r>
      <w:r w:rsidR="00C0005F">
        <w:rPr>
          <w:color w:val="000000" w:themeColor="text1"/>
        </w:rPr>
        <w:noBreakHyphen/>
      </w:r>
      <w:r w:rsidRPr="003A4EEF">
        <w:rPr>
          <w:color w:val="000000" w:themeColor="text1"/>
        </w:rPr>
        <w:t>065, 9</w:t>
      </w:r>
      <w:r w:rsidR="00C0005F">
        <w:rPr>
          <w:color w:val="000000" w:themeColor="text1"/>
        </w:rPr>
        <w:noBreakHyphen/>
      </w:r>
      <w:r w:rsidRPr="003A4EEF">
        <w:rPr>
          <w:color w:val="000000" w:themeColor="text1"/>
        </w:rPr>
        <w:t>066, 9</w:t>
      </w:r>
      <w:r w:rsidR="00C0005F">
        <w:rPr>
          <w:color w:val="000000" w:themeColor="text1"/>
        </w:rPr>
        <w:noBreakHyphen/>
      </w:r>
      <w:r w:rsidRPr="003A4EEF">
        <w:rPr>
          <w:color w:val="000000" w:themeColor="text1"/>
        </w:rPr>
        <w:t>067, 9</w:t>
      </w:r>
      <w:r w:rsidR="00C0005F">
        <w:rPr>
          <w:color w:val="000000" w:themeColor="text1"/>
        </w:rPr>
        <w:noBreakHyphen/>
      </w:r>
      <w:r w:rsidRPr="003A4EEF">
        <w:rPr>
          <w:color w:val="000000" w:themeColor="text1"/>
        </w:rPr>
        <w:t>068, 9</w:t>
      </w:r>
      <w:r w:rsidR="00C0005F">
        <w:rPr>
          <w:color w:val="000000" w:themeColor="text1"/>
        </w:rPr>
        <w:noBreakHyphen/>
      </w:r>
      <w:r w:rsidRPr="003A4EEF">
        <w:rPr>
          <w:color w:val="000000" w:themeColor="text1"/>
        </w:rPr>
        <w:t>069, 9</w:t>
      </w:r>
      <w:r w:rsidR="00C0005F">
        <w:rPr>
          <w:color w:val="000000" w:themeColor="text1"/>
        </w:rPr>
        <w:noBreakHyphen/>
      </w:r>
      <w:r w:rsidRPr="003A4EEF">
        <w:rPr>
          <w:color w:val="000000" w:themeColor="text1"/>
        </w:rPr>
        <w:t>070, 9</w:t>
      </w:r>
      <w:r w:rsidR="00C0005F">
        <w:rPr>
          <w:color w:val="000000" w:themeColor="text1"/>
        </w:rPr>
        <w:noBreakHyphen/>
      </w:r>
      <w:r w:rsidRPr="003A4EEF">
        <w:rPr>
          <w:color w:val="000000" w:themeColor="text1"/>
        </w:rPr>
        <w:t>071, 9</w:t>
      </w:r>
      <w:r w:rsidR="00C0005F">
        <w:rPr>
          <w:color w:val="000000" w:themeColor="text1"/>
        </w:rPr>
        <w:noBreakHyphen/>
      </w:r>
      <w:r w:rsidRPr="003A4EEF">
        <w:rPr>
          <w:color w:val="000000" w:themeColor="text1"/>
        </w:rPr>
        <w:t>072, 9</w:t>
      </w:r>
      <w:r w:rsidR="00C0005F">
        <w:rPr>
          <w:color w:val="000000" w:themeColor="text1"/>
        </w:rPr>
        <w:noBreakHyphen/>
      </w:r>
      <w:r w:rsidRPr="003A4EEF">
        <w:rPr>
          <w:color w:val="000000" w:themeColor="text1"/>
        </w:rPr>
        <w:t>073, 9</w:t>
      </w:r>
      <w:r w:rsidR="00C0005F">
        <w:rPr>
          <w:color w:val="000000" w:themeColor="text1"/>
        </w:rPr>
        <w:noBreakHyphen/>
      </w:r>
      <w:r w:rsidRPr="003A4EEF">
        <w:rPr>
          <w:color w:val="000000" w:themeColor="text1"/>
        </w:rPr>
        <w:t>104, 9</w:t>
      </w:r>
      <w:r w:rsidR="00C0005F">
        <w:rPr>
          <w:color w:val="000000" w:themeColor="text1"/>
        </w:rPr>
        <w:noBreakHyphen/>
      </w:r>
      <w:r w:rsidRPr="003A4EEF">
        <w:rPr>
          <w:color w:val="000000" w:themeColor="text1"/>
        </w:rPr>
        <w:t>105, 9</w:t>
      </w:r>
      <w:r w:rsidR="00C0005F">
        <w:rPr>
          <w:color w:val="000000" w:themeColor="text1"/>
        </w:rPr>
        <w:noBreakHyphen/>
      </w:r>
      <w:r w:rsidRPr="003A4EEF">
        <w:rPr>
          <w:color w:val="000000" w:themeColor="text1"/>
        </w:rPr>
        <w:t>104, 9</w:t>
      </w:r>
      <w:r w:rsidR="00C0005F">
        <w:rPr>
          <w:color w:val="000000" w:themeColor="text1"/>
        </w:rPr>
        <w:noBreakHyphen/>
      </w:r>
      <w:r w:rsidRPr="003A4EEF">
        <w:rPr>
          <w:color w:val="000000" w:themeColor="text1"/>
        </w:rPr>
        <w:t>144 and 9</w:t>
      </w:r>
      <w:r w:rsidR="00C0005F">
        <w:rPr>
          <w:color w:val="000000" w:themeColor="text1"/>
        </w:rPr>
        <w:noBreakHyphen/>
      </w:r>
      <w:r w:rsidRPr="003A4EEF">
        <w:rPr>
          <w:color w:val="000000" w:themeColor="text1"/>
        </w:rPr>
        <w:t>145 Northern Caribou – Peace Forest District</w:t>
      </w:r>
      <w:r w:rsidR="00FB2621">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British Columbia Ministry of Environment. </w:t>
      </w:r>
      <w:r w:rsidR="00FB2621">
        <w:rPr>
          <w:color w:val="000000" w:themeColor="text1"/>
        </w:rPr>
        <w:t xml:space="preserve"> </w:t>
      </w:r>
      <w:r w:rsidRPr="003A4EEF">
        <w:rPr>
          <w:color w:val="000000" w:themeColor="text1"/>
        </w:rPr>
        <w:t>2008b</w:t>
      </w:r>
      <w:proofErr w:type="gramStart"/>
      <w:r w:rsidRPr="003A4EEF">
        <w:rPr>
          <w:color w:val="000000" w:themeColor="text1"/>
        </w:rPr>
        <w:t>.  Order</w:t>
      </w:r>
      <w:proofErr w:type="gramEnd"/>
      <w:r w:rsidRPr="003A4EEF">
        <w:rPr>
          <w:color w:val="000000" w:themeColor="text1"/>
        </w:rPr>
        <w:t xml:space="preserve"> – Wildlife Habitat Areas # 9</w:t>
      </w:r>
      <w:r w:rsidR="00C0005F">
        <w:rPr>
          <w:color w:val="000000" w:themeColor="text1"/>
        </w:rPr>
        <w:noBreakHyphen/>
      </w:r>
      <w:r w:rsidRPr="003A4EEF">
        <w:rPr>
          <w:color w:val="000000" w:themeColor="text1"/>
        </w:rPr>
        <w:t>035, 9</w:t>
      </w:r>
      <w:r w:rsidR="00C0005F">
        <w:rPr>
          <w:color w:val="000000" w:themeColor="text1"/>
        </w:rPr>
        <w:noBreakHyphen/>
      </w:r>
      <w:r w:rsidRPr="003A4EEF">
        <w:rPr>
          <w:color w:val="000000" w:themeColor="text1"/>
        </w:rPr>
        <w:t>036, 9</w:t>
      </w:r>
      <w:r w:rsidR="00C0005F">
        <w:rPr>
          <w:color w:val="000000" w:themeColor="text1"/>
        </w:rPr>
        <w:noBreakHyphen/>
      </w:r>
      <w:r w:rsidRPr="003A4EEF">
        <w:rPr>
          <w:color w:val="000000" w:themeColor="text1"/>
        </w:rPr>
        <w:t>037, 9</w:t>
      </w:r>
      <w:r w:rsidR="00C0005F">
        <w:rPr>
          <w:color w:val="000000" w:themeColor="text1"/>
        </w:rPr>
        <w:noBreakHyphen/>
      </w:r>
      <w:r w:rsidRPr="003A4EEF">
        <w:rPr>
          <w:color w:val="000000" w:themeColor="text1"/>
        </w:rPr>
        <w:t>038, 9</w:t>
      </w:r>
      <w:r w:rsidR="00C0005F">
        <w:rPr>
          <w:color w:val="000000" w:themeColor="text1"/>
        </w:rPr>
        <w:noBreakHyphen/>
      </w:r>
      <w:r w:rsidRPr="003A4EEF">
        <w:rPr>
          <w:color w:val="000000" w:themeColor="text1"/>
        </w:rPr>
        <w:t>039, 9</w:t>
      </w:r>
      <w:r w:rsidR="00C0005F">
        <w:rPr>
          <w:color w:val="000000" w:themeColor="text1"/>
        </w:rPr>
        <w:noBreakHyphen/>
      </w:r>
      <w:r w:rsidRPr="003A4EEF">
        <w:rPr>
          <w:color w:val="000000" w:themeColor="text1"/>
        </w:rPr>
        <w:t>040, 9</w:t>
      </w:r>
      <w:r w:rsidR="00C0005F">
        <w:rPr>
          <w:color w:val="000000" w:themeColor="text1"/>
        </w:rPr>
        <w:noBreakHyphen/>
      </w:r>
      <w:r w:rsidRPr="003A4EEF">
        <w:rPr>
          <w:color w:val="000000" w:themeColor="text1"/>
        </w:rPr>
        <w:t>102 and 9</w:t>
      </w:r>
      <w:r w:rsidR="00C0005F">
        <w:rPr>
          <w:color w:val="000000" w:themeColor="text1"/>
        </w:rPr>
        <w:noBreakHyphen/>
      </w:r>
      <w:r w:rsidRPr="003A4EEF">
        <w:rPr>
          <w:color w:val="000000" w:themeColor="text1"/>
        </w:rPr>
        <w:t>103. Northern Caribou – Mackenzie Forest District</w:t>
      </w:r>
      <w:r w:rsidR="00FB2621">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Cumulative Effects Assessment for the South Peace Region Operational Trial, v 2.3, July</w:t>
      </w:r>
      <w:r w:rsidR="00C0005F">
        <w:rPr>
          <w:color w:val="000000" w:themeColor="text1"/>
        </w:rPr>
        <w:t> </w:t>
      </w:r>
      <w:r w:rsidRPr="003A4EEF">
        <w:rPr>
          <w:color w:val="000000" w:themeColor="text1"/>
        </w:rPr>
        <w:t>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Provincial</w:t>
      </w:r>
      <w:r w:rsidR="00C0005F">
        <w:rPr>
          <w:color w:val="000000" w:themeColor="text1"/>
        </w:rPr>
        <w:noBreakHyphen/>
      </w:r>
      <w:r w:rsidRPr="003A4EEF">
        <w:rPr>
          <w:color w:val="000000" w:themeColor="text1"/>
        </w:rPr>
        <w:t xml:space="preserve">Level Projection of the Current MPB Outbreak: Update of the infestation projection based on the Provincial Aerial Overview of Forest </w:t>
      </w:r>
      <w:r w:rsidR="00F168B1">
        <w:rPr>
          <w:color w:val="000000" w:themeColor="text1"/>
        </w:rPr>
        <w:t>H</w:t>
      </w:r>
      <w:r w:rsidR="00F168B1" w:rsidRPr="003A4EEF">
        <w:rPr>
          <w:color w:val="000000" w:themeColor="text1"/>
        </w:rPr>
        <w:t xml:space="preserve">ealth </w:t>
      </w:r>
      <w:r w:rsidR="00F168B1">
        <w:rPr>
          <w:color w:val="000000" w:themeColor="text1"/>
        </w:rPr>
        <w:t xml:space="preserve">conducted from 1999 to 2012 </w:t>
      </w:r>
      <w:r w:rsidRPr="003A4EEF">
        <w:rPr>
          <w:color w:val="000000" w:themeColor="text1"/>
        </w:rPr>
        <w:t xml:space="preserve">and the BC MPB model (year </w:t>
      </w:r>
      <w:r w:rsidR="00F168B1">
        <w:rPr>
          <w:color w:val="000000" w:themeColor="text1"/>
        </w:rPr>
        <w:t>10</w:t>
      </w:r>
      <w:r w:rsidRPr="003A4EEF">
        <w:rPr>
          <w:color w:val="000000" w:themeColor="text1"/>
        </w:rPr>
        <w:t xml:space="preserve">). </w:t>
      </w:r>
      <w:r w:rsidR="00C0005F">
        <w:rPr>
          <w:color w:val="000000" w:themeColor="text1"/>
        </w:rPr>
        <w:t xml:space="preserve"> </w:t>
      </w:r>
      <w:r w:rsidRPr="003A4EEF">
        <w:rPr>
          <w:color w:val="000000" w:themeColor="text1"/>
        </w:rPr>
        <w:t xml:space="preserve">BC Ministry of Forests, Lands and Natural Resource Operations, Forest Analysis and Inventory Branch, </w:t>
      </w:r>
      <w:r w:rsidR="00F168B1">
        <w:rPr>
          <w:color w:val="000000" w:themeColor="text1"/>
        </w:rPr>
        <w:t>April 12, 2013</w:t>
      </w:r>
      <w:r w:rsidRPr="003A4EEF">
        <w:rPr>
          <w:color w:val="000000" w:themeColor="text1"/>
        </w:rPr>
        <w:t>;</w:t>
      </w:r>
    </w:p>
    <w:p w:rsidR="008D4771" w:rsidRPr="003A4EEF" w:rsidRDefault="008D4771" w:rsidP="008D4771">
      <w:pPr>
        <w:numPr>
          <w:ilvl w:val="0"/>
          <w:numId w:val="39"/>
        </w:numPr>
        <w:tabs>
          <w:tab w:val="clear" w:pos="720"/>
          <w:tab w:val="num" w:pos="360"/>
        </w:tabs>
        <w:spacing w:before="0" w:after="0"/>
        <w:ind w:left="360"/>
        <w:rPr>
          <w:color w:val="000000" w:themeColor="text1"/>
        </w:rPr>
      </w:pPr>
      <w:r w:rsidRPr="003A4EEF">
        <w:rPr>
          <w:color w:val="000000" w:themeColor="text1"/>
        </w:rPr>
        <w:t>Tree Farm Licence 48 – Rationale for Allowable Annual Cut (AAC) Determination</w:t>
      </w:r>
      <w:r w:rsidR="00DE4F59">
        <w:rPr>
          <w:color w:val="000000" w:themeColor="text1"/>
        </w:rPr>
        <w:t xml:space="preserve">, </w:t>
      </w:r>
      <w:r w:rsidRPr="003A4EEF">
        <w:rPr>
          <w:color w:val="000000" w:themeColor="text1"/>
        </w:rPr>
        <w:t>May 25, 2007.</w:t>
      </w:r>
    </w:p>
    <w:p w:rsidR="0098026A"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Sustainable Forest Management Plan 5 for Tree Farm Licence 48, Version 2.6. Canadian Forest Products Ltd. (Canfor). 2011.  January 30, 2015;</w:t>
      </w:r>
    </w:p>
    <w:p w:rsidR="000B5813" w:rsidRPr="003A4EEF" w:rsidRDefault="000B5813" w:rsidP="0098026A">
      <w:pPr>
        <w:numPr>
          <w:ilvl w:val="0"/>
          <w:numId w:val="39"/>
        </w:numPr>
        <w:tabs>
          <w:tab w:val="clear" w:pos="720"/>
          <w:tab w:val="num" w:pos="360"/>
        </w:tabs>
        <w:spacing w:before="0" w:after="0"/>
        <w:ind w:left="360"/>
        <w:rPr>
          <w:color w:val="000000" w:themeColor="text1"/>
        </w:rPr>
      </w:pPr>
      <w:r>
        <w:rPr>
          <w:color w:val="000000" w:themeColor="text1"/>
        </w:rPr>
        <w:t>Updated Procedures for Meeting Legal Obligations When Consulting First Nations, Interim, Province of British Columbia, May 7, 2010;</w:t>
      </w:r>
    </w:p>
    <w:p w:rsidR="006D3CDE" w:rsidRDefault="0098026A" w:rsidP="006D3CDE">
      <w:pPr>
        <w:numPr>
          <w:ilvl w:val="0"/>
          <w:numId w:val="39"/>
        </w:numPr>
        <w:tabs>
          <w:tab w:val="clear" w:pos="720"/>
          <w:tab w:val="num" w:pos="360"/>
        </w:tabs>
        <w:spacing w:before="0" w:after="0"/>
        <w:ind w:left="360"/>
        <w:rPr>
          <w:color w:val="000000" w:themeColor="text1"/>
        </w:rPr>
      </w:pPr>
      <w:r w:rsidRPr="003A4EEF">
        <w:rPr>
          <w:color w:val="000000" w:themeColor="text1"/>
        </w:rPr>
        <w:t>Treaty 8, June 21, 1899;</w:t>
      </w:r>
    </w:p>
    <w:p w:rsidR="006D3CDE" w:rsidRPr="007A6110" w:rsidRDefault="006D3CDE" w:rsidP="006D3CDE">
      <w:pPr>
        <w:numPr>
          <w:ilvl w:val="0"/>
          <w:numId w:val="39"/>
        </w:numPr>
        <w:tabs>
          <w:tab w:val="clear" w:pos="720"/>
          <w:tab w:val="num" w:pos="360"/>
        </w:tabs>
        <w:spacing w:before="0" w:after="0"/>
        <w:ind w:left="360"/>
        <w:rPr>
          <w:color w:val="000000" w:themeColor="text1"/>
        </w:rPr>
      </w:pPr>
      <w:proofErr w:type="spellStart"/>
      <w:r w:rsidRPr="007A6110">
        <w:rPr>
          <w:color w:val="000000" w:themeColor="text1"/>
        </w:rPr>
        <w:t>Mikisew</w:t>
      </w:r>
      <w:proofErr w:type="spellEnd"/>
      <w:r w:rsidRPr="007A6110">
        <w:rPr>
          <w:color w:val="000000" w:themeColor="text1"/>
        </w:rPr>
        <w:t xml:space="preserve"> Cree First Nation v. Canada (Minister of Canadian Heritage), [2005] 3 S.C.R. 388, </w:t>
      </w:r>
      <w:r>
        <w:rPr>
          <w:color w:val="000000" w:themeColor="text1"/>
        </w:rPr>
        <w:t xml:space="preserve">2005 </w:t>
      </w:r>
      <w:r w:rsidRPr="007A6110">
        <w:rPr>
          <w:color w:val="000000" w:themeColor="text1"/>
        </w:rPr>
        <w:t>SCC 69</w:t>
      </w:r>
      <w:r>
        <w:rPr>
          <w:color w:val="000000" w:themeColor="text1"/>
        </w:rPr>
        <w:t>;</w:t>
      </w:r>
    </w:p>
    <w:p w:rsidR="006D3CDE" w:rsidRPr="007A6110" w:rsidRDefault="006D3CDE" w:rsidP="006D3CDE">
      <w:pPr>
        <w:numPr>
          <w:ilvl w:val="0"/>
          <w:numId w:val="39"/>
        </w:numPr>
        <w:tabs>
          <w:tab w:val="clear" w:pos="720"/>
          <w:tab w:val="num" w:pos="360"/>
        </w:tabs>
        <w:spacing w:before="0" w:after="0"/>
        <w:ind w:left="360"/>
        <w:rPr>
          <w:color w:val="000000" w:themeColor="text1"/>
        </w:rPr>
      </w:pPr>
      <w:proofErr w:type="spellStart"/>
      <w:r>
        <w:rPr>
          <w:color w:val="000000"/>
        </w:rPr>
        <w:t>Haida</w:t>
      </w:r>
      <w:proofErr w:type="spellEnd"/>
      <w:r>
        <w:rPr>
          <w:color w:val="000000"/>
        </w:rPr>
        <w:t xml:space="preserve"> Nation</w:t>
      </w:r>
      <w:r>
        <w:rPr>
          <w:rStyle w:val="apple-converted-space"/>
          <w:color w:val="000000"/>
        </w:rPr>
        <w:t> </w:t>
      </w:r>
      <w:r>
        <w:rPr>
          <w:i/>
          <w:iCs/>
          <w:color w:val="000000"/>
        </w:rPr>
        <w:t>v</w:t>
      </w:r>
      <w:r>
        <w:rPr>
          <w:color w:val="000000"/>
        </w:rPr>
        <w:t>. British Columbia (Minister of Forests),</w:t>
      </w:r>
      <w:r>
        <w:rPr>
          <w:rStyle w:val="apple-converted-space"/>
          <w:color w:val="000000"/>
        </w:rPr>
        <w:t> </w:t>
      </w:r>
      <w:r>
        <w:rPr>
          <w:color w:val="000000"/>
          <w:lang w:val="en-GB"/>
        </w:rPr>
        <w:t xml:space="preserve">[2004] 3 S.C.R. 511, 2004 SCC 73; </w:t>
      </w:r>
    </w:p>
    <w:p w:rsidR="006D3CDE" w:rsidRPr="007A6110" w:rsidRDefault="006D3CDE" w:rsidP="006D3CDE">
      <w:pPr>
        <w:numPr>
          <w:ilvl w:val="0"/>
          <w:numId w:val="39"/>
        </w:numPr>
        <w:tabs>
          <w:tab w:val="clear" w:pos="720"/>
          <w:tab w:val="num" w:pos="360"/>
        </w:tabs>
        <w:spacing w:before="0" w:after="0"/>
        <w:ind w:left="360"/>
        <w:rPr>
          <w:color w:val="000000" w:themeColor="text1"/>
        </w:rPr>
      </w:pPr>
      <w:proofErr w:type="spellStart"/>
      <w:r>
        <w:rPr>
          <w:color w:val="000000"/>
        </w:rPr>
        <w:t>Tsilhqot’in</w:t>
      </w:r>
      <w:proofErr w:type="spellEnd"/>
      <w:r>
        <w:rPr>
          <w:color w:val="000000"/>
        </w:rPr>
        <w:t xml:space="preserve"> Nation</w:t>
      </w:r>
      <w:r>
        <w:rPr>
          <w:rStyle w:val="apple-converted-space"/>
          <w:color w:val="000000"/>
        </w:rPr>
        <w:t> </w:t>
      </w:r>
      <w:r>
        <w:rPr>
          <w:i/>
          <w:iCs/>
          <w:color w:val="000000"/>
        </w:rPr>
        <w:t>v.</w:t>
      </w:r>
      <w:r>
        <w:rPr>
          <w:rStyle w:val="apple-converted-space"/>
          <w:color w:val="000000"/>
        </w:rPr>
        <w:t> </w:t>
      </w:r>
      <w:r>
        <w:rPr>
          <w:color w:val="000000"/>
        </w:rPr>
        <w:t>British Columbia, 2014 SCC 44, [2014] 2 S.C.R. 256;</w:t>
      </w:r>
    </w:p>
    <w:p w:rsidR="0098026A" w:rsidRPr="003A4EEF" w:rsidRDefault="006D3CDE" w:rsidP="0098026A">
      <w:pPr>
        <w:numPr>
          <w:ilvl w:val="0"/>
          <w:numId w:val="39"/>
        </w:numPr>
        <w:tabs>
          <w:tab w:val="clear" w:pos="720"/>
          <w:tab w:val="num" w:pos="360"/>
        </w:tabs>
        <w:spacing w:before="0" w:after="0"/>
        <w:ind w:left="360"/>
        <w:rPr>
          <w:color w:val="000000" w:themeColor="text1"/>
        </w:rPr>
      </w:pPr>
      <w:r>
        <w:t>R. v. Sparrow, [1991] SCR 1075;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Amended Economic Benefits Agreement, between West Moberly, </w:t>
      </w:r>
      <w:proofErr w:type="spellStart"/>
      <w:r w:rsidRPr="003A4EEF">
        <w:rPr>
          <w:color w:val="000000" w:themeColor="text1"/>
        </w:rPr>
        <w:t>Doig</w:t>
      </w:r>
      <w:proofErr w:type="spellEnd"/>
      <w:r w:rsidRPr="003A4EEF">
        <w:rPr>
          <w:color w:val="000000" w:themeColor="text1"/>
        </w:rPr>
        <w:t xml:space="preserve"> River, and Prophet River First Nations and the Government of British Columbia, December 17, 2009;</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Forest and Range Resource Management Agreement, between West Moberly, </w:t>
      </w:r>
      <w:proofErr w:type="spellStart"/>
      <w:r w:rsidRPr="003A4EEF">
        <w:rPr>
          <w:color w:val="000000" w:themeColor="text1"/>
        </w:rPr>
        <w:t>Doig</w:t>
      </w:r>
      <w:proofErr w:type="spellEnd"/>
      <w:r w:rsidRPr="003A4EEF">
        <w:rPr>
          <w:color w:val="000000" w:themeColor="text1"/>
        </w:rPr>
        <w:t xml:space="preserve"> River, and Prophet River First Nations and the Government of British Columbia, May 20, 2010;</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Letter from the Minister of Forests and Range, dated July 4, 2006, to the chief forester, stating the economic and social objectives of the Crown; and</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Letter from the Minister of Forests and Range, dated October 27, 2010, to the chief forester, regarding the economic and social objectives of the Crown regarding mid</w:t>
      </w:r>
      <w:r w:rsidR="00C0005F">
        <w:rPr>
          <w:color w:val="000000" w:themeColor="text1"/>
        </w:rPr>
        <w:noBreakHyphen/>
      </w:r>
      <w:r w:rsidRPr="003A4EEF">
        <w:rPr>
          <w:color w:val="000000" w:themeColor="text1"/>
        </w:rPr>
        <w:t>term timber supply in areas affected by the mountain pine beetle;</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Public Review Strategy, Tree Farm Licence 48 – Management Plan 5, August 7, 2013;</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First Nations Consultation Report, Canfor </w:t>
      </w:r>
      <w:proofErr w:type="spellStart"/>
      <w:r w:rsidRPr="003A4EEF">
        <w:rPr>
          <w:color w:val="000000" w:themeColor="text1"/>
        </w:rPr>
        <w:t>Chetwynd</w:t>
      </w:r>
      <w:proofErr w:type="spellEnd"/>
      <w:r w:rsidRPr="003A4EEF">
        <w:rPr>
          <w:color w:val="000000" w:themeColor="text1"/>
        </w:rPr>
        <w:t>, TFL 48, Management Plan 5, September 3, 2014;</w:t>
      </w:r>
    </w:p>
    <w:p w:rsidR="0098026A"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Letter from Canfor to Diane Nicholls, Deputy Chief Forester, regarding Canfor’s proposed AAC, dated June 6, 2014;</w:t>
      </w:r>
    </w:p>
    <w:p w:rsidR="0098026A" w:rsidRPr="00D60507" w:rsidRDefault="0098026A" w:rsidP="0098026A">
      <w:pPr>
        <w:numPr>
          <w:ilvl w:val="0"/>
          <w:numId w:val="39"/>
        </w:numPr>
        <w:tabs>
          <w:tab w:val="clear" w:pos="720"/>
          <w:tab w:val="num" w:pos="360"/>
        </w:tabs>
        <w:spacing w:before="0" w:after="0"/>
        <w:ind w:left="360"/>
        <w:rPr>
          <w:color w:val="000000" w:themeColor="text1"/>
        </w:rPr>
      </w:pPr>
      <w:r w:rsidRPr="00D60507">
        <w:rPr>
          <w:color w:val="000000" w:themeColor="text1"/>
        </w:rPr>
        <w:t xml:space="preserve">Letter from Canfor to Diane Nicholls, Chief Forester, regarding Canfor’s proposed AAC, dated </w:t>
      </w:r>
      <w:r w:rsidR="008D4771">
        <w:rPr>
          <w:color w:val="000000" w:themeColor="text1"/>
        </w:rPr>
        <w:t xml:space="preserve">March </w:t>
      </w:r>
      <w:r>
        <w:rPr>
          <w:color w:val="000000" w:themeColor="text1"/>
        </w:rPr>
        <w:t>5</w:t>
      </w:r>
      <w:r w:rsidRPr="00D60507">
        <w:rPr>
          <w:color w:val="000000" w:themeColor="text1"/>
        </w:rPr>
        <w:t>, 201</w:t>
      </w:r>
      <w:r>
        <w:rPr>
          <w:color w:val="000000" w:themeColor="text1"/>
        </w:rPr>
        <w:t>5</w:t>
      </w:r>
      <w:r w:rsidRPr="00D60507">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Tour of TFL 48 and associated discussions among Canfor staff, the chief forester and </w:t>
      </w:r>
      <w:r w:rsidR="00EB499D">
        <w:rPr>
          <w:color w:val="000000" w:themeColor="text1"/>
        </w:rPr>
        <w:t>FLNR</w:t>
      </w:r>
      <w:r w:rsidR="00EB499D" w:rsidRPr="003A4EEF">
        <w:rPr>
          <w:color w:val="000000" w:themeColor="text1"/>
        </w:rPr>
        <w:t xml:space="preserve"> </w:t>
      </w:r>
      <w:r w:rsidR="00EB499D">
        <w:rPr>
          <w:color w:val="000000" w:themeColor="text1"/>
        </w:rPr>
        <w:t>operations</w:t>
      </w:r>
      <w:r w:rsidRPr="003A4EEF">
        <w:rPr>
          <w:color w:val="000000" w:themeColor="text1"/>
        </w:rPr>
        <w:t xml:space="preserve"> and branch staff on January 21, 2015;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Technical review and evaluation of current and expected operating conditions and consideration of information received from First Nations and the public at the AAC determination meeting held with FLNR staff in Dawson Creek, B.C. on January 22, 2015</w:t>
      </w:r>
      <w:r w:rsidR="00FB2621">
        <w:rPr>
          <w:color w:val="000000" w:themeColor="text1"/>
        </w:rPr>
        <w:t>.</w:t>
      </w:r>
    </w:p>
    <w:p w:rsidR="003040FE" w:rsidRPr="00C6498F" w:rsidRDefault="003040FE" w:rsidP="007F2EBB">
      <w:pPr>
        <w:pStyle w:val="ListParagraph"/>
        <w:tabs>
          <w:tab w:val="left" w:pos="0"/>
        </w:tabs>
        <w:overflowPunct/>
        <w:spacing w:before="0" w:after="0"/>
        <w:ind w:left="0"/>
        <w:textAlignment w:val="auto"/>
      </w:pPr>
    </w:p>
    <w:p w:rsidR="00764CD1" w:rsidRPr="00C541B6" w:rsidRDefault="007525B5" w:rsidP="00764CD1">
      <w:pPr>
        <w:pStyle w:val="Heading1"/>
        <w:rPr>
          <w:lang w:val="en-CA"/>
        </w:rPr>
      </w:pPr>
      <w:bookmarkStart w:id="106" w:name="_Toc351644402"/>
      <w:bookmarkStart w:id="107" w:name="_Toc432658624"/>
      <w:bookmarkStart w:id="108" w:name="_Toc245615047"/>
      <w:bookmarkStart w:id="109" w:name="_Toc314057778"/>
      <w:bookmarkStart w:id="110" w:name="_Toc317667245"/>
      <w:r w:rsidRPr="007525B5">
        <w:rPr>
          <w:lang w:val="en-CA"/>
        </w:rPr>
        <w:t>Role and limitations of the technical information used</w:t>
      </w:r>
      <w:bookmarkEnd w:id="106"/>
      <w:bookmarkEnd w:id="107"/>
    </w:p>
    <w:p w:rsidR="00764CD1" w:rsidRPr="00C541B6" w:rsidRDefault="007525B5" w:rsidP="00764CD1">
      <w:bookmarkStart w:id="111" w:name="_Toc410031378"/>
      <w:bookmarkStart w:id="112" w:name="_Toc410447302"/>
      <w:bookmarkStart w:id="113" w:name="_Toc410610048"/>
      <w:bookmarkStart w:id="114" w:name="_Toc410610193"/>
      <w:bookmarkStart w:id="115" w:name="_Toc411068775"/>
      <w:bookmarkStart w:id="116" w:name="_Toc411148068"/>
      <w:bookmarkStart w:id="117" w:name="_Toc411148212"/>
      <w:bookmarkStart w:id="118" w:name="_Toc425047158"/>
      <w:bookmarkStart w:id="119" w:name="_Toc256169866"/>
      <w:bookmarkStart w:id="120" w:name="_Toc239240730"/>
      <w:bookmarkStart w:id="121" w:name="_Toc256521438"/>
      <w:bookmarkStart w:id="122" w:name="_Toc405699482"/>
      <w:bookmarkStart w:id="123" w:name="_Toc405699671"/>
      <w:bookmarkStart w:id="124" w:name="_Toc405699890"/>
      <w:bookmarkStart w:id="125" w:name="_Toc405700206"/>
      <w:bookmarkStart w:id="126" w:name="_Toc405700303"/>
      <w:bookmarkStart w:id="127" w:name="_Toc405772290"/>
      <w:bookmarkStart w:id="128" w:name="_Toc405774103"/>
      <w:bookmarkStart w:id="129" w:name="_Toc405774429"/>
      <w:bookmarkStart w:id="130" w:name="_Toc405774707"/>
      <w:bookmarkStart w:id="131" w:name="_Toc405774763"/>
      <w:bookmarkStart w:id="132" w:name="_Toc405774859"/>
      <w:bookmarkStart w:id="133" w:name="_Toc405801470"/>
      <w:bookmarkStart w:id="134" w:name="_Toc405886869"/>
      <w:bookmarkStart w:id="135" w:name="_Toc405887107"/>
      <w:bookmarkStart w:id="136" w:name="_Toc405887236"/>
      <w:bookmarkStart w:id="137" w:name="_Toc405887475"/>
      <w:bookmarkStart w:id="138" w:name="_Toc405887537"/>
      <w:bookmarkStart w:id="139" w:name="_Toc405887612"/>
      <w:bookmarkStart w:id="140" w:name="_Toc406409000"/>
      <w:bookmarkStart w:id="141" w:name="_Toc406464389"/>
      <w:bookmarkStart w:id="142" w:name="_Toc421290308"/>
      <w:bookmarkStart w:id="143" w:name="_Toc256501008"/>
      <w:r w:rsidRPr="007525B5">
        <w:t>Section</w:t>
      </w:r>
      <w:r w:rsidR="007E448A">
        <w:t> </w:t>
      </w:r>
      <w:r w:rsidRPr="007525B5">
        <w:t xml:space="preserve">8 of the </w:t>
      </w:r>
      <w:r w:rsidRPr="007525B5">
        <w:rPr>
          <w:i/>
        </w:rPr>
        <w:t>Forest Act</w:t>
      </w:r>
      <w:r w:rsidRPr="007525B5">
        <w:t xml:space="preserve"> requires the chief forester, in determining AACs, to consider biophysical, social and economic information.  Most of the technical i</w:t>
      </w:r>
      <w:r w:rsidR="00DC1F7F">
        <w:t>n</w:t>
      </w:r>
      <w:r w:rsidRPr="007525B5">
        <w:t>formation used in determinations is in the form of a timber supply analysis and its inputs of inventory and growth and yield data.  These are concerned primarily with biophysical factors – such as the rate of timber growth and the definition of the land base considered available for timber harvesting – and with management practices.</w:t>
      </w:r>
    </w:p>
    <w:p w:rsidR="00764CD1" w:rsidRPr="00C541B6" w:rsidRDefault="007525B5" w:rsidP="00764CD1">
      <w:r w:rsidRPr="007525B5">
        <w:t>The analytical techniques used to assess timber supply necessarily are simplifications of the real world.  Many of the factors used as inputs to timber supply analysis have differing levels of uncertainty associated with them, due in part to variation in physical, biological and social conditions.  Ongoing scientific studies of ecological dynamics will help reduce some of this uncertainty.</w:t>
      </w:r>
    </w:p>
    <w:p w:rsidR="00764CD1" w:rsidRPr="00C541B6" w:rsidRDefault="007525B5" w:rsidP="00764CD1">
      <w:r w:rsidRPr="007525B5">
        <w:t>Furthermore, computer models cannot incorporate all of the social, cultural and economic factors that are relevant when making forest management decisions.  Technical information and analysis; therefore, do not necessarily provide the complete answers or solutions to forest management decisions such as AAC determinations.  Such information does provide valuable insight into potential impacts of different resource</w:t>
      </w:r>
      <w:r w:rsidRPr="007525B5">
        <w:noBreakHyphen/>
        <w:t>use assumptions and actions, and thus forms an important component of the information I must consider in AAC determinations.</w:t>
      </w:r>
    </w:p>
    <w:p w:rsidR="00764CD1" w:rsidRDefault="007525B5" w:rsidP="00764CD1">
      <w:r w:rsidRPr="007525B5">
        <w:t>In determining this AAC for TFL </w:t>
      </w:r>
      <w:r w:rsidR="00D33C31">
        <w:t>48</w:t>
      </w:r>
      <w:r w:rsidRPr="007525B5">
        <w:t>, I have considered known limitations of the technical information provided.  I am satisfied that the information provides a suitable basis for my determination.</w:t>
      </w:r>
    </w:p>
    <w:p w:rsidR="00893C9C" w:rsidRDefault="00893C9C" w:rsidP="00764CD1"/>
    <w:p w:rsidR="00893C9C" w:rsidRPr="00C541B6" w:rsidRDefault="00893C9C" w:rsidP="00764CD1"/>
    <w:p w:rsidR="00637646" w:rsidRPr="00A744DB" w:rsidRDefault="00637646" w:rsidP="00637646">
      <w:pPr>
        <w:pStyle w:val="Heading1"/>
      </w:pPr>
      <w:bookmarkStart w:id="144" w:name="_Toc409792966"/>
      <w:bookmarkStart w:id="145" w:name="_Toc432658625"/>
      <w:bookmarkStart w:id="146" w:name="_Toc278539188"/>
      <w:bookmarkStart w:id="147" w:name="_Toc288741546"/>
      <w:bookmarkStart w:id="148" w:name="_Toc289764572"/>
      <w:bookmarkStart w:id="149" w:name="_Toc351644403"/>
      <w:r w:rsidRPr="00A744DB">
        <w:t>Guiding principles for AAC determinations</w:t>
      </w:r>
      <w:bookmarkEnd w:id="144"/>
      <w:bookmarkEnd w:id="145"/>
    </w:p>
    <w:p w:rsidR="00637646" w:rsidRPr="00A744DB" w:rsidRDefault="00637646" w:rsidP="00637646">
      <w:bookmarkStart w:id="150" w:name="_Toc245615050"/>
      <w:r w:rsidRPr="00C95B1A">
        <w:t xml:space="preserve">Section 8 of the </w:t>
      </w:r>
      <w:r w:rsidRPr="00C95B1A">
        <w:rPr>
          <w:i/>
        </w:rPr>
        <w:t>Forest Act</w:t>
      </w:r>
      <w:r w:rsidRPr="00C95B1A">
        <w:t xml:space="preserve"> requires the chief forester to consider particular factors in determining the AACs for timber supply areas and tree farm licences.</w:t>
      </w:r>
      <w:r w:rsidR="0039605D" w:rsidRPr="00C95B1A">
        <w:t xml:space="preserve">  The following guiding principles were developed by the </w:t>
      </w:r>
      <w:r w:rsidR="007003BF" w:rsidRPr="00C95B1A">
        <w:t xml:space="preserve">former </w:t>
      </w:r>
      <w:r w:rsidR="0039605D" w:rsidRPr="00C95B1A">
        <w:t>chief forester and deputy chief foresters and I</w:t>
      </w:r>
      <w:r w:rsidR="007003BF" w:rsidRPr="00C95B1A">
        <w:t>, as the current chief forester,</w:t>
      </w:r>
      <w:r w:rsidR="0039605D" w:rsidRPr="00C95B1A">
        <w:t xml:space="preserve"> </w:t>
      </w:r>
      <w:r w:rsidR="007003BF" w:rsidRPr="00C95B1A">
        <w:t xml:space="preserve">find them </w:t>
      </w:r>
      <w:r w:rsidR="00C31F99" w:rsidRPr="00C95B1A">
        <w:t>reasonable and appropriate and I have adopted them as described below in making my AAC determination for TFL</w:t>
      </w:r>
      <w:r w:rsidR="00C95B1A">
        <w:t> </w:t>
      </w:r>
      <w:r w:rsidR="00C31F99" w:rsidRPr="00C95B1A">
        <w:t>48.</w:t>
      </w:r>
    </w:p>
    <w:p w:rsidR="00637646" w:rsidRPr="00A744DB" w:rsidRDefault="00637646" w:rsidP="00637646">
      <w:r w:rsidRPr="00A744DB">
        <w:t>Given the large number of periodic AAC determinations required for British Columbia’s many forest management units, administrative fairness requires a reasonable degree of consistency of approach in addressing relevant factors associated with AAC determinations.  In order to make our approach in these matters explicit, we, the chief forester and deputy chief foresters, jointly established the following body of guiding principles.  However, in any specific circumstance in a determination where we consider it necessary to deviate from these principles, we will explain our reasoning in detail.</w:t>
      </w:r>
    </w:p>
    <w:p w:rsidR="00637646" w:rsidRPr="00A744DB" w:rsidRDefault="00637646" w:rsidP="00637646">
      <w:r w:rsidRPr="00A744DB">
        <w:t>When considering the factors required under Section</w:t>
      </w:r>
      <w:r w:rsidR="007E448A">
        <w:t> </w:t>
      </w:r>
      <w:r w:rsidRPr="00A744DB">
        <w:t>8, we are also mindful of our obligation as stewards of the forests of British Columbia, of the mandate of the Ministry of Forests, Lands and Natural Resource Operations as set out in Section</w:t>
      </w:r>
      <w:r w:rsidR="007E448A">
        <w:t> </w:t>
      </w:r>
      <w:r w:rsidRPr="00A744DB">
        <w:t xml:space="preserve">4 of the </w:t>
      </w:r>
      <w:r w:rsidRPr="00A744DB">
        <w:rPr>
          <w:i/>
          <w:iCs/>
        </w:rPr>
        <w:t>Ministry of Forests and Range</w:t>
      </w:r>
      <w:r w:rsidRPr="00A744DB">
        <w:t xml:space="preserve"> </w:t>
      </w:r>
      <w:r w:rsidRPr="00A744DB">
        <w:rPr>
          <w:i/>
          <w:iCs/>
        </w:rPr>
        <w:t>Act</w:t>
      </w:r>
      <w:r w:rsidRPr="00A744DB">
        <w:t xml:space="preserve">, and of our responsibilities under the </w:t>
      </w:r>
      <w:r w:rsidRPr="00A744DB">
        <w:rPr>
          <w:i/>
          <w:iCs/>
        </w:rPr>
        <w:t>Forest Act</w:t>
      </w:r>
      <w:r w:rsidRPr="00A744DB">
        <w:t xml:space="preserve"> and </w:t>
      </w:r>
      <w:r w:rsidRPr="00A744DB">
        <w:rPr>
          <w:i/>
          <w:iCs/>
        </w:rPr>
        <w:t>Forest and Range Practices Act (FRPA)</w:t>
      </w:r>
      <w:r w:rsidRPr="00A744DB">
        <w:t>.</w:t>
      </w:r>
    </w:p>
    <w:p w:rsidR="00637646" w:rsidRPr="00A744DB" w:rsidRDefault="00637646" w:rsidP="00637646">
      <w:pPr>
        <w:spacing w:before="240"/>
      </w:pPr>
      <w:r w:rsidRPr="00A744DB">
        <w:rPr>
          <w:szCs w:val="22"/>
          <w:u w:val="single"/>
        </w:rPr>
        <w:t>Integrated decision making</w:t>
      </w:r>
    </w:p>
    <w:p w:rsidR="00637646" w:rsidRPr="00A744DB" w:rsidRDefault="00637646" w:rsidP="00637646">
      <w:r w:rsidRPr="00A744DB">
        <w:rPr>
          <w:szCs w:val="22"/>
        </w:rPr>
        <w:t xml:space="preserve">One of the key objectives of the Ministry of Forests, Lands and Natural Resource Operations is to take an integrated approach to all resource management decisions that </w:t>
      </w:r>
      <w:proofErr w:type="gramStart"/>
      <w:r w:rsidRPr="00A744DB">
        <w:rPr>
          <w:szCs w:val="22"/>
        </w:rPr>
        <w:t>considers</w:t>
      </w:r>
      <w:proofErr w:type="gramEnd"/>
      <w:r w:rsidRPr="00A744DB">
        <w:rPr>
          <w:szCs w:val="22"/>
        </w:rPr>
        <w:t xml:space="preserve"> all resource values.  In considering the factors outlined in Section 8 of the </w:t>
      </w:r>
      <w:r w:rsidRPr="00A744DB">
        <w:rPr>
          <w:i/>
          <w:iCs/>
          <w:szCs w:val="22"/>
        </w:rPr>
        <w:t>Forest Act</w:t>
      </w:r>
      <w:r w:rsidRPr="00A744DB">
        <w:rPr>
          <w:szCs w:val="22"/>
        </w:rPr>
        <w:t>, we will continue to consider all available information on timber and non</w:t>
      </w:r>
      <w:r w:rsidRPr="00A744DB">
        <w:rPr>
          <w:szCs w:val="22"/>
        </w:rPr>
        <w:noBreakHyphen/>
        <w:t>timber resources in the management unit, and all available information on the interactions of the management of those resources on timber supply.</w:t>
      </w:r>
    </w:p>
    <w:p w:rsidR="00637646" w:rsidRPr="00A744DB" w:rsidRDefault="00637646" w:rsidP="00637646">
      <w:pPr>
        <w:keepNext/>
        <w:spacing w:before="240"/>
        <w:rPr>
          <w:szCs w:val="22"/>
          <w:u w:val="single"/>
        </w:rPr>
      </w:pPr>
      <w:r w:rsidRPr="00A744DB">
        <w:rPr>
          <w:szCs w:val="22"/>
          <w:u w:val="single"/>
        </w:rPr>
        <w:t>Information uncertainty</w:t>
      </w:r>
    </w:p>
    <w:p w:rsidR="00637646" w:rsidRPr="00A744DB" w:rsidRDefault="00637646" w:rsidP="00637646">
      <w:pPr>
        <w:rPr>
          <w:szCs w:val="22"/>
        </w:rPr>
      </w:pPr>
      <w:r w:rsidRPr="00A744DB">
        <w:rPr>
          <w:szCs w:val="22"/>
        </w:rPr>
        <w:t>Given the complex and dynamic nature of forest ecosystems coupled with changes in resource use patterns and social priorities there is always a degree of uncertainty in the information used in AAC determinations.</w:t>
      </w:r>
    </w:p>
    <w:p w:rsidR="00637646" w:rsidRPr="00A744DB" w:rsidRDefault="00637646" w:rsidP="00637646">
      <w:r w:rsidRPr="00A744DB">
        <w:rPr>
          <w:szCs w:val="22"/>
        </w:rPr>
        <w:t>Two important ways of dealing with this uncertainty are:</w:t>
      </w:r>
    </w:p>
    <w:p w:rsidR="00637646" w:rsidRPr="00A744DB" w:rsidRDefault="00637646" w:rsidP="00637646">
      <w:pPr>
        <w:pStyle w:val="ListNumber"/>
        <w:rPr>
          <w:color w:val="auto"/>
        </w:rPr>
      </w:pPr>
      <w:r w:rsidRPr="00A744DB">
        <w:rPr>
          <w:color w:val="auto"/>
          <w:szCs w:val="22"/>
        </w:rPr>
        <w:t>managing risks by evaluating the significance of specific uncertainties associated with the current information and assessing the various potential current and future, social, economic and environmental risks associated with a range of possible AACs; and</w:t>
      </w:r>
    </w:p>
    <w:p w:rsidR="00637646" w:rsidRPr="00A744DB" w:rsidRDefault="00637646" w:rsidP="00637646">
      <w:pPr>
        <w:pStyle w:val="ListNumber"/>
        <w:rPr>
          <w:color w:val="auto"/>
        </w:rPr>
      </w:pPr>
      <w:proofErr w:type="gramStart"/>
      <w:r w:rsidRPr="00A744DB">
        <w:rPr>
          <w:color w:val="auto"/>
          <w:szCs w:val="22"/>
        </w:rPr>
        <w:t>re</w:t>
      </w:r>
      <w:r w:rsidRPr="00A744DB">
        <w:rPr>
          <w:color w:val="auto"/>
          <w:szCs w:val="22"/>
        </w:rPr>
        <w:noBreakHyphen/>
        <w:t>determining</w:t>
      </w:r>
      <w:proofErr w:type="gramEnd"/>
      <w:r w:rsidRPr="00A744DB">
        <w:rPr>
          <w:color w:val="auto"/>
          <w:szCs w:val="22"/>
        </w:rPr>
        <w:t xml:space="preserve"> AACs frequently, in cases where projections of short</w:t>
      </w:r>
      <w:r w:rsidRPr="00A744DB">
        <w:rPr>
          <w:color w:val="auto"/>
          <w:szCs w:val="22"/>
        </w:rPr>
        <w:noBreakHyphen/>
        <w:t>term timber supply are not stable, to ensure they incorporate current information and knowledge.</w:t>
      </w:r>
    </w:p>
    <w:p w:rsidR="00637646" w:rsidRPr="00A744DB" w:rsidRDefault="00637646" w:rsidP="00637646">
      <w:pPr>
        <w:rPr>
          <w:szCs w:val="22"/>
        </w:rPr>
      </w:pPr>
      <w:r w:rsidRPr="00A744DB">
        <w:rPr>
          <w:szCs w:val="22"/>
        </w:rPr>
        <w:t xml:space="preserve">In considering the various factors that Section 8 of the </w:t>
      </w:r>
      <w:r w:rsidRPr="00A744DB">
        <w:rPr>
          <w:i/>
          <w:iCs/>
          <w:szCs w:val="22"/>
        </w:rPr>
        <w:t>Forest Act</w:t>
      </w:r>
      <w:r w:rsidRPr="00A744DB">
        <w:rPr>
          <w:szCs w:val="22"/>
        </w:rPr>
        <w:t xml:space="preserve"> requires the chief forester to take into account in determining AACs, it is important to reflect those factors, as closely as possible, that are a reasonable extrapolation of current practices.  It is not appropriate to base decisions on proposed or potential practices that could affect</w:t>
      </w:r>
      <w:r w:rsidRPr="00A744DB">
        <w:rPr>
          <w:i/>
          <w:iCs/>
          <w:szCs w:val="22"/>
        </w:rPr>
        <w:t xml:space="preserve"> </w:t>
      </w:r>
      <w:r w:rsidRPr="00A744DB">
        <w:rPr>
          <w:szCs w:val="22"/>
        </w:rPr>
        <w:t>the timber supply but are not substantiated by demonstrated performance or are beyond current legal requirements.</w:t>
      </w:r>
    </w:p>
    <w:p w:rsidR="00637646" w:rsidRPr="00A744DB" w:rsidRDefault="00637646" w:rsidP="00637646">
      <w:pPr>
        <w:rPr>
          <w:szCs w:val="22"/>
        </w:rPr>
      </w:pPr>
      <w:r w:rsidRPr="00A744DB">
        <w:rPr>
          <w:szCs w:val="22"/>
        </w:rPr>
        <w:t>In many areas, the timber supply implications of some legislative provisions remain uncertain, particularly when considered in combination with other factors.  In each AAC determination, this uncertainty is taken into account to the extent possible in the context of the best available information.</w:t>
      </w:r>
    </w:p>
    <w:p w:rsidR="00637646" w:rsidRPr="00A744DB" w:rsidRDefault="00637646" w:rsidP="00637646">
      <w:pPr>
        <w:rPr>
          <w:szCs w:val="22"/>
        </w:rPr>
      </w:pPr>
      <w:r w:rsidRPr="00A744DB">
        <w:rPr>
          <w:szCs w:val="22"/>
        </w:rPr>
        <w:t>It is not appropriate to speculate on timber supply impacts that may eventually result from land</w:t>
      </w:r>
      <w:r w:rsidRPr="00A744DB">
        <w:rPr>
          <w:szCs w:val="22"/>
        </w:rPr>
        <w:noBreakHyphen/>
        <w:t>use decisions not yet finalized by government.  However, where specific protected areas, conservancies, or similar areas have been designated by legislation or by order in council, these areas are deducted from the timber harvesting land base (THLB) and are not considered to contribute any harvestable volume to the timber supply in AAC determinations, although they may contribute indirectly by providing forest cover to help in meeting resource management objectives such as for biodiversity.</w:t>
      </w:r>
    </w:p>
    <w:p w:rsidR="00637646" w:rsidRPr="00A744DB" w:rsidRDefault="00637646" w:rsidP="00637646">
      <w:pPr>
        <w:rPr>
          <w:szCs w:val="22"/>
        </w:rPr>
      </w:pPr>
      <w:r w:rsidRPr="00A744DB">
        <w:rPr>
          <w:szCs w:val="22"/>
        </w:rPr>
        <w:t>In some cases, even when government has made a formal land</w:t>
      </w:r>
      <w:r w:rsidRPr="00A744DB">
        <w:rPr>
          <w:szCs w:val="22"/>
        </w:rPr>
        <w:noBreakHyphen/>
        <w:t>use decision, it is not necessarily possible to fully analyse and account for the consequent timber supply impacts in a current AAC</w:t>
      </w:r>
      <w:r w:rsidR="007E448A">
        <w:rPr>
          <w:szCs w:val="22"/>
        </w:rPr>
        <w:t> </w:t>
      </w:r>
      <w:r w:rsidRPr="00A744DB">
        <w:rPr>
          <w:szCs w:val="22"/>
        </w:rPr>
        <w:t>determination.  Many government land</w:t>
      </w:r>
      <w:r w:rsidRPr="00A744DB">
        <w:rPr>
          <w:szCs w:val="22"/>
        </w:rPr>
        <w:noBreakHyphen/>
        <w:t xml:space="preserve">use decisions must be followed by detailed implementation decisions requiring, for instance, further detailed planning or legal designations such as those provided for under the </w:t>
      </w:r>
      <w:r w:rsidRPr="00A744DB">
        <w:rPr>
          <w:i/>
          <w:iCs/>
          <w:szCs w:val="22"/>
        </w:rPr>
        <w:t>Land Act</w:t>
      </w:r>
      <w:r w:rsidRPr="00A744DB">
        <w:rPr>
          <w:szCs w:val="22"/>
        </w:rPr>
        <w:t xml:space="preserve"> and FRPA.  In cases where there is a clear intent by government to implement these decisions that have not yet been finalized, we will consider information that is relevant to the decision in a manner that is appropriate to the circumstance.  The requirement for regular AAC reviews will ensure that future determinations address on</w:t>
      </w:r>
      <w:r w:rsidR="007E448A">
        <w:rPr>
          <w:szCs w:val="22"/>
        </w:rPr>
        <w:noBreakHyphen/>
      </w:r>
      <w:r w:rsidRPr="00A744DB">
        <w:rPr>
          <w:szCs w:val="22"/>
        </w:rPr>
        <w:t>going plan implementation decisions.</w:t>
      </w:r>
    </w:p>
    <w:p w:rsidR="00637646" w:rsidRPr="00A744DB" w:rsidRDefault="00637646" w:rsidP="00637646">
      <w:pPr>
        <w:rPr>
          <w:szCs w:val="22"/>
        </w:rPr>
      </w:pPr>
      <w:r w:rsidRPr="00A744DB">
        <w:rPr>
          <w:szCs w:val="22"/>
        </w:rPr>
        <w:t xml:space="preserve">Where appropriate, information will be considered regarding the types and extent of planned and implemented </w:t>
      </w:r>
      <w:proofErr w:type="spellStart"/>
      <w:r w:rsidRPr="00A744DB">
        <w:rPr>
          <w:szCs w:val="22"/>
        </w:rPr>
        <w:t>silviculture</w:t>
      </w:r>
      <w:proofErr w:type="spellEnd"/>
      <w:r w:rsidRPr="00A744DB">
        <w:rPr>
          <w:szCs w:val="22"/>
        </w:rPr>
        <w:t xml:space="preserve"> practices as well as relevant scientific, empirical and analytical evidence on the likely magnitude and timing of their timber supply effects.</w:t>
      </w:r>
    </w:p>
    <w:p w:rsidR="00637646" w:rsidRPr="00A744DB" w:rsidRDefault="00637646" w:rsidP="00637646">
      <w:pPr>
        <w:rPr>
          <w:szCs w:val="22"/>
        </w:rPr>
      </w:pPr>
      <w:r w:rsidRPr="00A744DB">
        <w:rPr>
          <w:szCs w:val="22"/>
        </w:rPr>
        <w:t>We acknowledge the perspective that alternate strategies for dealing with information uncertainty are to delay AAC determinations or to generally reduce AACs in the interest of caution.  However, given that there will always be uncertainty in information and due to the significant impacts that AAC determinations can have on communities, we believe that no responsible AAC determination can be made solely on the basis of a response to uncertainty.</w:t>
      </w:r>
    </w:p>
    <w:p w:rsidR="00637646" w:rsidRPr="00A744DB" w:rsidRDefault="00637646" w:rsidP="00637646">
      <w:pPr>
        <w:rPr>
          <w:szCs w:val="22"/>
        </w:rPr>
      </w:pPr>
      <w:r w:rsidRPr="00A744DB">
        <w:rPr>
          <w:szCs w:val="22"/>
        </w:rPr>
        <w:t>Nevertheless, in making a determination, allowances may need to be made to address risks that arise because of uncertainty by applying judgement to the available information.  Where appropriate, the social and economic interests of the Crown, as articulated by the Minister of Forests, Lands and Natural Resource Operations, can assist in evaluating this uncertainty.</w:t>
      </w:r>
    </w:p>
    <w:p w:rsidR="00637646" w:rsidRPr="00A744DB" w:rsidRDefault="00637646" w:rsidP="00637646">
      <w:pPr>
        <w:spacing w:before="240"/>
        <w:rPr>
          <w:szCs w:val="22"/>
          <w:u w:val="single"/>
        </w:rPr>
      </w:pPr>
      <w:r w:rsidRPr="00A744DB">
        <w:rPr>
          <w:szCs w:val="22"/>
          <w:u w:val="single"/>
        </w:rPr>
        <w:t>Climate change</w:t>
      </w:r>
    </w:p>
    <w:p w:rsidR="00637646" w:rsidRPr="00A744DB" w:rsidRDefault="00637646" w:rsidP="00637646">
      <w:pPr>
        <w:rPr>
          <w:szCs w:val="22"/>
        </w:rPr>
      </w:pPr>
      <w:r w:rsidRPr="00A744DB">
        <w:rPr>
          <w:szCs w:val="22"/>
        </w:rPr>
        <w:t>One key area of uncertainty relates to climate change.  While some controversy appears to remain on the causes of climate change, there is substantial scientific agreement that climate is changing, that the changes will affect forest ecosystems, and that forest management practices will need to be adapted.  Nevertheless, the potential rate, amount, and specific characteristics of climate change in different parts of the province are uncertain.  As research provides more definitive information on climate change, we will consider the findings in AAC determinations.  Where forest practices are implemented to mitigate or adapt to the potential effects of climate change on forest resources, we will consider related information in our determinations.</w:t>
      </w:r>
    </w:p>
    <w:p w:rsidR="00637646" w:rsidRPr="00A744DB" w:rsidRDefault="00637646" w:rsidP="00637646">
      <w:pPr>
        <w:rPr>
          <w:szCs w:val="22"/>
        </w:rPr>
      </w:pPr>
      <w:r w:rsidRPr="00A744DB">
        <w:rPr>
          <w:szCs w:val="22"/>
        </w:rPr>
        <w:t>In addition, vulnerability assessments can provide information on the potential risks associated with climate change, and could be useful in defining how to consider climate change in different AAC determinations.  Such assessments could also highlight key topics in need of research that could improve climate change considerations for future determinations.</w:t>
      </w:r>
    </w:p>
    <w:p w:rsidR="00637646" w:rsidRPr="00A744DB" w:rsidRDefault="00637646" w:rsidP="00637646">
      <w:pPr>
        <w:rPr>
          <w:szCs w:val="22"/>
        </w:rPr>
      </w:pPr>
      <w:r w:rsidRPr="00A744DB">
        <w:rPr>
          <w:szCs w:val="22"/>
        </w:rPr>
        <w:t>We note, however, that even with better information on climate change there will be a range of reasonable management responses.  Considerations of how to respond in anticipation of uncertain, potential future impacts and risks differ from those related to responding to known or on</w:t>
      </w:r>
      <w:r w:rsidR="004127D8">
        <w:rPr>
          <w:szCs w:val="22"/>
        </w:rPr>
        <w:noBreakHyphen/>
      </w:r>
      <w:r w:rsidRPr="00A744DB">
        <w:rPr>
          <w:szCs w:val="22"/>
        </w:rPr>
        <w:t>going processes such as the recent MPB infestation.  For example, it is not clear if either increases or decreases to current harvest levels would be appropriate in addressing potential future increases in natural disturbance due to climate change.  Conversely, the present forest conditions resulting from the MPB infestation provide a clearer circumstance to which to respond.</w:t>
      </w:r>
    </w:p>
    <w:p w:rsidR="00637646" w:rsidRPr="00A744DB" w:rsidRDefault="00637646" w:rsidP="00637646">
      <w:pPr>
        <w:rPr>
          <w:szCs w:val="22"/>
        </w:rPr>
      </w:pPr>
      <w:r w:rsidRPr="00A744DB">
        <w:rPr>
          <w:szCs w:val="22"/>
        </w:rPr>
        <w:t>To some extent, decisions on the preferred management responses to potential future risks, including potential changes to allowable timber harvests, are appropriately informed by broad discussion among interested parties.  We will monitor such discussions and consider them insofar as they are relevant to AAC determinations.  In general, the requirement for regular AAC reviews will allow for the incorporation of new information on climate change and its effects on forests and timber supply as it emerges.</w:t>
      </w:r>
    </w:p>
    <w:p w:rsidR="00637646" w:rsidRPr="00A744DB" w:rsidRDefault="00637646" w:rsidP="00637646">
      <w:pPr>
        <w:spacing w:before="240"/>
        <w:rPr>
          <w:szCs w:val="22"/>
          <w:u w:val="single"/>
        </w:rPr>
      </w:pPr>
      <w:r w:rsidRPr="00A744DB">
        <w:rPr>
          <w:szCs w:val="22"/>
          <w:u w:val="single"/>
        </w:rPr>
        <w:t>First Nations</w:t>
      </w:r>
    </w:p>
    <w:p w:rsidR="00637646" w:rsidRPr="001A44D8" w:rsidRDefault="00637646" w:rsidP="00637646">
      <w:pPr>
        <w:rPr>
          <w:szCs w:val="22"/>
        </w:rPr>
      </w:pPr>
      <w:r w:rsidRPr="00A744DB">
        <w:t xml:space="preserve">Aboriginal Title Lands and other areas, such as Treaty Lands or Indian Reserves, are not </w:t>
      </w:r>
      <w:r w:rsidRPr="001A44D8">
        <w:t>provincial Crown land.  Consequently, the timber on these lands does not contribute to the AAC</w:t>
      </w:r>
      <w:r w:rsidR="007E448A">
        <w:t> </w:t>
      </w:r>
      <w:r w:rsidRPr="001A44D8">
        <w:t xml:space="preserve">of the timber supply area or tree farm licence with which they overlap.  For other areas, where aboriginal title has not been legally proven, the Crown has a legal obligation to consult with First Nations regarding their asserted rights and title (Aboriginal Interests) in a manner proportional to the strength of their Aboriginal Interests and the degree to which the decision may impact these interests. </w:t>
      </w:r>
      <w:r w:rsidRPr="001A44D8">
        <w:rPr>
          <w:szCs w:val="22"/>
        </w:rPr>
        <w:t xml:space="preserve"> In this regard, full consideration will be given to:</w:t>
      </w:r>
    </w:p>
    <w:p w:rsidR="00637646" w:rsidRPr="001A44D8" w:rsidRDefault="00637646" w:rsidP="00637646">
      <w:pPr>
        <w:pStyle w:val="ListNumber"/>
        <w:numPr>
          <w:ilvl w:val="0"/>
          <w:numId w:val="27"/>
        </w:numPr>
        <w:rPr>
          <w:color w:val="auto"/>
        </w:rPr>
      </w:pPr>
      <w:r w:rsidRPr="001A44D8">
        <w:rPr>
          <w:color w:val="auto"/>
          <w:szCs w:val="24"/>
        </w:rPr>
        <w:t>the information provided to First Nations to explain the timber supply review process;</w:t>
      </w:r>
    </w:p>
    <w:p w:rsidR="00637646" w:rsidRPr="001A44D8" w:rsidRDefault="00637646" w:rsidP="00637646">
      <w:pPr>
        <w:pStyle w:val="ListNumber"/>
        <w:numPr>
          <w:ilvl w:val="0"/>
          <w:numId w:val="27"/>
        </w:numPr>
        <w:rPr>
          <w:color w:val="auto"/>
        </w:rPr>
      </w:pPr>
      <w:r w:rsidRPr="001A44D8">
        <w:rPr>
          <w:color w:val="auto"/>
          <w:szCs w:val="24"/>
        </w:rPr>
        <w:t>any information brought forward respecting First Nations’ Aboriginal Interests, including how these interests may be impacted; and</w:t>
      </w:r>
    </w:p>
    <w:p w:rsidR="00637646" w:rsidRPr="001A44D8" w:rsidRDefault="00637646" w:rsidP="00637646">
      <w:pPr>
        <w:pStyle w:val="ListNumber"/>
        <w:numPr>
          <w:ilvl w:val="0"/>
          <w:numId w:val="27"/>
        </w:numPr>
        <w:rPr>
          <w:color w:val="auto"/>
        </w:rPr>
      </w:pPr>
      <w:proofErr w:type="gramStart"/>
      <w:r w:rsidRPr="001A44D8">
        <w:rPr>
          <w:color w:val="auto"/>
          <w:szCs w:val="24"/>
        </w:rPr>
        <w:t>any</w:t>
      </w:r>
      <w:proofErr w:type="gramEnd"/>
      <w:r w:rsidRPr="001A44D8">
        <w:rPr>
          <w:color w:val="auto"/>
          <w:szCs w:val="24"/>
        </w:rPr>
        <w:t xml:space="preserve"> operational plans and/or other information that describe how First Nations’ Aboriginal Interests are addressed through specific actions and forest practices.</w:t>
      </w:r>
    </w:p>
    <w:p w:rsidR="00637646" w:rsidRPr="001A44D8" w:rsidRDefault="00637646" w:rsidP="00637646">
      <w:r w:rsidRPr="001A44D8">
        <w:t xml:space="preserve">Aboriginal Interests that may be adversely impacted by an AAC decision will be considered, and where appropriate, addressed in a manner that is consistent with the scope of authority granted to the chief forester under Section 8 of the </w:t>
      </w:r>
      <w:r w:rsidRPr="001A44D8">
        <w:rPr>
          <w:i/>
          <w:iCs/>
        </w:rPr>
        <w:t>Forest Act</w:t>
      </w:r>
      <w:r w:rsidRPr="001A44D8">
        <w:t>.  When information is brought forward that is outside of the chief forester’s jurisdiction, this information will be forwarded to the appropriate decision makers for their consideration.  Specific considerations identified by First Nations in relation to their Aboriginal Interests and the AAC determination are addressed in the various sections of this rationale.</w:t>
      </w:r>
    </w:p>
    <w:p w:rsidR="00637646" w:rsidRPr="00A744DB" w:rsidRDefault="00637646" w:rsidP="00637646">
      <w:pPr>
        <w:rPr>
          <w:szCs w:val="22"/>
        </w:rPr>
      </w:pPr>
      <w:r w:rsidRPr="001A44D8">
        <w:rPr>
          <w:szCs w:val="22"/>
        </w:rPr>
        <w:t>AAC determinations should not be construed as limiting the Crown’s legal obligations owed to First Nations in any way, and in this respect it should be noted that the determinations do not prescribe a particular plan of harvesting activity within the management units.  They are also independent of any decisions by the Minister of Forests, Lands and Natural Resource Operations with respect to subsequent allocation of wood supply.</w:t>
      </w:r>
    </w:p>
    <w:bookmarkEnd w:id="150"/>
    <w:p w:rsidR="00637646" w:rsidRDefault="00637646" w:rsidP="00637646"/>
    <w:p w:rsidR="00764CD1" w:rsidRPr="00C541B6" w:rsidRDefault="009340E0" w:rsidP="00764CD1">
      <w:pPr>
        <w:pStyle w:val="Heading1"/>
      </w:pPr>
      <w:bookmarkStart w:id="151" w:name="_Toc288741547"/>
      <w:bookmarkStart w:id="152" w:name="_Toc289764573"/>
      <w:bookmarkStart w:id="153" w:name="_Toc351644404"/>
      <w:bookmarkStart w:id="154" w:name="_Toc432658626"/>
      <w:bookmarkStart w:id="155" w:name="_Toc405801471"/>
      <w:bookmarkStart w:id="156" w:name="_Toc405886870"/>
      <w:bookmarkStart w:id="157" w:name="_Toc405887108"/>
      <w:bookmarkStart w:id="158" w:name="_Toc405887237"/>
      <w:bookmarkStart w:id="159" w:name="_Toc405887476"/>
      <w:bookmarkStart w:id="160" w:name="_Toc405887538"/>
      <w:bookmarkStart w:id="161" w:name="_Toc406409001"/>
      <w:bookmarkStart w:id="162" w:name="_Toc406464390"/>
      <w:bookmarkStart w:id="163" w:name="_Toc421290309"/>
      <w:bookmarkStart w:id="164" w:name="_Toc256501009"/>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6"/>
      <w:bookmarkEnd w:id="147"/>
      <w:bookmarkEnd w:id="148"/>
      <w:bookmarkEnd w:id="149"/>
      <w:r w:rsidRPr="009340E0">
        <w:t>The role of the base case</w:t>
      </w:r>
      <w:bookmarkEnd w:id="151"/>
      <w:bookmarkEnd w:id="152"/>
      <w:bookmarkEnd w:id="153"/>
      <w:bookmarkEnd w:id="154"/>
    </w:p>
    <w:p w:rsidR="00764CD1" w:rsidRPr="00C541B6" w:rsidRDefault="009340E0" w:rsidP="00764CD1">
      <w:pPr>
        <w:spacing w:before="60" w:after="144"/>
      </w:pPr>
      <w:r w:rsidRPr="009340E0">
        <w:t xml:space="preserve">In considering the factors required under Section 8 of the </w:t>
      </w:r>
      <w:r w:rsidRPr="009340E0">
        <w:rPr>
          <w:rFonts w:ascii="Times New Roman Italic" w:hAnsi="Times New Roman Italic"/>
        </w:rPr>
        <w:t>Forest Act</w:t>
      </w:r>
      <w:r w:rsidRPr="009340E0">
        <w:t xml:space="preserve"> to be addressed in AAC determinations, I am assisted by timber supply forecasts provided to me through the work of the Timber Supply Review Program (TSR) for TSAs and TFLs.</w:t>
      </w:r>
    </w:p>
    <w:p w:rsidR="00764CD1" w:rsidRPr="00C541B6" w:rsidRDefault="009340E0" w:rsidP="00764CD1">
      <w:pPr>
        <w:spacing w:before="60" w:after="144"/>
      </w:pPr>
      <w:r w:rsidRPr="009340E0">
        <w:t xml:space="preserve">For most AAC determinations, a timber supply analysis is carried out using an information package including data and information from three categories: land base inventory, timber growth and yield, and management practices.  Using this set of data and a computer model, a series of timber supply forecasts can be produced to reflect different starting harvest levels, rates of decline or increase, and potential </w:t>
      </w:r>
      <w:r w:rsidR="00BC698C" w:rsidRPr="009340E0">
        <w:t>trade</w:t>
      </w:r>
      <w:r w:rsidR="007E448A">
        <w:noBreakHyphen/>
      </w:r>
      <w:r w:rsidR="00BC698C" w:rsidRPr="009340E0">
        <w:t>offs</w:t>
      </w:r>
      <w:r w:rsidRPr="009340E0">
        <w:t xml:space="preserve"> between short</w:t>
      </w:r>
      <w:r w:rsidRPr="009340E0">
        <w:noBreakHyphen/>
        <w:t xml:space="preserve"> and long</w:t>
      </w:r>
      <w:r w:rsidRPr="009340E0">
        <w:noBreakHyphen/>
        <w:t>term harvest levels.</w:t>
      </w:r>
    </w:p>
    <w:p w:rsidR="00764CD1" w:rsidRPr="00C541B6" w:rsidRDefault="009340E0" w:rsidP="00764CD1">
      <w:pPr>
        <w:spacing w:before="60" w:after="144"/>
      </w:pPr>
      <w:r w:rsidRPr="009340E0">
        <w:t>From a range of possible forecasts, one is chosen in which an attempt is made to avoid both excessive changes from decade to decade and significant timber shortages in the future, while ensuring the long</w:t>
      </w:r>
      <w:r w:rsidRPr="009340E0">
        <w:noBreakHyphen/>
        <w:t xml:space="preserve">term productivity of forest lands.  This is known as the </w:t>
      </w:r>
      <w:r w:rsidR="00866BF7">
        <w:t>‘</w:t>
      </w:r>
      <w:r w:rsidRPr="009340E0">
        <w:t>base case</w:t>
      </w:r>
      <w:r w:rsidR="00866BF7">
        <w:t>’</w:t>
      </w:r>
      <w:r w:rsidRPr="009340E0">
        <w:t xml:space="preserve"> forecast and forms the basis for comparison when assessing the effects of uncertainty on timber supply.  The base case is designed to reflect current management practices.</w:t>
      </w:r>
    </w:p>
    <w:p w:rsidR="00764CD1" w:rsidRPr="00C541B6" w:rsidRDefault="009340E0" w:rsidP="00764CD1">
      <w:pPr>
        <w:spacing w:before="60" w:after="144"/>
      </w:pPr>
      <w:r w:rsidRPr="009340E0">
        <w:t>Because it represents only one in a number of theoretical forecasts, and because it incorporates information about which there may be some uncertainty, the base case forecast is not an AAC recommendation.  Rather, it is one possible forecast of timber supply, whose validity – as with all the other forecasts provided – depends on the validity of the data and assumptions incorporated into the computer model used to generate it.</w:t>
      </w:r>
    </w:p>
    <w:p w:rsidR="00764CD1" w:rsidRPr="00C541B6" w:rsidRDefault="009340E0" w:rsidP="00764CD1">
      <w:pPr>
        <w:spacing w:before="60" w:after="144"/>
      </w:pPr>
      <w:r w:rsidRPr="009340E0">
        <w:t>Therefore, much of what follows in the considerations outlined below is an examination of the degree to which all the assumptions made in generating the base case forecast are realistic and current, and the degree to which resulting predictions of timber supply must be adjusted to more properly reflect the current and foreseeable situation.</w:t>
      </w:r>
    </w:p>
    <w:p w:rsidR="00764CD1" w:rsidRPr="00C541B6" w:rsidRDefault="009340E0" w:rsidP="00764CD1">
      <w:pPr>
        <w:spacing w:before="60" w:after="144"/>
      </w:pPr>
      <w:r w:rsidRPr="009340E0">
        <w:t>These adjustments are made on the basis of informed judg</w:t>
      </w:r>
      <w:r w:rsidR="00347509">
        <w:t>e</w:t>
      </w:r>
      <w:r w:rsidRPr="009340E0">
        <w:t>ment using currently available information about forest management, and that information may well have changed since the original information package was assembled.  Forest management data are particularly subject to change during periods of legislative or regulatory change, or during the implementation of new policies, procedures, guidelines or plans.</w:t>
      </w:r>
    </w:p>
    <w:p w:rsidR="00764CD1" w:rsidRPr="00C541B6" w:rsidRDefault="009340E0" w:rsidP="00764CD1">
      <w:pPr>
        <w:spacing w:before="60" w:after="144"/>
        <w:rPr>
          <w:rFonts w:ascii="Times New Roman Bold" w:hAnsi="Times New Roman Bold"/>
        </w:rPr>
      </w:pPr>
      <w:r w:rsidRPr="009340E0">
        <w:t xml:space="preserve">Thus, in reviewing the considerations that lead to the AAC determination, it is important to remember that the AAC determination itself is not simply a calculation.  Even though the </w:t>
      </w:r>
      <w:proofErr w:type="gramStart"/>
      <w:r w:rsidRPr="009340E0">
        <w:t>timber supply</w:t>
      </w:r>
      <w:proofErr w:type="gramEnd"/>
      <w:r w:rsidRPr="009340E0">
        <w:t xml:space="preserve"> analysis I am provided is integral to those considerations, the AAC determination is a synthesis of judg</w:t>
      </w:r>
      <w:r w:rsidR="006B2BA7">
        <w:t>e</w:t>
      </w:r>
      <w:r w:rsidRPr="009340E0">
        <w:t xml:space="preserve">ment and analysis in which numerous risks and uncertainties are weighed.  Depending upon the outcome of these considerations, the AAC determined </w:t>
      </w:r>
      <w:proofErr w:type="gramStart"/>
      <w:r w:rsidRPr="009340E0">
        <w:t>may</w:t>
      </w:r>
      <w:proofErr w:type="gramEnd"/>
      <w:r w:rsidRPr="009340E0">
        <w:t xml:space="preserve"> or may not coincide with the base case forecast.  Judgements that in part may be based on uncertain information are essentially qualitative in nature and, as such, are subject to an element of risk.  Consequently, once an AAC has been determined, no additional precision or validation would be gained by attempting a computer analysis of the combined considerations.</w:t>
      </w:r>
    </w:p>
    <w:bookmarkEnd w:id="108"/>
    <w:bookmarkEnd w:id="109"/>
    <w:bookmarkEnd w:id="110"/>
    <w:bookmarkEnd w:id="155"/>
    <w:bookmarkEnd w:id="156"/>
    <w:bookmarkEnd w:id="157"/>
    <w:bookmarkEnd w:id="158"/>
    <w:bookmarkEnd w:id="159"/>
    <w:bookmarkEnd w:id="160"/>
    <w:bookmarkEnd w:id="161"/>
    <w:bookmarkEnd w:id="162"/>
    <w:bookmarkEnd w:id="163"/>
    <w:bookmarkEnd w:id="164"/>
    <w:p w:rsidR="00F34E83" w:rsidRPr="00C541B6" w:rsidRDefault="00F34E83" w:rsidP="007F2EBB">
      <w:pPr>
        <w:pStyle w:val="ListParagraph"/>
        <w:tabs>
          <w:tab w:val="left" w:pos="0"/>
        </w:tabs>
        <w:overflowPunct/>
        <w:spacing w:before="0" w:after="0"/>
        <w:ind w:left="0"/>
        <w:textAlignment w:val="auto"/>
      </w:pPr>
    </w:p>
    <w:p w:rsidR="003040FE" w:rsidRPr="00C541B6" w:rsidRDefault="009340E0">
      <w:pPr>
        <w:pStyle w:val="Heading1"/>
        <w:rPr>
          <w:lang w:val="en-CA"/>
        </w:rPr>
      </w:pPr>
      <w:bookmarkStart w:id="165" w:name="_Toc421290310"/>
      <w:bookmarkStart w:id="166" w:name="_Toc256501010"/>
      <w:bookmarkStart w:id="167" w:name="_Toc317667249"/>
      <w:bookmarkStart w:id="168" w:name="_Toc432658627"/>
      <w:bookmarkStart w:id="169" w:name="B_Toc384010562"/>
      <w:bookmarkStart w:id="170" w:name="B_Toc383933706"/>
      <w:bookmarkStart w:id="171" w:name="B_Toc383929470"/>
      <w:bookmarkStart w:id="172" w:name="B_Toc383927990"/>
      <w:bookmarkStart w:id="173" w:name="B_Toc383921765"/>
      <w:bookmarkStart w:id="174" w:name="B_Toc383920804"/>
      <w:bookmarkStart w:id="175" w:name="B_Toc383920748"/>
      <w:bookmarkStart w:id="176" w:name="B_Toc383920684"/>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3B2FB5">
        <w:rPr>
          <w:lang w:val="en-CA"/>
        </w:rPr>
        <w:t>Timber supply analysis</w:t>
      </w:r>
      <w:bookmarkEnd w:id="165"/>
      <w:bookmarkEnd w:id="166"/>
      <w:bookmarkEnd w:id="167"/>
      <w:bookmarkEnd w:id="168"/>
    </w:p>
    <w:p w:rsidR="00A13895" w:rsidRDefault="009340E0" w:rsidP="00E13CA6">
      <w:bookmarkStart w:id="177" w:name="B_Toc384010564"/>
      <w:bookmarkStart w:id="178" w:name="B_Toc383933709"/>
      <w:bookmarkStart w:id="179" w:name="B_Toc383929473"/>
      <w:bookmarkStart w:id="180" w:name="B_Toc383927992"/>
      <w:bookmarkStart w:id="181" w:name="B_Toc383921767"/>
      <w:bookmarkStart w:id="182" w:name="B_Toc383920806"/>
      <w:bookmarkStart w:id="183" w:name="B_Toc383920750"/>
      <w:bookmarkStart w:id="184" w:name="B_Toc383920686"/>
      <w:bookmarkStart w:id="185" w:name="_Toc405699483"/>
      <w:bookmarkStart w:id="186" w:name="_Toc405699672"/>
      <w:bookmarkStart w:id="187" w:name="_Toc405699891"/>
      <w:bookmarkStart w:id="188" w:name="_Toc405700207"/>
      <w:bookmarkStart w:id="189" w:name="_Toc405700304"/>
      <w:bookmarkStart w:id="190" w:name="_Toc405772291"/>
      <w:bookmarkStart w:id="191" w:name="_Toc405774104"/>
      <w:bookmarkStart w:id="192" w:name="_Toc405774430"/>
      <w:bookmarkStart w:id="193" w:name="_Toc405774708"/>
      <w:bookmarkStart w:id="194" w:name="_Toc405774764"/>
      <w:bookmarkStart w:id="195" w:name="_Toc405774860"/>
      <w:bookmarkStart w:id="196" w:name="_Toc405801473"/>
      <w:bookmarkStart w:id="197" w:name="_Toc405886872"/>
      <w:bookmarkStart w:id="198" w:name="_Toc405887110"/>
      <w:bookmarkStart w:id="199" w:name="_Toc405887239"/>
      <w:bookmarkStart w:id="200" w:name="_Toc405887478"/>
      <w:bookmarkStart w:id="201" w:name="_Toc405887540"/>
      <w:bookmarkStart w:id="202" w:name="_Toc406409003"/>
      <w:bookmarkStart w:id="203" w:name="_Toc406464392"/>
      <w:bookmarkStart w:id="204" w:name="_Toc421290311"/>
      <w:bookmarkStart w:id="205" w:name="_Toc256501011"/>
      <w:bookmarkEnd w:id="169"/>
      <w:bookmarkEnd w:id="170"/>
      <w:bookmarkEnd w:id="171"/>
      <w:bookmarkEnd w:id="172"/>
      <w:bookmarkEnd w:id="173"/>
      <w:bookmarkEnd w:id="174"/>
      <w:bookmarkEnd w:id="175"/>
      <w:bookmarkEnd w:id="176"/>
      <w:r w:rsidRPr="009340E0">
        <w:t>Th</w:t>
      </w:r>
      <w:r w:rsidR="00D33C31">
        <w:t>e timber supply analysis for TFL</w:t>
      </w:r>
      <w:r w:rsidR="007E448A">
        <w:t> </w:t>
      </w:r>
      <w:r w:rsidR="00D33C31">
        <w:t>48</w:t>
      </w:r>
      <w:r w:rsidRPr="009340E0">
        <w:t xml:space="preserve"> was prepared for Canfor by </w:t>
      </w:r>
      <w:proofErr w:type="spellStart"/>
      <w:r w:rsidR="00A13895">
        <w:t>Ecora</w:t>
      </w:r>
      <w:proofErr w:type="spellEnd"/>
      <w:r w:rsidR="00A13895">
        <w:t xml:space="preserve"> Resource Group of Prince George, BC using Patchworks</w:t>
      </w:r>
      <w:r w:rsidR="00F70B22">
        <w:t>, a</w:t>
      </w:r>
      <w:r w:rsidR="00A13895">
        <w:t xml:space="preserve"> spatially explicit optimization model</w:t>
      </w:r>
      <w:r w:rsidR="00905461">
        <w:t>.</w:t>
      </w:r>
      <w:r w:rsidR="00A13895">
        <w:t xml:space="preserve">  </w:t>
      </w:r>
      <w:r w:rsidR="00832F10">
        <w:t>In Patchworks the analyst sets harvest targets and penalties for not attaining the target</w:t>
      </w:r>
      <w:r w:rsidR="00770EFE">
        <w:t>s</w:t>
      </w:r>
      <w:r w:rsidR="00832F10">
        <w:t xml:space="preserve">.  As </w:t>
      </w:r>
      <w:r w:rsidR="004D1FAC">
        <w:t>a result</w:t>
      </w:r>
      <w:r w:rsidR="00A13895">
        <w:t xml:space="preserve"> forecasted harvest levels vary from period to period.  </w:t>
      </w:r>
      <w:r w:rsidR="00384FAA">
        <w:t xml:space="preserve">In the timber supply analysis, harvest volumes were reported as average values for </w:t>
      </w:r>
      <w:r w:rsidR="00905461">
        <w:t xml:space="preserve">each of </w:t>
      </w:r>
      <w:r w:rsidR="00384FAA">
        <w:t xml:space="preserve">the first </w:t>
      </w:r>
      <w:r w:rsidR="00905461">
        <w:t>two decades, for the next three decades and from the sixth to the 25</w:t>
      </w:r>
      <w:r w:rsidR="00905461" w:rsidRPr="00F70B22">
        <w:rPr>
          <w:vertAlign w:val="superscript"/>
        </w:rPr>
        <w:t>th</w:t>
      </w:r>
      <w:r w:rsidR="00905461">
        <w:t xml:space="preserve"> decade.</w:t>
      </w:r>
    </w:p>
    <w:p w:rsidR="001D46B8" w:rsidRPr="00C541B6" w:rsidRDefault="001D46B8" w:rsidP="001D46B8">
      <w:r w:rsidRPr="009340E0">
        <w:t xml:space="preserve">Based on </w:t>
      </w:r>
      <w:r>
        <w:t xml:space="preserve">the </w:t>
      </w:r>
      <w:r w:rsidRPr="009340E0">
        <w:t>review by FLNR staff, as well as my own experience reviewing results from similar models, I am satisfied that Patchworks is capable of providing an appropriate projection of timber supply.</w:t>
      </w:r>
    </w:p>
    <w:p w:rsidR="00CB4588" w:rsidRDefault="001232B4" w:rsidP="001D46B8">
      <w:r>
        <w:t>Canfor</w:t>
      </w:r>
      <w:r w:rsidR="001D46B8">
        <w:t xml:space="preserve"> intended to prepare an expedited analysis</w:t>
      </w:r>
      <w:r w:rsidR="00D9137F">
        <w:t xml:space="preserve">.  With this in mind, </w:t>
      </w:r>
      <w:r w:rsidR="00CB4588">
        <w:t xml:space="preserve">much of </w:t>
      </w:r>
      <w:r w:rsidR="001D46B8">
        <w:t xml:space="preserve">the </w:t>
      </w:r>
      <w:r w:rsidR="00D9137F">
        <w:t xml:space="preserve">same </w:t>
      </w:r>
      <w:r w:rsidR="001D46B8">
        <w:t xml:space="preserve">information </w:t>
      </w:r>
      <w:r w:rsidR="00D9137F">
        <w:t xml:space="preserve">was used </w:t>
      </w:r>
      <w:r w:rsidR="001D46B8">
        <w:t xml:space="preserve">from the </w:t>
      </w:r>
      <w:r w:rsidR="00D32C68">
        <w:t xml:space="preserve">most recent previous </w:t>
      </w:r>
      <w:r w:rsidR="001D46B8">
        <w:t xml:space="preserve">analysis completed </w:t>
      </w:r>
      <w:r w:rsidR="008B225F">
        <w:t>in 2006</w:t>
      </w:r>
      <w:r w:rsidR="00D32C68">
        <w:t xml:space="preserve"> under Management Plan</w:t>
      </w:r>
      <w:r w:rsidR="006B2BA7">
        <w:t> </w:t>
      </w:r>
      <w:r w:rsidR="00D32C68">
        <w:t>4</w:t>
      </w:r>
      <w:r w:rsidR="00584D4C">
        <w:t xml:space="preserve"> (MP4</w:t>
      </w:r>
      <w:r w:rsidR="00D32C68">
        <w:t>)</w:t>
      </w:r>
      <w:r w:rsidR="00F70B22">
        <w:t xml:space="preserve"> </w:t>
      </w:r>
      <w:r w:rsidR="001D46B8">
        <w:t>with s</w:t>
      </w:r>
      <w:r w:rsidR="00CB4588">
        <w:t>ome information</w:t>
      </w:r>
      <w:r w:rsidR="00D9137F">
        <w:t xml:space="preserve"> updated</w:t>
      </w:r>
      <w:r w:rsidR="00CB4588">
        <w:t>.  The majority</w:t>
      </w:r>
      <w:r w:rsidR="001D46B8">
        <w:t xml:space="preserve"> of the assumptions applied in the </w:t>
      </w:r>
      <w:r w:rsidR="00D9137F">
        <w:t xml:space="preserve">2014 </w:t>
      </w:r>
      <w:r w:rsidR="001D46B8">
        <w:t xml:space="preserve">base case are the same as those used in </w:t>
      </w:r>
      <w:r w:rsidR="008B225F">
        <w:t>the 2006 analysis</w:t>
      </w:r>
      <w:r w:rsidR="001D46B8">
        <w:t>.</w:t>
      </w:r>
    </w:p>
    <w:p w:rsidR="00103349" w:rsidRDefault="00103349">
      <w:pPr>
        <w:overflowPunct/>
        <w:autoSpaceDE/>
        <w:autoSpaceDN/>
        <w:adjustRightInd/>
        <w:spacing w:before="0" w:after="0"/>
        <w:textAlignment w:val="auto"/>
      </w:pPr>
      <w:r>
        <w:br w:type="page"/>
      </w:r>
    </w:p>
    <w:p w:rsidR="001D46B8" w:rsidRDefault="00D9137F" w:rsidP="001D46B8">
      <w:r>
        <w:t>T</w:t>
      </w:r>
      <w:r w:rsidR="00362626">
        <w:t xml:space="preserve">here were a </w:t>
      </w:r>
      <w:r>
        <w:t xml:space="preserve">few </w:t>
      </w:r>
      <w:r w:rsidR="00362626">
        <w:t xml:space="preserve">differences in the assumptions applied </w:t>
      </w:r>
      <w:r>
        <w:t xml:space="preserve">in the 2014 base case </w:t>
      </w:r>
      <w:r w:rsidR="00362626">
        <w:t xml:space="preserve">compared to the 2006 </w:t>
      </w:r>
      <w:r w:rsidR="00770EFE">
        <w:t>base case</w:t>
      </w:r>
      <w:r w:rsidR="0077561E">
        <w:t>, and these are described below</w:t>
      </w:r>
      <w:r w:rsidR="00362626">
        <w:t xml:space="preserve">.  </w:t>
      </w:r>
      <w:r w:rsidR="00384FAA" w:rsidRPr="004B0D8F">
        <w:t>I will discuss my assessment of any implications</w:t>
      </w:r>
      <w:r w:rsidR="00F70B22">
        <w:t xml:space="preserve"> </w:t>
      </w:r>
      <w:r w:rsidR="00384FAA" w:rsidRPr="004B0D8F">
        <w:t xml:space="preserve">of </w:t>
      </w:r>
      <w:r w:rsidR="00362626">
        <w:t xml:space="preserve">these different assumptions, as well as </w:t>
      </w:r>
      <w:r w:rsidR="0077561E">
        <w:t>any</w:t>
      </w:r>
      <w:r>
        <w:t xml:space="preserve"> implications of </w:t>
      </w:r>
      <w:r w:rsidR="00384FAA" w:rsidRPr="004B0D8F">
        <w:t xml:space="preserve">using the information from the </w:t>
      </w:r>
      <w:r>
        <w:t>2006 analysis</w:t>
      </w:r>
      <w:r w:rsidR="00362626">
        <w:t xml:space="preserve"> under the appropriate factors</w:t>
      </w:r>
      <w:r w:rsidR="0077561E">
        <w:t xml:space="preserve"> in this document</w:t>
      </w:r>
      <w:r w:rsidR="00362626">
        <w:t>.</w:t>
      </w:r>
    </w:p>
    <w:p w:rsidR="001D46B8" w:rsidRDefault="001D46B8" w:rsidP="00E13CA6">
      <w:r>
        <w:t xml:space="preserve">In the base case, harvest flow rules were applied that maximized the </w:t>
      </w:r>
      <w:r w:rsidR="00384FAA">
        <w:t>short</w:t>
      </w:r>
      <w:r w:rsidR="007E448A">
        <w:noBreakHyphen/>
      </w:r>
      <w:r w:rsidR="00384FAA">
        <w:t xml:space="preserve">term </w:t>
      </w:r>
      <w:r>
        <w:t xml:space="preserve">salvage </w:t>
      </w:r>
      <w:r w:rsidR="0077561E">
        <w:t xml:space="preserve">harvest </w:t>
      </w:r>
      <w:r>
        <w:t>of MPB</w:t>
      </w:r>
      <w:r w:rsidR="007E448A">
        <w:noBreakHyphen/>
      </w:r>
      <w:r>
        <w:t>affected stands while minimizing the impact to mid</w:t>
      </w:r>
      <w:r w:rsidR="007E448A">
        <w:noBreakHyphen/>
      </w:r>
      <w:r>
        <w:t xml:space="preserve">term timber supply.  </w:t>
      </w:r>
      <w:r w:rsidR="0077561E">
        <w:t>F</w:t>
      </w:r>
      <w:r>
        <w:t xml:space="preserve">ollowing the salvage </w:t>
      </w:r>
      <w:r w:rsidR="0077561E">
        <w:t xml:space="preserve">harvest </w:t>
      </w:r>
      <w:r>
        <w:t>of MPB</w:t>
      </w:r>
      <w:r w:rsidR="007E448A">
        <w:noBreakHyphen/>
      </w:r>
      <w:r>
        <w:t>affected stands, the harvest level declin</w:t>
      </w:r>
      <w:r w:rsidR="00CF615E">
        <w:t xml:space="preserve">ed to the </w:t>
      </w:r>
      <w:r>
        <w:t>mid</w:t>
      </w:r>
      <w:r w:rsidR="007E448A">
        <w:noBreakHyphen/>
      </w:r>
      <w:r>
        <w:t xml:space="preserve">term </w:t>
      </w:r>
      <w:r w:rsidR="00CF615E">
        <w:t xml:space="preserve">levels </w:t>
      </w:r>
      <w:r w:rsidR="0077561E">
        <w:t xml:space="preserve">before increasing gradually to </w:t>
      </w:r>
      <w:r>
        <w:t>an even</w:t>
      </w:r>
      <w:r w:rsidR="007E448A">
        <w:noBreakHyphen/>
      </w:r>
      <w:r>
        <w:t>flow long</w:t>
      </w:r>
      <w:r w:rsidR="007E448A">
        <w:noBreakHyphen/>
      </w:r>
      <w:r>
        <w:t xml:space="preserve">term </w:t>
      </w:r>
      <w:r w:rsidR="00384FAA">
        <w:t xml:space="preserve">harvest </w:t>
      </w:r>
      <w:r>
        <w:t>level.</w:t>
      </w:r>
    </w:p>
    <w:p w:rsidR="003C47D9" w:rsidRDefault="00C84EBB" w:rsidP="00E13CA6">
      <w:r>
        <w:t xml:space="preserve">The base case </w:t>
      </w:r>
      <w:r w:rsidR="00ED731E">
        <w:t>suggests</w:t>
      </w:r>
      <w:r>
        <w:t xml:space="preserve"> that an initial harvest level of 1</w:t>
      </w:r>
      <w:r w:rsidR="007E448A">
        <w:t> </w:t>
      </w:r>
      <w:r w:rsidR="001D693E">
        <w:t>731</w:t>
      </w:r>
      <w:r w:rsidR="007E448A">
        <w:t> </w:t>
      </w:r>
      <w:r w:rsidR="00727DCB">
        <w:t>000</w:t>
      </w:r>
      <w:r>
        <w:t xml:space="preserve"> cubic metres per year could be maintained for </w:t>
      </w:r>
      <w:r w:rsidR="00727DCB">
        <w:t>the first five</w:t>
      </w:r>
      <w:r w:rsidR="007E448A">
        <w:t> </w:t>
      </w:r>
      <w:r w:rsidR="00727DCB">
        <w:t>years</w:t>
      </w:r>
      <w:r>
        <w:t xml:space="preserve"> before declining </w:t>
      </w:r>
      <w:r w:rsidR="00727DCB">
        <w:t xml:space="preserve">by 55 percent </w:t>
      </w:r>
      <w:r>
        <w:t xml:space="preserve">to </w:t>
      </w:r>
      <w:r w:rsidR="00ED731E">
        <w:t>8</w:t>
      </w:r>
      <w:r>
        <w:t>38</w:t>
      </w:r>
      <w:r w:rsidR="007E448A">
        <w:t> </w:t>
      </w:r>
      <w:r>
        <w:t>000 cubic metres per year for the second five</w:t>
      </w:r>
      <w:r w:rsidR="007E448A">
        <w:noBreakHyphen/>
      </w:r>
      <w:r>
        <w:t>year period</w:t>
      </w:r>
      <w:r w:rsidR="008532EC">
        <w:t xml:space="preserve">, and </w:t>
      </w:r>
      <w:r w:rsidR="00727DCB">
        <w:t xml:space="preserve">a further </w:t>
      </w:r>
      <w:r w:rsidR="007E448A">
        <w:t>three </w:t>
      </w:r>
      <w:r w:rsidR="00727DCB">
        <w:t xml:space="preserve">percent </w:t>
      </w:r>
      <w:r w:rsidR="008532EC">
        <w:t xml:space="preserve">to </w:t>
      </w:r>
      <w:r w:rsidR="00EE1728">
        <w:t>7</w:t>
      </w:r>
      <w:r w:rsidR="008532EC">
        <w:t>79</w:t>
      </w:r>
      <w:r w:rsidR="007E448A">
        <w:t> </w:t>
      </w:r>
      <w:r w:rsidR="008532EC">
        <w:t xml:space="preserve">000 cubic metres per year for the second decade.  </w:t>
      </w:r>
      <w:r w:rsidR="00727DCB">
        <w:t xml:space="preserve">Over the next </w:t>
      </w:r>
      <w:r w:rsidR="001D693E">
        <w:t>30</w:t>
      </w:r>
      <w:r w:rsidR="007E448A">
        <w:t> </w:t>
      </w:r>
      <w:r w:rsidR="00727DCB">
        <w:t xml:space="preserve">years of the planning horizon, the harvest level decreases to </w:t>
      </w:r>
      <w:r w:rsidR="00ED731E">
        <w:t>7</w:t>
      </w:r>
      <w:r w:rsidR="00727DCB">
        <w:t>63</w:t>
      </w:r>
      <w:r w:rsidR="00ED731E">
        <w:t> 0</w:t>
      </w:r>
      <w:r w:rsidR="00727DCB">
        <w:t xml:space="preserve">00 cubic metres per year, before </w:t>
      </w:r>
      <w:r w:rsidR="003C47D9">
        <w:t>gradually increasing to a long</w:t>
      </w:r>
      <w:r w:rsidR="007E448A">
        <w:noBreakHyphen/>
      </w:r>
      <w:r w:rsidR="003C47D9">
        <w:t xml:space="preserve">term harvest level of </w:t>
      </w:r>
      <w:r w:rsidR="00ED731E">
        <w:t>8</w:t>
      </w:r>
      <w:r w:rsidR="003C47D9">
        <w:t>08</w:t>
      </w:r>
      <w:r w:rsidR="00ED731E">
        <w:t> </w:t>
      </w:r>
      <w:r w:rsidR="003C47D9">
        <w:t>000 cubic metres per year.</w:t>
      </w:r>
      <w:r w:rsidR="001723BD">
        <w:t xml:space="preserve"> </w:t>
      </w:r>
      <w:r w:rsidR="0077561E">
        <w:t xml:space="preserve"> </w:t>
      </w:r>
      <w:r w:rsidR="003C47D9">
        <w:t>Deciduous</w:t>
      </w:r>
      <w:r w:rsidR="007E448A">
        <w:noBreakHyphen/>
      </w:r>
      <w:r w:rsidR="00CF615E">
        <w:t xml:space="preserve">leading stands </w:t>
      </w:r>
      <w:r w:rsidR="003C47D9">
        <w:t>contribute 100</w:t>
      </w:r>
      <w:r w:rsidR="007E448A">
        <w:t> </w:t>
      </w:r>
      <w:r w:rsidR="003C47D9">
        <w:t>000 cubic metres per year to the base case over the 250</w:t>
      </w:r>
      <w:r w:rsidR="007E448A">
        <w:noBreakHyphen/>
      </w:r>
      <w:r w:rsidR="003C47D9">
        <w:t>year planning horizon.</w:t>
      </w:r>
    </w:p>
    <w:p w:rsidR="00F40906" w:rsidRDefault="0077561E" w:rsidP="00E13CA6">
      <w:r>
        <w:t xml:space="preserve">One significant difference between the 2006 and the 2014 analyses </w:t>
      </w:r>
      <w:proofErr w:type="gramStart"/>
      <w:r>
        <w:t>relates</w:t>
      </w:r>
      <w:proofErr w:type="gramEnd"/>
      <w:r>
        <w:t xml:space="preserve"> to the </w:t>
      </w:r>
      <w:r w:rsidR="00331C98">
        <w:t>Phase</w:t>
      </w:r>
      <w:r w:rsidR="007E448A">
        <w:t> </w:t>
      </w:r>
      <w:r>
        <w:t>II Vegetation Resources Inventory</w:t>
      </w:r>
      <w:r w:rsidR="007E448A">
        <w:t> </w:t>
      </w:r>
      <w:r>
        <w:t xml:space="preserve">(VRI) adjustments.  </w:t>
      </w:r>
      <w:r w:rsidR="008B225F">
        <w:t xml:space="preserve">In the 2006 </w:t>
      </w:r>
      <w:r>
        <w:t>base case</w:t>
      </w:r>
      <w:r w:rsidR="008B225F">
        <w:t xml:space="preserve">, the </w:t>
      </w:r>
      <w:r w:rsidR="00331C98">
        <w:t xml:space="preserve">Phase </w:t>
      </w:r>
      <w:r w:rsidR="008B225F">
        <w:t>II</w:t>
      </w:r>
      <w:r w:rsidR="007E448A">
        <w:t> </w:t>
      </w:r>
      <w:r w:rsidR="008B225F">
        <w:t>VRI adjustments were applied</w:t>
      </w:r>
      <w:r w:rsidR="00A3442D">
        <w:t xml:space="preserve">; however, this was not done </w:t>
      </w:r>
      <w:r w:rsidR="00D17605">
        <w:t>in</w:t>
      </w:r>
      <w:r w:rsidR="00A3442D">
        <w:t xml:space="preserve"> the </w:t>
      </w:r>
      <w:r>
        <w:t xml:space="preserve">2014 </w:t>
      </w:r>
      <w:r w:rsidR="00AE5728">
        <w:t>base case</w:t>
      </w:r>
      <w:r w:rsidR="00A3442D">
        <w:t xml:space="preserve">.  </w:t>
      </w:r>
      <w:r w:rsidR="007775C1">
        <w:t xml:space="preserve">I am aware of the implications of </w:t>
      </w:r>
      <w:r w:rsidR="00A3442D">
        <w:t>this</w:t>
      </w:r>
      <w:r w:rsidR="00D17605">
        <w:t xml:space="preserve"> to the harvest projections</w:t>
      </w:r>
      <w:r w:rsidR="00A3442D">
        <w:t xml:space="preserve"> and</w:t>
      </w:r>
      <w:r w:rsidR="007775C1">
        <w:t xml:space="preserve"> I will discuss my considerations of this further under </w:t>
      </w:r>
      <w:r w:rsidR="00866BF7">
        <w:t>‘</w:t>
      </w:r>
      <w:r w:rsidR="007775C1" w:rsidRPr="00600A00">
        <w:t xml:space="preserve">Forest </w:t>
      </w:r>
      <w:r w:rsidR="00600A00" w:rsidRPr="00600A00">
        <w:t>i</w:t>
      </w:r>
      <w:r w:rsidR="007775C1" w:rsidRPr="00600A00">
        <w:t>nventory</w:t>
      </w:r>
      <w:r w:rsidR="00866BF7">
        <w:rPr>
          <w:b/>
        </w:rPr>
        <w:t>’</w:t>
      </w:r>
      <w:r w:rsidR="007775C1">
        <w:t>.</w:t>
      </w:r>
      <w:r w:rsidR="007775C1" w:rsidRPr="007775C1">
        <w:t xml:space="preserve"> </w:t>
      </w:r>
      <w:r w:rsidR="007775C1">
        <w:t xml:space="preserve"> Notwithstanding this consideration, I have reviewed the information and </w:t>
      </w:r>
      <w:r w:rsidR="007775C1" w:rsidRPr="009340E0">
        <w:t>I accept this forecast as the base case for the purposes of this determination</w:t>
      </w:r>
      <w:r w:rsidR="007775C1">
        <w:t>.</w:t>
      </w:r>
    </w:p>
    <w:p w:rsidR="00BE5E9F" w:rsidRPr="001B4A2A" w:rsidRDefault="00331C98" w:rsidP="00BE5E9F">
      <w:pPr>
        <w:pStyle w:val="BodyText"/>
        <w:overflowPunct/>
        <w:autoSpaceDE/>
        <w:autoSpaceDN/>
        <w:adjustRightInd/>
        <w:spacing w:before="0" w:after="120"/>
        <w:textAlignment w:val="auto"/>
        <w:rPr>
          <w:color w:val="000000" w:themeColor="text1"/>
          <w:szCs w:val="22"/>
          <w:lang w:val="en-GB"/>
        </w:rPr>
      </w:pPr>
      <w:r>
        <w:rPr>
          <w:color w:val="000000" w:themeColor="text1"/>
          <w:szCs w:val="22"/>
          <w:lang w:val="en-GB"/>
        </w:rPr>
        <w:t xml:space="preserve">In the analysis the licensee included several alternative harvest flows.  One of them </w:t>
      </w:r>
      <w:r w:rsidR="00875AC7">
        <w:rPr>
          <w:color w:val="000000" w:themeColor="text1"/>
          <w:szCs w:val="22"/>
          <w:lang w:val="en-GB"/>
        </w:rPr>
        <w:t xml:space="preserve">showed an initial harvest level of </w:t>
      </w:r>
      <w:r>
        <w:rPr>
          <w:color w:val="000000" w:themeColor="text1"/>
          <w:szCs w:val="22"/>
          <w:lang w:val="en-GB"/>
        </w:rPr>
        <w:t>1 556 000 cubic metres per year for the first five</w:t>
      </w:r>
      <w:r w:rsidR="00600A00">
        <w:rPr>
          <w:color w:val="000000" w:themeColor="text1"/>
          <w:szCs w:val="22"/>
          <w:lang w:val="en-GB"/>
        </w:rPr>
        <w:t> </w:t>
      </w:r>
      <w:r>
        <w:rPr>
          <w:color w:val="000000" w:themeColor="text1"/>
          <w:szCs w:val="22"/>
          <w:lang w:val="en-GB"/>
        </w:rPr>
        <w:t>years</w:t>
      </w:r>
      <w:r w:rsidR="00875AC7">
        <w:rPr>
          <w:color w:val="000000" w:themeColor="text1"/>
          <w:szCs w:val="22"/>
          <w:lang w:val="en-GB"/>
        </w:rPr>
        <w:t xml:space="preserve"> before declining to </w:t>
      </w:r>
      <w:r>
        <w:rPr>
          <w:color w:val="000000" w:themeColor="text1"/>
          <w:szCs w:val="22"/>
          <w:lang w:val="en-GB"/>
        </w:rPr>
        <w:t>871</w:t>
      </w:r>
      <w:r w:rsidR="00600A00">
        <w:t> </w:t>
      </w:r>
      <w:r>
        <w:rPr>
          <w:color w:val="000000" w:themeColor="text1"/>
          <w:szCs w:val="22"/>
          <w:lang w:val="en-GB"/>
        </w:rPr>
        <w:t>000 cubic metres per year for the second five</w:t>
      </w:r>
      <w:r w:rsidR="00600A00">
        <w:rPr>
          <w:color w:val="000000" w:themeColor="text1"/>
          <w:szCs w:val="22"/>
          <w:lang w:val="en-GB"/>
        </w:rPr>
        <w:noBreakHyphen/>
      </w:r>
      <w:r>
        <w:rPr>
          <w:color w:val="000000" w:themeColor="text1"/>
          <w:szCs w:val="22"/>
          <w:lang w:val="en-GB"/>
        </w:rPr>
        <w:t>year</w:t>
      </w:r>
      <w:r w:rsidR="00875AC7">
        <w:rPr>
          <w:color w:val="000000" w:themeColor="text1"/>
          <w:szCs w:val="22"/>
          <w:lang w:val="en-GB"/>
        </w:rPr>
        <w:t xml:space="preserve"> period</w:t>
      </w:r>
      <w:r>
        <w:rPr>
          <w:color w:val="000000" w:themeColor="text1"/>
          <w:szCs w:val="22"/>
          <w:lang w:val="en-GB"/>
        </w:rPr>
        <w:t>.  From year 11 to 30 the level declined further to 737</w:t>
      </w:r>
      <w:r w:rsidR="00600A00">
        <w:rPr>
          <w:color w:val="000000" w:themeColor="text1"/>
          <w:szCs w:val="22"/>
          <w:lang w:val="en-GB"/>
        </w:rPr>
        <w:t> </w:t>
      </w:r>
      <w:r>
        <w:rPr>
          <w:color w:val="000000" w:themeColor="text1"/>
          <w:szCs w:val="22"/>
          <w:lang w:val="en-GB"/>
        </w:rPr>
        <w:t>000 cubic metres per year and from year 31 to 50 to 697</w:t>
      </w:r>
      <w:r w:rsidR="00600A00">
        <w:rPr>
          <w:color w:val="000000" w:themeColor="text1"/>
          <w:szCs w:val="22"/>
          <w:lang w:val="en-GB"/>
        </w:rPr>
        <w:t> </w:t>
      </w:r>
      <w:r>
        <w:rPr>
          <w:color w:val="000000" w:themeColor="text1"/>
          <w:szCs w:val="22"/>
          <w:lang w:val="en-GB"/>
        </w:rPr>
        <w:t>000 cubic metres per year.  Thereafter a long</w:t>
      </w:r>
      <w:r w:rsidR="00600A00">
        <w:rPr>
          <w:color w:val="000000" w:themeColor="text1"/>
          <w:szCs w:val="22"/>
          <w:lang w:val="en-GB"/>
        </w:rPr>
        <w:noBreakHyphen/>
      </w:r>
      <w:r>
        <w:rPr>
          <w:color w:val="000000" w:themeColor="text1"/>
          <w:szCs w:val="22"/>
          <w:lang w:val="en-GB"/>
        </w:rPr>
        <w:t>term harvest level of 798</w:t>
      </w:r>
      <w:r w:rsidR="00600A00">
        <w:rPr>
          <w:color w:val="000000" w:themeColor="text1"/>
          <w:szCs w:val="22"/>
          <w:lang w:val="en-CA"/>
        </w:rPr>
        <w:t> </w:t>
      </w:r>
      <w:r>
        <w:rPr>
          <w:color w:val="000000" w:themeColor="text1"/>
          <w:szCs w:val="22"/>
          <w:lang w:val="en-GB"/>
        </w:rPr>
        <w:t xml:space="preserve">000 cubic metres per year was attained.  </w:t>
      </w:r>
      <w:r w:rsidR="00BE5E9F">
        <w:rPr>
          <w:color w:val="000000" w:themeColor="text1"/>
          <w:szCs w:val="22"/>
          <w:lang w:val="en-GB"/>
        </w:rPr>
        <w:t>Th</w:t>
      </w:r>
      <w:r>
        <w:rPr>
          <w:color w:val="000000" w:themeColor="text1"/>
          <w:szCs w:val="22"/>
          <w:lang w:val="en-GB"/>
        </w:rPr>
        <w:t xml:space="preserve">is forecast reflects the </w:t>
      </w:r>
      <w:r w:rsidR="00BE5E9F">
        <w:rPr>
          <w:color w:val="000000" w:themeColor="text1"/>
          <w:szCs w:val="22"/>
          <w:lang w:val="en-GB"/>
        </w:rPr>
        <w:t>licensee</w:t>
      </w:r>
      <w:r>
        <w:rPr>
          <w:color w:val="000000" w:themeColor="text1"/>
          <w:szCs w:val="22"/>
          <w:lang w:val="en-GB"/>
        </w:rPr>
        <w:t>’s</w:t>
      </w:r>
      <w:r w:rsidR="00BE5E9F">
        <w:rPr>
          <w:color w:val="000000" w:themeColor="text1"/>
          <w:szCs w:val="22"/>
          <w:lang w:val="en-GB"/>
        </w:rPr>
        <w:t xml:space="preserve"> propose</w:t>
      </w:r>
      <w:r w:rsidR="00875AC7">
        <w:rPr>
          <w:color w:val="000000" w:themeColor="text1"/>
          <w:szCs w:val="22"/>
          <w:lang w:val="en-GB"/>
        </w:rPr>
        <w:t>d</w:t>
      </w:r>
      <w:r w:rsidR="00BE5E9F" w:rsidRPr="001B4A2A">
        <w:rPr>
          <w:color w:val="000000" w:themeColor="text1"/>
          <w:szCs w:val="22"/>
          <w:lang w:val="en-GB"/>
        </w:rPr>
        <w:t xml:space="preserve"> AAC of 1</w:t>
      </w:r>
      <w:r w:rsidR="00600A00">
        <w:rPr>
          <w:color w:val="000000" w:themeColor="text1"/>
          <w:szCs w:val="22"/>
          <w:lang w:val="en-GB"/>
        </w:rPr>
        <w:t> </w:t>
      </w:r>
      <w:r w:rsidR="00BE5E9F" w:rsidRPr="001B4A2A">
        <w:rPr>
          <w:color w:val="000000" w:themeColor="text1"/>
          <w:szCs w:val="22"/>
          <w:lang w:val="en-GB"/>
        </w:rPr>
        <w:t>550</w:t>
      </w:r>
      <w:r w:rsidR="00600A00">
        <w:rPr>
          <w:color w:val="000000" w:themeColor="text1"/>
          <w:szCs w:val="22"/>
          <w:lang w:val="en-GB"/>
        </w:rPr>
        <w:t> </w:t>
      </w:r>
      <w:r w:rsidR="00BE5E9F" w:rsidRPr="001B4A2A">
        <w:rPr>
          <w:color w:val="000000" w:themeColor="text1"/>
          <w:szCs w:val="22"/>
          <w:lang w:val="en-GB"/>
        </w:rPr>
        <w:t xml:space="preserve">000 </w:t>
      </w:r>
      <w:r w:rsidR="00BE5E9F">
        <w:rPr>
          <w:color w:val="000000" w:themeColor="text1"/>
          <w:szCs w:val="22"/>
          <w:lang w:val="en-GB"/>
        </w:rPr>
        <w:t>cubic metres</w:t>
      </w:r>
      <w:r w:rsidR="00875AC7">
        <w:rPr>
          <w:color w:val="000000" w:themeColor="text1"/>
          <w:szCs w:val="22"/>
          <w:lang w:val="en-GB"/>
        </w:rPr>
        <w:t xml:space="preserve"> </w:t>
      </w:r>
      <w:r w:rsidR="00BE5E9F" w:rsidRPr="001B4A2A">
        <w:rPr>
          <w:color w:val="000000" w:themeColor="text1"/>
          <w:szCs w:val="22"/>
          <w:lang w:val="en-GB"/>
        </w:rPr>
        <w:t>for next five</w:t>
      </w:r>
      <w:r w:rsidR="00600A00">
        <w:rPr>
          <w:color w:val="000000" w:themeColor="text1"/>
          <w:szCs w:val="22"/>
          <w:lang w:val="en-GB"/>
        </w:rPr>
        <w:t> </w:t>
      </w:r>
      <w:r w:rsidR="00BE5E9F" w:rsidRPr="001B4A2A">
        <w:rPr>
          <w:color w:val="000000" w:themeColor="text1"/>
          <w:szCs w:val="22"/>
          <w:lang w:val="en-GB"/>
        </w:rPr>
        <w:t xml:space="preserve">years and </w:t>
      </w:r>
      <w:r w:rsidR="005F6244">
        <w:rPr>
          <w:color w:val="000000" w:themeColor="text1"/>
          <w:szCs w:val="22"/>
          <w:lang w:val="en-GB"/>
        </w:rPr>
        <w:t>8</w:t>
      </w:r>
      <w:r w:rsidR="00D4493D">
        <w:rPr>
          <w:color w:val="000000" w:themeColor="text1"/>
          <w:szCs w:val="22"/>
          <w:lang w:val="en-GB"/>
        </w:rPr>
        <w:t>71</w:t>
      </w:r>
      <w:r w:rsidR="00600A00">
        <w:rPr>
          <w:color w:val="000000" w:themeColor="text1"/>
          <w:szCs w:val="22"/>
          <w:lang w:val="en-GB"/>
        </w:rPr>
        <w:t> </w:t>
      </w:r>
      <w:r w:rsidR="005F6244">
        <w:rPr>
          <w:color w:val="000000" w:themeColor="text1"/>
          <w:szCs w:val="22"/>
          <w:lang w:val="en-GB"/>
        </w:rPr>
        <w:t>000</w:t>
      </w:r>
      <w:r w:rsidR="00BE5E9F" w:rsidRPr="001B4A2A">
        <w:rPr>
          <w:color w:val="000000" w:themeColor="text1"/>
          <w:szCs w:val="22"/>
          <w:lang w:val="en-GB"/>
        </w:rPr>
        <w:t xml:space="preserve"> </w:t>
      </w:r>
      <w:r w:rsidR="00BE5E9F">
        <w:rPr>
          <w:color w:val="000000" w:themeColor="text1"/>
          <w:szCs w:val="22"/>
          <w:lang w:val="en-GB"/>
        </w:rPr>
        <w:t xml:space="preserve">cubic metres </w:t>
      </w:r>
      <w:r w:rsidR="00BE5E9F" w:rsidRPr="001B4A2A">
        <w:rPr>
          <w:color w:val="000000" w:themeColor="text1"/>
          <w:szCs w:val="22"/>
          <w:lang w:val="en-GB"/>
        </w:rPr>
        <w:t>for the subsequent five</w:t>
      </w:r>
      <w:r w:rsidR="00600A00">
        <w:rPr>
          <w:color w:val="000000" w:themeColor="text1"/>
          <w:szCs w:val="22"/>
          <w:lang w:val="en-GB"/>
        </w:rPr>
        <w:noBreakHyphen/>
      </w:r>
      <w:r w:rsidR="00BE5E9F" w:rsidRPr="001B4A2A">
        <w:rPr>
          <w:color w:val="000000" w:themeColor="text1"/>
          <w:szCs w:val="22"/>
          <w:lang w:val="en-GB"/>
        </w:rPr>
        <w:t>year period.</w:t>
      </w:r>
      <w:r w:rsidR="00D4493D">
        <w:rPr>
          <w:color w:val="000000" w:themeColor="text1"/>
          <w:szCs w:val="22"/>
          <w:lang w:val="en-GB"/>
        </w:rPr>
        <w:t xml:space="preserve">  The licensee</w:t>
      </w:r>
      <w:r w:rsidR="00875AC7">
        <w:rPr>
          <w:color w:val="000000" w:themeColor="text1"/>
          <w:szCs w:val="22"/>
          <w:lang w:val="en-GB"/>
        </w:rPr>
        <w:t xml:space="preserve"> indicates that its</w:t>
      </w:r>
      <w:r w:rsidR="00D4493D">
        <w:rPr>
          <w:color w:val="000000" w:themeColor="text1"/>
          <w:szCs w:val="22"/>
          <w:lang w:val="en-GB"/>
        </w:rPr>
        <w:t xml:space="preserve"> proposal reflects capacity </w:t>
      </w:r>
      <w:r w:rsidR="00F5210A">
        <w:rPr>
          <w:color w:val="000000" w:themeColor="text1"/>
          <w:szCs w:val="22"/>
          <w:lang w:val="en-GB"/>
        </w:rPr>
        <w:t xml:space="preserve">of field operations </w:t>
      </w:r>
      <w:r w:rsidR="00D4493D">
        <w:rPr>
          <w:color w:val="000000" w:themeColor="text1"/>
          <w:szCs w:val="22"/>
          <w:lang w:val="en-GB"/>
        </w:rPr>
        <w:t xml:space="preserve">in the area.  I will discuss this forecast further under </w:t>
      </w:r>
      <w:r w:rsidR="00866BF7">
        <w:rPr>
          <w:color w:val="000000" w:themeColor="text1"/>
          <w:szCs w:val="22"/>
          <w:lang w:val="en-GB"/>
        </w:rPr>
        <w:t>‘</w:t>
      </w:r>
      <w:r w:rsidR="00D4493D" w:rsidRPr="00600A00">
        <w:rPr>
          <w:b/>
          <w:color w:val="000000" w:themeColor="text1"/>
          <w:szCs w:val="22"/>
          <w:lang w:val="en-GB"/>
        </w:rPr>
        <w:t>Reasons for Decision</w:t>
      </w:r>
      <w:r w:rsidR="00866BF7">
        <w:rPr>
          <w:color w:val="000000" w:themeColor="text1"/>
          <w:szCs w:val="22"/>
          <w:lang w:val="en-GB"/>
        </w:rPr>
        <w:t>’</w:t>
      </w:r>
      <w:r w:rsidR="00D4493D">
        <w:rPr>
          <w:color w:val="000000" w:themeColor="text1"/>
          <w:szCs w:val="22"/>
          <w:lang w:val="en-GB"/>
        </w:rPr>
        <w:t>.</w:t>
      </w:r>
    </w:p>
    <w:p w:rsidR="003F50EF" w:rsidRDefault="009340E0" w:rsidP="00902972">
      <w:r w:rsidRPr="009340E0">
        <w:t>In the timber supply analysis, various sensitivity analyses were conducted to assess the potential implications and risk to timber supply arising from uncertainty in data assumptions.  These analyses</w:t>
      </w:r>
      <w:r w:rsidR="00D4493D">
        <w:t>, and the alternative harvest flows described above,</w:t>
      </w:r>
      <w:r w:rsidRPr="009340E0">
        <w:t xml:space="preserve"> have also assisted me in considering the factors leading to my determination.</w:t>
      </w:r>
    </w:p>
    <w:p w:rsidR="00716C18" w:rsidRPr="00C95B1A" w:rsidRDefault="003F50EF" w:rsidP="00902972">
      <w:r w:rsidRPr="00C95B1A">
        <w:t xml:space="preserve">This base case harvest forecast is predicated on the condition of the forest, including the amount of merchantable timber growing stock, at the time the data package was assembled for this analysis.  The standing forest was not depleted to account for the potential harvesting of any accumulated </w:t>
      </w:r>
      <w:proofErr w:type="spellStart"/>
      <w:r w:rsidRPr="00C95B1A">
        <w:t>unharvested</w:t>
      </w:r>
      <w:proofErr w:type="spellEnd"/>
      <w:r w:rsidRPr="00C95B1A">
        <w:t xml:space="preserve"> (undercut) volume in this TFL.  Therefore, any volume harvested – including undercut volume – above the AAC I determine would constitute use of the growing stock at a greater rate than projected in the base case if the AAC were fully utilized.  This could </w:t>
      </w:r>
      <w:r w:rsidR="00716C18" w:rsidRPr="00C95B1A">
        <w:t>affect</w:t>
      </w:r>
      <w:r w:rsidRPr="00C95B1A">
        <w:t xml:space="preserve"> the stability of future timber supply.  </w:t>
      </w:r>
    </w:p>
    <w:p w:rsidR="00E13CA6" w:rsidRDefault="009340E0" w:rsidP="00902972">
      <w:r w:rsidRPr="00C95B1A">
        <w:t>As discussed and quantified throughout this rationale, and in consideration of the items described</w:t>
      </w:r>
      <w:r w:rsidRPr="009340E0">
        <w:t xml:space="preserve"> above, I am satisfied the information presented to me provides an adequate basis from which I</w:t>
      </w:r>
      <w:r w:rsidR="007841F3">
        <w:t> </w:t>
      </w:r>
      <w:r w:rsidRPr="009340E0">
        <w:t>can assess the current timber supply for TFL </w:t>
      </w:r>
      <w:r w:rsidR="00E13CA6">
        <w:t>48</w:t>
      </w:r>
      <w:r w:rsidRPr="009340E0">
        <w:t xml:space="preserve"> for this determination.</w:t>
      </w:r>
    </w:p>
    <w:p w:rsidR="00103349" w:rsidRDefault="00103349">
      <w:pPr>
        <w:overflowPunct/>
        <w:autoSpaceDE/>
        <w:autoSpaceDN/>
        <w:adjustRightInd/>
        <w:spacing w:before="0" w:after="0"/>
        <w:textAlignment w:val="auto"/>
        <w:rPr>
          <w:b/>
          <w:kern w:val="28"/>
          <w:sz w:val="26"/>
          <w:lang w:val="en-US"/>
        </w:rPr>
      </w:pPr>
      <w:bookmarkStart w:id="206" w:name="_Toc317667250"/>
      <w:r>
        <w:br w:type="page"/>
      </w:r>
    </w:p>
    <w:p w:rsidR="003040FE" w:rsidRPr="00C541B6" w:rsidRDefault="003040FE" w:rsidP="00474A0E">
      <w:pPr>
        <w:pStyle w:val="Heading1"/>
        <w:rPr>
          <w:i/>
        </w:rPr>
      </w:pPr>
      <w:bookmarkStart w:id="207" w:name="_Toc432658628"/>
      <w:r w:rsidRPr="00C541B6">
        <w:t>Consideration of factors as required by Section 8 (8) of the</w:t>
      </w:r>
      <w:r w:rsidRPr="00C541B6">
        <w:rPr>
          <w:i/>
        </w:rPr>
        <w:t xml:space="preserve"> Forest Act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600A00" w:rsidRDefault="003040FE" w:rsidP="00B52F30">
      <w:pPr>
        <w:spacing w:after="0"/>
      </w:pPr>
      <w:r w:rsidRPr="00C541B6">
        <w:t>I have reviewed the information for all of the factors required to be consider</w:t>
      </w:r>
      <w:r w:rsidR="00BF2BF4" w:rsidRPr="00C541B6">
        <w:t>ed</w:t>
      </w:r>
      <w:r w:rsidRPr="00C541B6">
        <w:t xml:space="preserve"> under Section 8 of the </w:t>
      </w:r>
      <w:r w:rsidRPr="00C541B6">
        <w:rPr>
          <w:i/>
        </w:rPr>
        <w:t>Forest</w:t>
      </w:r>
      <w:r w:rsidR="00C3473B" w:rsidRPr="00C541B6">
        <w:rPr>
          <w:i/>
        </w:rPr>
        <w:t> </w:t>
      </w:r>
      <w:r w:rsidRPr="00C541B6">
        <w:rPr>
          <w:i/>
        </w:rPr>
        <w:t>Act</w:t>
      </w:r>
      <w:r w:rsidRPr="00C541B6">
        <w:t>.  Where I have concluded that the modelling of a factor in the base case appropriately represents current management or the best available information, and uncertainties about the factor have little influence on the timber supply projected in the base case, no discussion is included in this rationale.  These factors are listed in Table 1.</w:t>
      </w:r>
      <w:bookmarkStart w:id="208" w:name="_Toc245613460"/>
      <w:bookmarkStart w:id="209" w:name="_Toc289764772"/>
      <w:bookmarkStart w:id="210" w:name="_Toc248740011"/>
      <w:bookmarkStart w:id="211" w:name="B_Toc384010565"/>
      <w:bookmarkStart w:id="212" w:name="B_Toc383933710"/>
      <w:bookmarkStart w:id="213" w:name="B_Toc383929474"/>
      <w:bookmarkStart w:id="214" w:name="B_Toc383927993"/>
      <w:bookmarkStart w:id="215" w:name="B_Toc383921768"/>
      <w:bookmarkStart w:id="216" w:name="B_Toc383920807"/>
      <w:bookmarkStart w:id="217" w:name="B_Toc383920751"/>
      <w:bookmarkStart w:id="218" w:name="B_Toc383920687"/>
      <w:bookmarkStart w:id="219" w:name="_Toc405699484"/>
      <w:bookmarkStart w:id="220" w:name="_Toc405699673"/>
      <w:bookmarkStart w:id="221" w:name="_Toc405699892"/>
      <w:bookmarkStart w:id="222" w:name="_Toc405700208"/>
      <w:bookmarkStart w:id="223" w:name="_Toc405700305"/>
      <w:bookmarkStart w:id="224" w:name="_Toc405772292"/>
      <w:bookmarkStart w:id="225" w:name="_Toc405774105"/>
      <w:bookmarkStart w:id="226" w:name="_Toc405774431"/>
      <w:bookmarkStart w:id="227" w:name="_Toc405774709"/>
      <w:bookmarkStart w:id="228" w:name="_Toc405774765"/>
      <w:bookmarkStart w:id="229" w:name="_Toc405774861"/>
      <w:bookmarkStart w:id="230" w:name="_Toc405801474"/>
      <w:bookmarkStart w:id="231" w:name="_Toc405886873"/>
      <w:bookmarkStart w:id="232" w:name="_Toc405887111"/>
      <w:bookmarkStart w:id="233" w:name="_Toc405887240"/>
      <w:bookmarkStart w:id="234" w:name="_Toc405887479"/>
      <w:bookmarkStart w:id="235" w:name="_Toc405887541"/>
      <w:bookmarkStart w:id="236" w:name="_Toc406409004"/>
      <w:bookmarkStart w:id="237" w:name="_Toc406464393"/>
      <w:bookmarkStart w:id="238" w:name="_Toc421290312"/>
      <w:bookmarkStart w:id="239" w:name="_Toc256501012"/>
    </w:p>
    <w:p w:rsidR="00003B96" w:rsidRPr="00600A00" w:rsidRDefault="00003B96" w:rsidP="00F37DC9">
      <w:pPr>
        <w:pStyle w:val="Caption"/>
      </w:pPr>
      <w:bookmarkStart w:id="240" w:name="_Toc432658665"/>
      <w:proofErr w:type="gramStart"/>
      <w:r w:rsidRPr="00600A00">
        <w:t xml:space="preserve">Table </w:t>
      </w:r>
      <w:r w:rsidR="005E1CA7" w:rsidRPr="00600A00">
        <w:fldChar w:fldCharType="begin"/>
      </w:r>
      <w:r w:rsidRPr="00600A00">
        <w:instrText xml:space="preserve"> SEQ Table \* ARABIC </w:instrText>
      </w:r>
      <w:r w:rsidR="005E1CA7" w:rsidRPr="00600A00">
        <w:fldChar w:fldCharType="separate"/>
      </w:r>
      <w:r w:rsidR="009325C8">
        <w:rPr>
          <w:noProof/>
        </w:rPr>
        <w:t>1</w:t>
      </w:r>
      <w:r w:rsidR="005E1CA7" w:rsidRPr="00600A00">
        <w:fldChar w:fldCharType="end"/>
      </w:r>
      <w:r w:rsidRPr="00600A00">
        <w:t>.</w:t>
      </w:r>
      <w:proofErr w:type="gramEnd"/>
      <w:r w:rsidRPr="00600A00">
        <w:tab/>
        <w:t>List of accepted factors</w:t>
      </w:r>
      <w:bookmarkEnd w:id="240"/>
    </w:p>
    <w:tbl>
      <w:tblPr>
        <w:tblW w:w="0" w:type="auto"/>
        <w:tblBorders>
          <w:top w:val="single" w:sz="12" w:space="0" w:color="auto"/>
          <w:bottom w:val="single" w:sz="12" w:space="0" w:color="auto"/>
          <w:insideH w:val="single" w:sz="6" w:space="0" w:color="auto"/>
          <w:insideV w:val="single" w:sz="6" w:space="0" w:color="auto"/>
        </w:tblBorders>
        <w:tblLayout w:type="fixed"/>
        <w:tblLook w:val="01E0" w:firstRow="1" w:lastRow="1" w:firstColumn="1" w:lastColumn="1" w:noHBand="0" w:noVBand="0"/>
      </w:tblPr>
      <w:tblGrid>
        <w:gridCol w:w="4219"/>
        <w:gridCol w:w="4637"/>
      </w:tblGrid>
      <w:tr w:rsidR="00003B96" w:rsidRPr="007841F3" w:rsidTr="006B2BA7">
        <w:tc>
          <w:tcPr>
            <w:tcW w:w="4219" w:type="dxa"/>
            <w:tcBorders>
              <w:top w:val="single" w:sz="12" w:space="0" w:color="auto"/>
              <w:bottom w:val="single" w:sz="12" w:space="0" w:color="auto"/>
            </w:tcBorders>
          </w:tcPr>
          <w:p w:rsidR="00003B96" w:rsidRPr="002F363A" w:rsidRDefault="00003B96" w:rsidP="00F37DC9">
            <w:pPr>
              <w:spacing w:before="60" w:after="60"/>
              <w:jc w:val="center"/>
              <w:rPr>
                <w:b/>
              </w:rPr>
            </w:pPr>
            <w:r w:rsidRPr="002F363A">
              <w:rPr>
                <w:b/>
                <w:i/>
              </w:rPr>
              <w:t>Forest Act</w:t>
            </w:r>
            <w:r w:rsidRPr="002F363A">
              <w:rPr>
                <w:b/>
              </w:rPr>
              <w:t xml:space="preserve"> section and description</w:t>
            </w:r>
          </w:p>
        </w:tc>
        <w:tc>
          <w:tcPr>
            <w:tcW w:w="4637" w:type="dxa"/>
            <w:tcBorders>
              <w:top w:val="single" w:sz="12" w:space="0" w:color="auto"/>
              <w:bottom w:val="single" w:sz="12" w:space="0" w:color="auto"/>
            </w:tcBorders>
          </w:tcPr>
          <w:p w:rsidR="00003B96" w:rsidRPr="002F363A" w:rsidRDefault="00003B96" w:rsidP="00F37DC9">
            <w:pPr>
              <w:spacing w:before="60" w:after="60"/>
              <w:jc w:val="center"/>
              <w:rPr>
                <w:b/>
              </w:rPr>
            </w:pPr>
            <w:r w:rsidRPr="002F363A">
              <w:rPr>
                <w:b/>
              </w:rPr>
              <w:t>Factors accepted as modelled</w:t>
            </w:r>
          </w:p>
        </w:tc>
      </w:tr>
      <w:tr w:rsidR="00003B96" w:rsidRPr="00443700" w:rsidTr="006B2BA7">
        <w:tc>
          <w:tcPr>
            <w:tcW w:w="4219" w:type="dxa"/>
            <w:tcBorders>
              <w:top w:val="single" w:sz="12" w:space="0" w:color="auto"/>
            </w:tcBorders>
          </w:tcPr>
          <w:p w:rsidR="006727B8" w:rsidRPr="00443700" w:rsidRDefault="009340E0" w:rsidP="00F37DC9">
            <w:pPr>
              <w:spacing w:before="0" w:after="0"/>
            </w:pPr>
            <w:r w:rsidRPr="00443700">
              <w:rPr>
                <w:noProof/>
              </w:rPr>
              <w:t>8(8)(a)(i) Composition of the forest and its expected rate of growth</w:t>
            </w:r>
          </w:p>
        </w:tc>
        <w:tc>
          <w:tcPr>
            <w:tcW w:w="4637" w:type="dxa"/>
            <w:tcBorders>
              <w:top w:val="single" w:sz="12" w:space="0" w:color="auto"/>
            </w:tcBorders>
          </w:tcPr>
          <w:p w:rsidR="00D038F1" w:rsidRDefault="00D038F1" w:rsidP="00F37DC9">
            <w:pPr>
              <w:pStyle w:val="ListParagraph"/>
              <w:numPr>
                <w:ilvl w:val="0"/>
                <w:numId w:val="36"/>
              </w:numPr>
              <w:spacing w:before="0" w:after="0"/>
              <w:ind w:left="714" w:hanging="357"/>
            </w:pPr>
            <w:r>
              <w:t>Timber Harvesting Land Base</w:t>
            </w:r>
          </w:p>
          <w:p w:rsidR="00003B96" w:rsidRDefault="00AB3FAF" w:rsidP="00F37DC9">
            <w:pPr>
              <w:pStyle w:val="ListParagraph"/>
              <w:numPr>
                <w:ilvl w:val="0"/>
                <w:numId w:val="36"/>
              </w:numPr>
              <w:spacing w:before="0" w:after="0"/>
              <w:ind w:left="714" w:hanging="357"/>
            </w:pPr>
            <w:r>
              <w:t>Woodlot Licences</w:t>
            </w:r>
          </w:p>
          <w:p w:rsidR="00412A5A" w:rsidRDefault="00412A5A" w:rsidP="00F37DC9">
            <w:pPr>
              <w:pStyle w:val="ListParagraph"/>
              <w:numPr>
                <w:ilvl w:val="0"/>
                <w:numId w:val="36"/>
              </w:numPr>
              <w:spacing w:before="0" w:after="0"/>
              <w:ind w:left="714" w:hanging="357"/>
            </w:pPr>
            <w:r>
              <w:t>Water</w:t>
            </w:r>
          </w:p>
          <w:p w:rsidR="00AB3FAF" w:rsidRDefault="00AB3FAF" w:rsidP="00F37DC9">
            <w:pPr>
              <w:pStyle w:val="ListParagraph"/>
              <w:numPr>
                <w:ilvl w:val="0"/>
                <w:numId w:val="36"/>
              </w:numPr>
              <w:spacing w:before="0" w:after="0"/>
              <w:ind w:left="714" w:hanging="357"/>
            </w:pPr>
            <w:r>
              <w:t>Mine Sites</w:t>
            </w:r>
          </w:p>
          <w:p w:rsidR="00AB3FAF" w:rsidRDefault="00AB3FAF" w:rsidP="00F37DC9">
            <w:pPr>
              <w:pStyle w:val="ListParagraph"/>
              <w:numPr>
                <w:ilvl w:val="0"/>
                <w:numId w:val="36"/>
              </w:numPr>
              <w:spacing w:before="0" w:after="0"/>
              <w:ind w:left="714" w:hanging="357"/>
            </w:pPr>
            <w:r>
              <w:t>Roads</w:t>
            </w:r>
          </w:p>
          <w:p w:rsidR="00412A5A" w:rsidRDefault="00412A5A" w:rsidP="00F37DC9">
            <w:pPr>
              <w:pStyle w:val="ListParagraph"/>
              <w:numPr>
                <w:ilvl w:val="0"/>
                <w:numId w:val="36"/>
              </w:numPr>
              <w:spacing w:before="0" w:after="0"/>
              <w:ind w:left="714" w:hanging="357"/>
            </w:pPr>
            <w:r>
              <w:t>Non</w:t>
            </w:r>
            <w:r w:rsidR="00600A00">
              <w:noBreakHyphen/>
            </w:r>
            <w:r>
              <w:t>Vegetated Land and Vegetated Non</w:t>
            </w:r>
            <w:r w:rsidR="00600A00">
              <w:noBreakHyphen/>
            </w:r>
            <w:r>
              <w:t>Treed Land</w:t>
            </w:r>
          </w:p>
          <w:p w:rsidR="00412A5A" w:rsidRDefault="00412A5A" w:rsidP="00F37DC9">
            <w:pPr>
              <w:pStyle w:val="ListParagraph"/>
              <w:numPr>
                <w:ilvl w:val="0"/>
                <w:numId w:val="36"/>
              </w:numPr>
              <w:spacing w:before="0" w:after="0"/>
              <w:ind w:left="714" w:hanging="357"/>
            </w:pPr>
            <w:r>
              <w:t>High Elevation Forests (NDT 5)</w:t>
            </w:r>
          </w:p>
          <w:p w:rsidR="00412A5A" w:rsidRDefault="00412A5A" w:rsidP="00F37DC9">
            <w:pPr>
              <w:pStyle w:val="ListParagraph"/>
              <w:numPr>
                <w:ilvl w:val="0"/>
                <w:numId w:val="36"/>
              </w:numPr>
              <w:spacing w:before="0" w:after="0"/>
              <w:ind w:left="714" w:hanging="357"/>
            </w:pPr>
            <w:r>
              <w:t>Forested Islands</w:t>
            </w:r>
          </w:p>
          <w:p w:rsidR="00412A5A" w:rsidRDefault="00412A5A" w:rsidP="00F37DC9">
            <w:pPr>
              <w:pStyle w:val="ListParagraph"/>
              <w:numPr>
                <w:ilvl w:val="0"/>
                <w:numId w:val="36"/>
              </w:numPr>
              <w:spacing w:before="0" w:after="0"/>
              <w:ind w:left="714" w:hanging="357"/>
            </w:pPr>
            <w:r>
              <w:t>Protected Areas</w:t>
            </w:r>
          </w:p>
          <w:p w:rsidR="00412A5A" w:rsidRDefault="00412A5A" w:rsidP="00F37DC9">
            <w:pPr>
              <w:pStyle w:val="ListParagraph"/>
              <w:numPr>
                <w:ilvl w:val="0"/>
                <w:numId w:val="36"/>
              </w:numPr>
              <w:spacing w:before="0" w:after="0"/>
              <w:ind w:left="714" w:hanging="357"/>
            </w:pPr>
            <w:r>
              <w:t>Riparian Reserves and Management Zones</w:t>
            </w:r>
          </w:p>
          <w:p w:rsidR="00412A5A" w:rsidRDefault="00412A5A" w:rsidP="00F37DC9">
            <w:pPr>
              <w:pStyle w:val="ListParagraph"/>
              <w:numPr>
                <w:ilvl w:val="0"/>
                <w:numId w:val="36"/>
              </w:numPr>
              <w:spacing w:before="0" w:after="0"/>
              <w:ind w:left="714" w:hanging="357"/>
            </w:pPr>
            <w:r>
              <w:t>Rare Site Series</w:t>
            </w:r>
          </w:p>
          <w:p w:rsidR="00412A5A" w:rsidRDefault="00412A5A" w:rsidP="00F37DC9">
            <w:pPr>
              <w:pStyle w:val="ListParagraph"/>
              <w:numPr>
                <w:ilvl w:val="0"/>
                <w:numId w:val="36"/>
              </w:numPr>
              <w:spacing w:before="0" w:after="0"/>
              <w:ind w:left="714" w:hanging="357"/>
            </w:pPr>
            <w:r>
              <w:t>Aggregation Procedures</w:t>
            </w:r>
          </w:p>
          <w:p w:rsidR="00AB3FAF" w:rsidRDefault="00AB3FAF" w:rsidP="00F37DC9">
            <w:pPr>
              <w:pStyle w:val="ListParagraph"/>
              <w:numPr>
                <w:ilvl w:val="0"/>
                <w:numId w:val="36"/>
              </w:numPr>
              <w:spacing w:before="0" w:after="0"/>
              <w:ind w:left="714" w:hanging="357"/>
            </w:pPr>
            <w:r>
              <w:t>Natural Stand Yields</w:t>
            </w:r>
          </w:p>
          <w:p w:rsidR="00D038F1" w:rsidRDefault="00D038F1" w:rsidP="00F37DC9">
            <w:pPr>
              <w:pStyle w:val="ListParagraph"/>
              <w:numPr>
                <w:ilvl w:val="0"/>
                <w:numId w:val="36"/>
              </w:numPr>
              <w:spacing w:before="0" w:after="0"/>
              <w:ind w:left="714" w:hanging="357"/>
            </w:pPr>
            <w:r>
              <w:t>Log Grades</w:t>
            </w:r>
          </w:p>
          <w:p w:rsidR="000C0DAA" w:rsidRDefault="000C0DAA" w:rsidP="00F37DC9">
            <w:pPr>
              <w:pStyle w:val="ListParagraph"/>
              <w:numPr>
                <w:ilvl w:val="0"/>
                <w:numId w:val="36"/>
              </w:numPr>
              <w:spacing w:before="0" w:after="0"/>
              <w:ind w:left="714" w:hanging="357"/>
            </w:pPr>
            <w:r>
              <w:t>Site Index</w:t>
            </w:r>
          </w:p>
          <w:p w:rsidR="00412A5A" w:rsidRDefault="00412A5A" w:rsidP="00F37DC9">
            <w:pPr>
              <w:pStyle w:val="ListParagraph"/>
              <w:numPr>
                <w:ilvl w:val="0"/>
                <w:numId w:val="36"/>
              </w:numPr>
              <w:spacing w:before="0" w:after="0"/>
              <w:ind w:left="714" w:hanging="357"/>
            </w:pPr>
            <w:r>
              <w:t>Managed Stand Yields</w:t>
            </w:r>
          </w:p>
          <w:p w:rsidR="00412A5A" w:rsidRDefault="00412A5A" w:rsidP="00F37DC9">
            <w:pPr>
              <w:pStyle w:val="ListParagraph"/>
              <w:numPr>
                <w:ilvl w:val="0"/>
                <w:numId w:val="36"/>
              </w:numPr>
              <w:spacing w:before="0" w:after="0"/>
              <w:ind w:left="714" w:hanging="357"/>
            </w:pPr>
            <w:r>
              <w:t>Operational Adjustment Factors</w:t>
            </w:r>
          </w:p>
          <w:p w:rsidR="00EA3D2F" w:rsidRPr="00443700" w:rsidRDefault="00AB3FAF" w:rsidP="00F37DC9">
            <w:pPr>
              <w:pStyle w:val="ListParagraph"/>
              <w:numPr>
                <w:ilvl w:val="0"/>
                <w:numId w:val="36"/>
              </w:numPr>
              <w:spacing w:before="0" w:after="0"/>
              <w:ind w:left="714" w:hanging="357"/>
            </w:pPr>
            <w:r>
              <w:t>Minimum Harvestable Ages</w:t>
            </w:r>
          </w:p>
        </w:tc>
      </w:tr>
      <w:tr w:rsidR="00003B96" w:rsidRPr="00443700" w:rsidTr="006B2BA7">
        <w:tc>
          <w:tcPr>
            <w:tcW w:w="4219" w:type="dxa"/>
          </w:tcPr>
          <w:p w:rsidR="00003B96" w:rsidRPr="00443700" w:rsidRDefault="00003B96" w:rsidP="00F37DC9">
            <w:pPr>
              <w:spacing w:before="60" w:after="0"/>
            </w:pPr>
            <w:r w:rsidRPr="00443700">
              <w:rPr>
                <w:noProof/>
              </w:rPr>
              <w:t>8(8)(a)(ii) Expected time that it will take the forest to become re</w:t>
            </w:r>
            <w:r w:rsidRPr="00443700">
              <w:rPr>
                <w:noProof/>
              </w:rPr>
              <w:noBreakHyphen/>
              <w:t>established following denudation</w:t>
            </w:r>
          </w:p>
        </w:tc>
        <w:tc>
          <w:tcPr>
            <w:tcW w:w="4637" w:type="dxa"/>
          </w:tcPr>
          <w:p w:rsidR="00003B96" w:rsidRPr="00443700" w:rsidRDefault="00003B96" w:rsidP="00F37DC9">
            <w:pPr>
              <w:pStyle w:val="ListParagraph"/>
              <w:spacing w:before="60" w:after="0"/>
              <w:ind w:left="714"/>
            </w:pPr>
          </w:p>
        </w:tc>
      </w:tr>
      <w:tr w:rsidR="00003B96" w:rsidRPr="00443700" w:rsidTr="006B2BA7">
        <w:tc>
          <w:tcPr>
            <w:tcW w:w="4219" w:type="dxa"/>
          </w:tcPr>
          <w:p w:rsidR="00003B96" w:rsidRPr="00443700" w:rsidRDefault="00003B96" w:rsidP="00F37DC9">
            <w:pPr>
              <w:spacing w:before="60" w:after="0"/>
            </w:pPr>
            <w:r w:rsidRPr="00443700">
              <w:rPr>
                <w:noProof/>
              </w:rPr>
              <w:t>8(8)(a)(iii) Silvicultural treatments to be applied</w:t>
            </w:r>
          </w:p>
        </w:tc>
        <w:tc>
          <w:tcPr>
            <w:tcW w:w="4637" w:type="dxa"/>
          </w:tcPr>
          <w:p w:rsidR="00003B96" w:rsidRPr="00443700" w:rsidRDefault="00003B96" w:rsidP="00F37DC9">
            <w:pPr>
              <w:pStyle w:val="ListParagraph"/>
              <w:numPr>
                <w:ilvl w:val="0"/>
                <w:numId w:val="37"/>
              </w:numPr>
              <w:spacing w:before="60" w:after="0"/>
              <w:ind w:left="714" w:firstLine="0"/>
            </w:pPr>
            <w:r w:rsidRPr="00443700">
              <w:t>Regeneration</w:t>
            </w:r>
          </w:p>
        </w:tc>
      </w:tr>
      <w:tr w:rsidR="00003B96" w:rsidRPr="00443700" w:rsidTr="006B2BA7">
        <w:tc>
          <w:tcPr>
            <w:tcW w:w="4219" w:type="dxa"/>
          </w:tcPr>
          <w:p w:rsidR="00003B96" w:rsidRPr="00443700" w:rsidRDefault="00003B96" w:rsidP="00F37DC9">
            <w:pPr>
              <w:spacing w:before="60" w:after="0"/>
            </w:pPr>
            <w:r w:rsidRPr="00443700">
              <w:rPr>
                <w:noProof/>
              </w:rPr>
              <w:t>8(8)(a)(iv) Standard of timber utilization and allowance for decay, waste, and breakage</w:t>
            </w:r>
          </w:p>
        </w:tc>
        <w:tc>
          <w:tcPr>
            <w:tcW w:w="4637" w:type="dxa"/>
          </w:tcPr>
          <w:p w:rsidR="00003B96" w:rsidRPr="00443700" w:rsidRDefault="00003B96" w:rsidP="00F37DC9">
            <w:pPr>
              <w:pStyle w:val="ListParagraph"/>
              <w:numPr>
                <w:ilvl w:val="0"/>
                <w:numId w:val="37"/>
              </w:numPr>
              <w:spacing w:before="0" w:after="0"/>
              <w:ind w:left="714" w:firstLine="0"/>
            </w:pPr>
            <w:r w:rsidRPr="00443700">
              <w:t>Utilization standards</w:t>
            </w:r>
          </w:p>
          <w:p w:rsidR="00003B96" w:rsidRPr="00443700" w:rsidRDefault="00003B96" w:rsidP="00F37DC9">
            <w:pPr>
              <w:pStyle w:val="ListParagraph"/>
              <w:numPr>
                <w:ilvl w:val="0"/>
                <w:numId w:val="37"/>
              </w:numPr>
              <w:spacing w:before="0" w:after="0"/>
              <w:ind w:left="714" w:firstLine="0"/>
            </w:pPr>
            <w:r w:rsidRPr="00443700">
              <w:t>Decay, waste, and breakage</w:t>
            </w:r>
          </w:p>
        </w:tc>
      </w:tr>
      <w:tr w:rsidR="00003B96" w:rsidRPr="00443700" w:rsidTr="006B2BA7">
        <w:tc>
          <w:tcPr>
            <w:tcW w:w="4219" w:type="dxa"/>
          </w:tcPr>
          <w:p w:rsidR="00003B96" w:rsidRPr="00443700" w:rsidRDefault="00003B96" w:rsidP="00F37DC9">
            <w:pPr>
              <w:spacing w:before="60" w:after="0"/>
              <w:rPr>
                <w:noProof/>
              </w:rPr>
            </w:pPr>
            <w:r w:rsidRPr="00443700">
              <w:rPr>
                <w:noProof/>
              </w:rPr>
              <w:t>8(8)(a)(v) Constraints on the amount of timber produced by use of the area for purposes other than timber production</w:t>
            </w:r>
          </w:p>
        </w:tc>
        <w:tc>
          <w:tcPr>
            <w:tcW w:w="4637" w:type="dxa"/>
          </w:tcPr>
          <w:p w:rsidR="00AB3FAF" w:rsidRDefault="00AB3FAF" w:rsidP="00F37DC9">
            <w:pPr>
              <w:pStyle w:val="ListParagraph"/>
              <w:numPr>
                <w:ilvl w:val="0"/>
                <w:numId w:val="37"/>
              </w:numPr>
              <w:spacing w:before="0" w:after="0"/>
              <w:ind w:left="1440" w:hanging="726"/>
            </w:pPr>
            <w:r>
              <w:t>Adjacency</w:t>
            </w:r>
            <w:r w:rsidR="00AC55CE">
              <w:t xml:space="preserve"> (Patch Size Distribution)</w:t>
            </w:r>
          </w:p>
          <w:p w:rsidR="00AB3FAF" w:rsidRDefault="00AB3FAF" w:rsidP="00F37DC9">
            <w:pPr>
              <w:pStyle w:val="ListParagraph"/>
              <w:numPr>
                <w:ilvl w:val="0"/>
                <w:numId w:val="37"/>
              </w:numPr>
              <w:spacing w:before="0" w:after="0"/>
              <w:ind w:left="714" w:firstLine="0"/>
            </w:pPr>
            <w:r>
              <w:t xml:space="preserve">Grizzly </w:t>
            </w:r>
            <w:r w:rsidR="00F37DC9">
              <w:t>B</w:t>
            </w:r>
            <w:r>
              <w:t>ear</w:t>
            </w:r>
          </w:p>
          <w:p w:rsidR="007C4C98" w:rsidRDefault="007C4C98" w:rsidP="00F37DC9">
            <w:pPr>
              <w:pStyle w:val="ListParagraph"/>
              <w:numPr>
                <w:ilvl w:val="0"/>
                <w:numId w:val="37"/>
              </w:numPr>
              <w:spacing w:before="0" w:after="0"/>
              <w:ind w:left="714" w:firstLine="0"/>
            </w:pPr>
            <w:r>
              <w:t>Stand</w:t>
            </w:r>
            <w:r w:rsidR="00600A00">
              <w:noBreakHyphen/>
            </w:r>
            <w:r>
              <w:t>Level Biodiversity</w:t>
            </w:r>
          </w:p>
          <w:p w:rsidR="00AB3FAF" w:rsidRDefault="00AB3FAF" w:rsidP="00F37DC9">
            <w:pPr>
              <w:pStyle w:val="ListParagraph"/>
              <w:numPr>
                <w:ilvl w:val="0"/>
                <w:numId w:val="37"/>
              </w:numPr>
              <w:spacing w:before="0" w:after="0"/>
              <w:ind w:left="714" w:firstLine="0"/>
            </w:pPr>
            <w:r>
              <w:t>Landscape</w:t>
            </w:r>
            <w:r w:rsidR="00F37DC9">
              <w:noBreakHyphen/>
            </w:r>
            <w:r>
              <w:t>Level Biodiversity</w:t>
            </w:r>
          </w:p>
          <w:p w:rsidR="00B9421F" w:rsidRPr="00443700" w:rsidRDefault="00325EEB" w:rsidP="00F37DC9">
            <w:pPr>
              <w:pStyle w:val="ListParagraph"/>
              <w:numPr>
                <w:ilvl w:val="0"/>
                <w:numId w:val="37"/>
              </w:numPr>
              <w:spacing w:before="0" w:after="0"/>
              <w:ind w:left="714" w:firstLine="0"/>
            </w:pPr>
            <w:r>
              <w:t>Scenic Area Management</w:t>
            </w:r>
          </w:p>
        </w:tc>
      </w:tr>
    </w:tbl>
    <w:p w:rsidR="00F37DC9" w:rsidRPr="00F37DC9" w:rsidRDefault="00F37DC9" w:rsidP="00F37DC9">
      <w:pPr>
        <w:overflowPunct/>
        <w:autoSpaceDE/>
        <w:autoSpaceDN/>
        <w:adjustRightInd/>
        <w:spacing w:before="0" w:after="0"/>
        <w:jc w:val="right"/>
        <w:textAlignment w:val="auto"/>
        <w:rPr>
          <w:i/>
        </w:rPr>
      </w:pPr>
      <w:r w:rsidRPr="00F37DC9">
        <w:rPr>
          <w:i/>
        </w:rPr>
        <w:t>(</w:t>
      </w:r>
      <w:proofErr w:type="gramStart"/>
      <w:r w:rsidRPr="00F37DC9">
        <w:rPr>
          <w:i/>
        </w:rPr>
        <w:t>continued</w:t>
      </w:r>
      <w:proofErr w:type="gramEnd"/>
      <w:r w:rsidRPr="00F37DC9">
        <w:rPr>
          <w:i/>
        </w:rPr>
        <w:t>)</w:t>
      </w:r>
    </w:p>
    <w:p w:rsidR="00F37DC9" w:rsidRDefault="00F37DC9">
      <w:pPr>
        <w:overflowPunct/>
        <w:autoSpaceDE/>
        <w:autoSpaceDN/>
        <w:adjustRightInd/>
        <w:spacing w:before="0" w:after="0"/>
        <w:textAlignment w:val="auto"/>
      </w:pPr>
      <w:r>
        <w:br w:type="page"/>
      </w:r>
    </w:p>
    <w:p w:rsidR="008C011A" w:rsidRDefault="00F37DC9" w:rsidP="00F37DC9">
      <w:pPr>
        <w:pStyle w:val="caption1"/>
      </w:pPr>
      <w:proofErr w:type="gramStart"/>
      <w:r w:rsidRPr="00F37DC9">
        <w:t>Table 1.</w:t>
      </w:r>
      <w:proofErr w:type="gramEnd"/>
      <w:r w:rsidRPr="00F37DC9">
        <w:tab/>
        <w:t>List of accepted factors</w:t>
      </w:r>
      <w:r w:rsidR="007009EF">
        <w:t xml:space="preserve"> (concluded)</w:t>
      </w:r>
    </w:p>
    <w:tbl>
      <w:tblPr>
        <w:tblW w:w="0" w:type="auto"/>
        <w:tblLayout w:type="fixed"/>
        <w:tblLook w:val="01E0" w:firstRow="1" w:lastRow="1" w:firstColumn="1" w:lastColumn="1" w:noHBand="0" w:noVBand="0"/>
      </w:tblPr>
      <w:tblGrid>
        <w:gridCol w:w="4219"/>
        <w:gridCol w:w="4637"/>
      </w:tblGrid>
      <w:tr w:rsidR="008C011A" w:rsidRPr="00F37DC9" w:rsidTr="006B2BA7">
        <w:trPr>
          <w:trHeight w:val="57"/>
        </w:trPr>
        <w:tc>
          <w:tcPr>
            <w:tcW w:w="4219" w:type="dxa"/>
            <w:tcBorders>
              <w:top w:val="single" w:sz="12" w:space="0" w:color="auto"/>
              <w:bottom w:val="single" w:sz="12" w:space="0" w:color="auto"/>
            </w:tcBorders>
          </w:tcPr>
          <w:p w:rsidR="008C011A" w:rsidRPr="00F37DC9" w:rsidRDefault="008C011A" w:rsidP="00F37DC9">
            <w:pPr>
              <w:spacing w:before="60" w:after="60"/>
              <w:jc w:val="center"/>
              <w:rPr>
                <w:b/>
                <w:noProof/>
              </w:rPr>
            </w:pPr>
            <w:r w:rsidRPr="00F37DC9">
              <w:rPr>
                <w:b/>
                <w:i/>
                <w:noProof/>
              </w:rPr>
              <w:t>Forest Act</w:t>
            </w:r>
            <w:r w:rsidRPr="00F37DC9">
              <w:rPr>
                <w:b/>
                <w:noProof/>
              </w:rPr>
              <w:t xml:space="preserve"> section and description</w:t>
            </w:r>
          </w:p>
        </w:tc>
        <w:tc>
          <w:tcPr>
            <w:tcW w:w="4637" w:type="dxa"/>
            <w:tcBorders>
              <w:top w:val="single" w:sz="12" w:space="0" w:color="auto"/>
              <w:bottom w:val="single" w:sz="12" w:space="0" w:color="auto"/>
            </w:tcBorders>
          </w:tcPr>
          <w:p w:rsidR="008C011A" w:rsidRPr="00F37DC9" w:rsidRDefault="008C011A" w:rsidP="00F37DC9">
            <w:pPr>
              <w:pStyle w:val="ListParagraph"/>
              <w:spacing w:before="60" w:after="60"/>
              <w:ind w:left="714" w:hanging="357"/>
              <w:jc w:val="center"/>
              <w:rPr>
                <w:b/>
              </w:rPr>
            </w:pPr>
            <w:r w:rsidRPr="00F37DC9">
              <w:rPr>
                <w:b/>
              </w:rPr>
              <w:t>Factors accepted as modelled</w:t>
            </w:r>
          </w:p>
        </w:tc>
      </w:tr>
      <w:tr w:rsidR="00003B96" w:rsidRPr="00443700" w:rsidTr="006B2BA7">
        <w:tc>
          <w:tcPr>
            <w:tcW w:w="4219" w:type="dxa"/>
            <w:tcBorders>
              <w:top w:val="single" w:sz="12" w:space="0" w:color="auto"/>
              <w:bottom w:val="single" w:sz="6" w:space="0" w:color="auto"/>
              <w:right w:val="single" w:sz="6" w:space="0" w:color="auto"/>
            </w:tcBorders>
          </w:tcPr>
          <w:p w:rsidR="00003B96" w:rsidRPr="00443700" w:rsidRDefault="00003B96" w:rsidP="00F37DC9">
            <w:pPr>
              <w:spacing w:before="60" w:after="0"/>
              <w:rPr>
                <w:noProof/>
              </w:rPr>
            </w:pPr>
            <w:r w:rsidRPr="00443700">
              <w:rPr>
                <w:noProof/>
              </w:rPr>
              <w:t>8(8)(a)(vi) Any other information</w:t>
            </w:r>
          </w:p>
        </w:tc>
        <w:tc>
          <w:tcPr>
            <w:tcW w:w="4637" w:type="dxa"/>
            <w:tcBorders>
              <w:top w:val="single" w:sz="12" w:space="0" w:color="auto"/>
              <w:left w:val="single" w:sz="6" w:space="0" w:color="auto"/>
              <w:bottom w:val="single" w:sz="6" w:space="0" w:color="auto"/>
            </w:tcBorders>
          </w:tcPr>
          <w:p w:rsidR="00AC55CE" w:rsidRDefault="00AC55CE" w:rsidP="00F37DC9">
            <w:pPr>
              <w:pStyle w:val="ListParagraph"/>
              <w:numPr>
                <w:ilvl w:val="0"/>
                <w:numId w:val="37"/>
              </w:numPr>
              <w:spacing w:before="60" w:after="0"/>
              <w:ind w:left="714" w:hanging="357"/>
            </w:pPr>
            <w:r>
              <w:t>Land Use Plans</w:t>
            </w:r>
          </w:p>
          <w:p w:rsidR="00003B96" w:rsidRPr="00443700" w:rsidRDefault="00AC55CE" w:rsidP="007009EF">
            <w:pPr>
              <w:pStyle w:val="ListParagraph"/>
              <w:numPr>
                <w:ilvl w:val="0"/>
                <w:numId w:val="37"/>
              </w:numPr>
              <w:spacing w:before="60" w:after="0"/>
            </w:pPr>
            <w:proofErr w:type="spellStart"/>
            <w:r>
              <w:t>Dunlevy</w:t>
            </w:r>
            <w:proofErr w:type="spellEnd"/>
            <w:r>
              <w:t xml:space="preserve"> Creek Special</w:t>
            </w:r>
            <w:r w:rsidR="007009EF">
              <w:t xml:space="preserve"> </w:t>
            </w:r>
            <w:r>
              <w:t>Management Area</w:t>
            </w:r>
          </w:p>
        </w:tc>
      </w:tr>
      <w:tr w:rsidR="00412A5A" w:rsidRPr="00443700" w:rsidTr="006B2BA7">
        <w:tc>
          <w:tcPr>
            <w:tcW w:w="4219" w:type="dxa"/>
            <w:tcBorders>
              <w:top w:val="single" w:sz="6" w:space="0" w:color="auto"/>
              <w:bottom w:val="single" w:sz="6" w:space="0" w:color="auto"/>
              <w:right w:val="single" w:sz="6" w:space="0" w:color="auto"/>
            </w:tcBorders>
          </w:tcPr>
          <w:p w:rsidR="00412A5A" w:rsidRPr="00443700" w:rsidRDefault="00412A5A" w:rsidP="00F37DC9">
            <w:pPr>
              <w:spacing w:before="60" w:after="0"/>
              <w:rPr>
                <w:noProof/>
              </w:rPr>
            </w:pPr>
            <w:r w:rsidRPr="00443700">
              <w:rPr>
                <w:noProof/>
              </w:rPr>
              <w:t>8(8)(</w:t>
            </w:r>
            <w:r>
              <w:rPr>
                <w:noProof/>
              </w:rPr>
              <w:t>d</w:t>
            </w:r>
            <w:r w:rsidRPr="00443700">
              <w:rPr>
                <w:noProof/>
              </w:rPr>
              <w:t>)</w:t>
            </w:r>
            <w:r>
              <w:rPr>
                <w:noProof/>
              </w:rPr>
              <w:t xml:space="preserve"> Economic and social objectives of the government</w:t>
            </w:r>
          </w:p>
        </w:tc>
        <w:tc>
          <w:tcPr>
            <w:tcW w:w="4637" w:type="dxa"/>
            <w:tcBorders>
              <w:top w:val="single" w:sz="6" w:space="0" w:color="auto"/>
              <w:left w:val="single" w:sz="6" w:space="0" w:color="auto"/>
              <w:bottom w:val="single" w:sz="6" w:space="0" w:color="auto"/>
            </w:tcBorders>
          </w:tcPr>
          <w:p w:rsidR="00412A5A" w:rsidRDefault="00412A5A" w:rsidP="00F37DC9">
            <w:pPr>
              <w:pStyle w:val="ListParagraph"/>
              <w:numPr>
                <w:ilvl w:val="0"/>
                <w:numId w:val="38"/>
              </w:numPr>
              <w:spacing w:before="60" w:after="0"/>
              <w:ind w:left="714" w:hanging="357"/>
            </w:pPr>
            <w:r>
              <w:t>Employment and Community Dependence</w:t>
            </w:r>
          </w:p>
        </w:tc>
      </w:tr>
      <w:tr w:rsidR="00003B96" w:rsidRPr="00443700" w:rsidTr="006B2BA7">
        <w:trPr>
          <w:trHeight w:val="968"/>
        </w:trPr>
        <w:tc>
          <w:tcPr>
            <w:tcW w:w="4219" w:type="dxa"/>
            <w:tcBorders>
              <w:top w:val="single" w:sz="6" w:space="0" w:color="auto"/>
              <w:bottom w:val="single" w:sz="12" w:space="0" w:color="auto"/>
              <w:right w:val="single" w:sz="6" w:space="0" w:color="auto"/>
            </w:tcBorders>
          </w:tcPr>
          <w:p w:rsidR="00003B96" w:rsidRPr="00443700" w:rsidRDefault="00003B96" w:rsidP="00F37DC9">
            <w:pPr>
              <w:spacing w:before="60" w:after="0"/>
              <w:rPr>
                <w:noProof/>
              </w:rPr>
            </w:pPr>
            <w:r w:rsidRPr="00443700">
              <w:rPr>
                <w:noProof/>
              </w:rPr>
              <w:t>8(8)(e) Abnormal infestations in and devastations of, and major salvage programs planned for, timber on the area</w:t>
            </w:r>
          </w:p>
        </w:tc>
        <w:tc>
          <w:tcPr>
            <w:tcW w:w="4637" w:type="dxa"/>
            <w:tcBorders>
              <w:top w:val="single" w:sz="6" w:space="0" w:color="auto"/>
              <w:left w:val="single" w:sz="6" w:space="0" w:color="auto"/>
              <w:bottom w:val="single" w:sz="12" w:space="0" w:color="auto"/>
            </w:tcBorders>
          </w:tcPr>
          <w:p w:rsidR="00003B96" w:rsidRPr="00443700" w:rsidRDefault="00EC52B4" w:rsidP="00F37DC9">
            <w:pPr>
              <w:pStyle w:val="ListParagraph"/>
              <w:numPr>
                <w:ilvl w:val="0"/>
                <w:numId w:val="38"/>
              </w:numPr>
              <w:spacing w:before="60" w:after="0"/>
              <w:ind w:left="714" w:hanging="357"/>
            </w:pPr>
            <w:r>
              <w:t>Non</w:t>
            </w:r>
            <w:r w:rsidR="00F37DC9">
              <w:noBreakHyphen/>
            </w:r>
            <w:r>
              <w:t>recoverable Loss Estimates</w:t>
            </w:r>
          </w:p>
        </w:tc>
      </w:tr>
    </w:tbl>
    <w:bookmarkEnd w:id="208"/>
    <w:bookmarkEnd w:id="209"/>
    <w:bookmarkEnd w:id="210"/>
    <w:p w:rsidR="00E11303" w:rsidRPr="00C541B6" w:rsidRDefault="00E11303" w:rsidP="00DE4458">
      <w:pPr>
        <w:rPr>
          <w:szCs w:val="22"/>
        </w:rPr>
      </w:pPr>
      <w:r w:rsidRPr="00C541B6">
        <w:rPr>
          <w:szCs w:val="22"/>
        </w:rPr>
        <w:t>For other factors, where more uncertainty exists, or where public or First Nations’ input indicates contention regarding the information used, modelling, or some other aspect under consideration, this rationale incorporates an explanation of how I considered the essential issues raised and the reason</w:t>
      </w:r>
      <w:r w:rsidR="00F168B1">
        <w:rPr>
          <w:szCs w:val="22"/>
        </w:rPr>
        <w:t>s</w:t>
      </w:r>
      <w:r w:rsidRPr="00C541B6">
        <w:rPr>
          <w:szCs w:val="22"/>
        </w:rPr>
        <w:t xml:space="preserve"> leading to my conclusions.</w:t>
      </w:r>
    </w:p>
    <w:p w:rsidR="003040FE" w:rsidRPr="00C541B6" w:rsidRDefault="003040FE">
      <w:pPr>
        <w:pStyle w:val="Heading2"/>
        <w:rPr>
          <w:lang w:val="en-CA"/>
        </w:rPr>
      </w:pPr>
      <w:bookmarkStart w:id="241" w:name="_Toc317667251"/>
      <w:bookmarkStart w:id="242" w:name="_Toc432658629"/>
      <w:r w:rsidRPr="00C541B6">
        <w:rPr>
          <w:lang w:val="en-CA"/>
        </w:rPr>
        <w:t>Factors requiring additional explanatory consideration</w:t>
      </w:r>
      <w:bookmarkEnd w:id="241"/>
      <w:bookmarkEnd w:id="242"/>
    </w:p>
    <w:p w:rsidR="008273A5" w:rsidRPr="00463753" w:rsidRDefault="008273A5" w:rsidP="008273A5">
      <w:pPr>
        <w:keepNext/>
        <w:spacing w:before="0"/>
        <w:rPr>
          <w:b/>
          <w:color w:val="000000" w:themeColor="text1"/>
          <w:sz w:val="20"/>
        </w:rPr>
      </w:pPr>
      <w:r w:rsidRPr="005A69E7">
        <w:rPr>
          <w:b/>
          <w:color w:val="000000" w:themeColor="text1"/>
          <w:sz w:val="20"/>
        </w:rPr>
        <w:t>Section 8 (8)</w:t>
      </w:r>
    </w:p>
    <w:p w:rsidR="008273A5" w:rsidRPr="00463753" w:rsidRDefault="008273A5" w:rsidP="008273A5">
      <w:pPr>
        <w:keepNext/>
        <w:rPr>
          <w:b/>
          <w:color w:val="000000" w:themeColor="text1"/>
          <w:sz w:val="20"/>
        </w:rPr>
      </w:pPr>
      <w:r w:rsidRPr="005A69E7">
        <w:rPr>
          <w:b/>
          <w:color w:val="000000" w:themeColor="text1"/>
          <w:sz w:val="20"/>
        </w:rPr>
        <w:t>In determining an allowable annual cut under this section the chief forester, despite anything to the contrary in an agreement listed in section 12, must consider</w:t>
      </w:r>
    </w:p>
    <w:p w:rsidR="008273A5" w:rsidRPr="00463753" w:rsidRDefault="008273A5" w:rsidP="008273A5">
      <w:pPr>
        <w:keepNext/>
        <w:tabs>
          <w:tab w:val="left" w:pos="284"/>
          <w:tab w:val="left" w:pos="567"/>
        </w:tabs>
        <w:rPr>
          <w:b/>
          <w:color w:val="000000" w:themeColor="text1"/>
          <w:sz w:val="20"/>
        </w:rPr>
      </w:pPr>
      <w:r w:rsidRPr="005A69E7">
        <w:rPr>
          <w:b/>
          <w:color w:val="000000" w:themeColor="text1"/>
          <w:sz w:val="20"/>
        </w:rPr>
        <w:t>(a)</w:t>
      </w:r>
      <w:r w:rsidRPr="005A69E7">
        <w:rPr>
          <w:b/>
          <w:color w:val="000000" w:themeColor="text1"/>
          <w:sz w:val="20"/>
        </w:rPr>
        <w:tab/>
      </w:r>
      <w:proofErr w:type="gramStart"/>
      <w:r w:rsidRPr="005A69E7">
        <w:rPr>
          <w:b/>
          <w:color w:val="000000" w:themeColor="text1"/>
          <w:sz w:val="20"/>
        </w:rPr>
        <w:t>the</w:t>
      </w:r>
      <w:proofErr w:type="gramEnd"/>
      <w:r w:rsidRPr="005A69E7">
        <w:rPr>
          <w:b/>
          <w:color w:val="000000" w:themeColor="text1"/>
          <w:sz w:val="20"/>
        </w:rPr>
        <w:t xml:space="preserve"> rate of timber production that may be sustained on the area, taking into account</w:t>
      </w:r>
    </w:p>
    <w:p w:rsidR="008273A5" w:rsidRPr="00463753" w:rsidRDefault="008273A5" w:rsidP="008273A5">
      <w:pPr>
        <w:keepNext/>
        <w:tabs>
          <w:tab w:val="left" w:pos="284"/>
          <w:tab w:val="left" w:pos="567"/>
          <w:tab w:val="left" w:pos="851"/>
        </w:tabs>
        <w:rPr>
          <w:b/>
          <w:color w:val="000000" w:themeColor="text1"/>
          <w:sz w:val="20"/>
        </w:rPr>
      </w:pPr>
      <w:r w:rsidRPr="005A69E7">
        <w:rPr>
          <w:b/>
          <w:color w:val="000000" w:themeColor="text1"/>
          <w:sz w:val="20"/>
        </w:rPr>
        <w:tab/>
        <w:t>(i)</w:t>
      </w:r>
      <w:r w:rsidRPr="005A69E7">
        <w:rPr>
          <w:b/>
          <w:color w:val="000000" w:themeColor="text1"/>
          <w:sz w:val="20"/>
        </w:rPr>
        <w:tab/>
      </w:r>
      <w:proofErr w:type="gramStart"/>
      <w:r w:rsidRPr="005A69E7">
        <w:rPr>
          <w:b/>
          <w:color w:val="000000" w:themeColor="text1"/>
          <w:sz w:val="20"/>
        </w:rPr>
        <w:t>the</w:t>
      </w:r>
      <w:proofErr w:type="gramEnd"/>
      <w:r w:rsidRPr="005A69E7">
        <w:rPr>
          <w:b/>
          <w:color w:val="000000" w:themeColor="text1"/>
          <w:sz w:val="20"/>
        </w:rPr>
        <w:t xml:space="preserve"> composition of the forest and its expected rate of growth on the area</w:t>
      </w:r>
    </w:p>
    <w:p w:rsidR="007841F3" w:rsidRDefault="007841F3">
      <w:pPr>
        <w:overflowPunct/>
        <w:autoSpaceDE/>
        <w:autoSpaceDN/>
        <w:adjustRightInd/>
        <w:spacing w:before="0" w:after="0"/>
        <w:textAlignment w:val="auto"/>
        <w:rPr>
          <w:color w:val="000000" w:themeColor="text1"/>
          <w:sz w:val="24"/>
          <w:u w:val="single"/>
        </w:rPr>
      </w:pPr>
      <w:bookmarkStart w:id="243" w:name="_Toc351644408"/>
    </w:p>
    <w:p w:rsidR="008273A5" w:rsidRPr="00463753" w:rsidRDefault="008273A5" w:rsidP="008273A5">
      <w:pPr>
        <w:pStyle w:val="Heading2"/>
        <w:rPr>
          <w:color w:val="000000" w:themeColor="text1"/>
          <w:lang w:val="en-CA"/>
        </w:rPr>
      </w:pPr>
      <w:bookmarkStart w:id="244" w:name="_Toc432658630"/>
      <w:r>
        <w:rPr>
          <w:color w:val="000000" w:themeColor="text1"/>
          <w:lang w:val="en-CA"/>
        </w:rPr>
        <w:t>Factors considered under Section 8(8</w:t>
      </w:r>
      <w:proofErr w:type="gramStart"/>
      <w:r>
        <w:rPr>
          <w:color w:val="000000" w:themeColor="text1"/>
          <w:lang w:val="en-CA"/>
        </w:rPr>
        <w:t>)(</w:t>
      </w:r>
      <w:proofErr w:type="gramEnd"/>
      <w:r>
        <w:rPr>
          <w:color w:val="000000" w:themeColor="text1"/>
          <w:lang w:val="en-CA"/>
        </w:rPr>
        <w:t>a)(i)</w:t>
      </w:r>
      <w:bookmarkEnd w:id="243"/>
      <w:bookmarkEnd w:id="244"/>
    </w:p>
    <w:p w:rsidR="00E87B86" w:rsidRDefault="00E87B86" w:rsidP="00E87B86">
      <w:pPr>
        <w:rPr>
          <w:szCs w:val="22"/>
        </w:rPr>
      </w:pPr>
      <w:r w:rsidRPr="00C541B6">
        <w:rPr>
          <w:szCs w:val="22"/>
        </w:rPr>
        <w:t>In addition to the factors listed under this section in Table 1, I</w:t>
      </w:r>
      <w:r w:rsidR="007009EF">
        <w:rPr>
          <w:szCs w:val="22"/>
        </w:rPr>
        <w:t> </w:t>
      </w:r>
      <w:r w:rsidRPr="00C541B6">
        <w:rPr>
          <w:szCs w:val="22"/>
        </w:rPr>
        <w:t>have considered the following factor</w:t>
      </w:r>
      <w:r w:rsidR="007B0A34" w:rsidRPr="00C541B6">
        <w:rPr>
          <w:szCs w:val="22"/>
        </w:rPr>
        <w:t>s</w:t>
      </w:r>
      <w:r w:rsidRPr="00C541B6">
        <w:rPr>
          <w:szCs w:val="22"/>
        </w:rPr>
        <w:t xml:space="preserve"> requiring comment or discussion.</w:t>
      </w:r>
    </w:p>
    <w:p w:rsidR="001A44D8" w:rsidRPr="00270FC6" w:rsidRDefault="00270FC6" w:rsidP="00270FC6">
      <w:pPr>
        <w:pStyle w:val="Heading3"/>
        <w:rPr>
          <w:lang w:val="en-CA"/>
        </w:rPr>
      </w:pPr>
      <w:bookmarkStart w:id="245" w:name="_Toc432658631"/>
      <w:r>
        <w:rPr>
          <w:lang w:val="en-CA"/>
        </w:rPr>
        <w:t xml:space="preserve">- </w:t>
      </w:r>
      <w:r w:rsidR="001A44D8" w:rsidRPr="00270FC6">
        <w:rPr>
          <w:lang w:val="en-CA"/>
        </w:rPr>
        <w:t xml:space="preserve">Mountain Pine Beetle </w:t>
      </w:r>
      <w:r w:rsidR="00957638">
        <w:rPr>
          <w:lang w:val="en-CA"/>
        </w:rPr>
        <w:t>e</w:t>
      </w:r>
      <w:r w:rsidR="001A44D8" w:rsidRPr="00270FC6">
        <w:rPr>
          <w:lang w:val="en-CA"/>
        </w:rPr>
        <w:t>pidemic</w:t>
      </w:r>
      <w:bookmarkEnd w:id="245"/>
    </w:p>
    <w:p w:rsidR="001A44D8" w:rsidRDefault="001A44D8" w:rsidP="001A44D8">
      <w:r>
        <w:t>The stands on TFL</w:t>
      </w:r>
      <w:r w:rsidR="007009EF">
        <w:t> </w:t>
      </w:r>
      <w:r>
        <w:t xml:space="preserve">48 have been impacted by the mountain pine beetle (MPB) epidemic.  For the </w:t>
      </w:r>
      <w:r w:rsidR="00694E90">
        <w:t>base case</w:t>
      </w:r>
      <w:r>
        <w:t xml:space="preserve">, the state of the infestation was measured using </w:t>
      </w:r>
      <w:r w:rsidR="0052303D">
        <w:t>year</w:t>
      </w:r>
      <w:r w:rsidR="007009EF">
        <w:t> </w:t>
      </w:r>
      <w:r>
        <w:t xml:space="preserve">10 of the </w:t>
      </w:r>
      <w:r w:rsidR="006029EC">
        <w:t>Provincial</w:t>
      </w:r>
      <w:r w:rsidR="007009EF">
        <w:noBreakHyphen/>
      </w:r>
      <w:r w:rsidR="007F0340">
        <w:t>L</w:t>
      </w:r>
      <w:r w:rsidR="006029EC">
        <w:t xml:space="preserve">evel </w:t>
      </w:r>
      <w:r w:rsidR="007F0340">
        <w:t>M</w:t>
      </w:r>
      <w:r w:rsidR="006029EC">
        <w:t xml:space="preserve">ountain </w:t>
      </w:r>
      <w:r w:rsidR="007F0340">
        <w:t>P</w:t>
      </w:r>
      <w:r w:rsidR="006029EC">
        <w:t xml:space="preserve">ine </w:t>
      </w:r>
      <w:r w:rsidR="007F0340">
        <w:t>B</w:t>
      </w:r>
      <w:r w:rsidR="006029EC">
        <w:t xml:space="preserve">eetle </w:t>
      </w:r>
      <w:r w:rsidR="007F0340">
        <w:t>M</w:t>
      </w:r>
      <w:r w:rsidR="006029EC">
        <w:t>odel (</w:t>
      </w:r>
      <w:r>
        <w:t>BCMPB</w:t>
      </w:r>
      <w:r w:rsidR="006029EC">
        <w:t>)</w:t>
      </w:r>
      <w:r>
        <w:t xml:space="preserve"> projections.</w:t>
      </w:r>
    </w:p>
    <w:p w:rsidR="001A44D8" w:rsidRDefault="001A44D8" w:rsidP="001A44D8">
      <w:r>
        <w:t>In May 2013, the licensee flew over the TFL in a helicopter to assess</w:t>
      </w:r>
      <w:r w:rsidR="007756FC">
        <w:t xml:space="preserve"> the accuracy of the projections</w:t>
      </w:r>
      <w:r>
        <w:t xml:space="preserve">.  It was determined that the projections accurately represent the location of the most severely impacted stands, but </w:t>
      </w:r>
      <w:r w:rsidR="007756FC">
        <w:t xml:space="preserve">likely </w:t>
      </w:r>
      <w:r>
        <w:t>underestimate the overall percentage of stands attacked.  Specifically, the licensee noted that some areas of low to moderate attack are under</w:t>
      </w:r>
      <w:r w:rsidR="007009EF">
        <w:noBreakHyphen/>
      </w:r>
      <w:r>
        <w:t xml:space="preserve">represented in the projections.  Overall, however, the licensee believes that the projections from </w:t>
      </w:r>
      <w:r w:rsidR="006A73EE">
        <w:t>BCMPB year </w:t>
      </w:r>
      <w:r>
        <w:t xml:space="preserve">10 and used in the </w:t>
      </w:r>
      <w:r w:rsidR="00694E90">
        <w:t>base case</w:t>
      </w:r>
      <w:r>
        <w:t xml:space="preserve"> provide a reasonable representation of the state of the infestation on TFL</w:t>
      </w:r>
      <w:r w:rsidR="007009EF">
        <w:t> </w:t>
      </w:r>
      <w:r>
        <w:t>48.</w:t>
      </w:r>
    </w:p>
    <w:p w:rsidR="001A44D8" w:rsidRDefault="001A44D8" w:rsidP="001A44D8">
      <w:r>
        <w:t xml:space="preserve">The licensee estimates that the TFL has </w:t>
      </w:r>
      <w:r w:rsidR="005859F4">
        <w:t>53</w:t>
      </w:r>
      <w:r w:rsidR="007009EF">
        <w:t> </w:t>
      </w:r>
      <w:r>
        <w:t xml:space="preserve">million cubic metres of conifer volume on the timber harvesting land base, </w:t>
      </w:r>
      <w:r w:rsidR="005859F4">
        <w:t>18.2</w:t>
      </w:r>
      <w:r w:rsidR="007009EF">
        <w:t> </w:t>
      </w:r>
      <w:r>
        <w:t>million cubic metres or 3</w:t>
      </w:r>
      <w:r w:rsidR="005859F4">
        <w:t>4</w:t>
      </w:r>
      <w:r w:rsidR="007009EF">
        <w:t> </w:t>
      </w:r>
      <w:r>
        <w:t xml:space="preserve">percent of which is pine.  Of this volume, </w:t>
      </w:r>
      <w:r w:rsidR="005859F4">
        <w:t>12.7</w:t>
      </w:r>
      <w:r w:rsidR="007009EF">
        <w:t> </w:t>
      </w:r>
      <w:r>
        <w:t>million cubic metres (2</w:t>
      </w:r>
      <w:r w:rsidR="005859F4">
        <w:t>4</w:t>
      </w:r>
      <w:r w:rsidR="007009EF">
        <w:t> </w:t>
      </w:r>
      <w:r>
        <w:t>percent of the conifer volume on the timber harvesting land base) has been attacked by the MPB.</w:t>
      </w:r>
    </w:p>
    <w:p w:rsidR="001A44D8" w:rsidRDefault="001E30F7" w:rsidP="001A44D8">
      <w:r>
        <w:t>T</w:t>
      </w:r>
      <w:r w:rsidR="001A44D8">
        <w:t>o account for the limited shelf life of MPB</w:t>
      </w:r>
      <w:r w:rsidR="007009EF">
        <w:noBreakHyphen/>
      </w:r>
      <w:r w:rsidR="001A44D8">
        <w:t>killed timber, the pine</w:t>
      </w:r>
      <w:r w:rsidR="007009EF">
        <w:noBreakHyphen/>
      </w:r>
      <w:r w:rsidR="001A44D8">
        <w:t>leading stands in the base case were assumed to maintain their merchantable volume for five years from the start of the analysis horizon, after which all of the pine volume was assumed to be lost.  Most of the MPB</w:t>
      </w:r>
      <w:r w:rsidR="007009EF">
        <w:t> </w:t>
      </w:r>
      <w:r w:rsidR="001A44D8">
        <w:t xml:space="preserve">damage occurred between 2007 and 2009 on the TFL, and thus the analysis assumptions represent an average shelf life for these stands of approximately </w:t>
      </w:r>
      <w:r w:rsidR="007009EF">
        <w:t>10 </w:t>
      </w:r>
      <w:r w:rsidR="001A44D8">
        <w:t>years.  The stands were grouped in the analysis into 10</w:t>
      </w:r>
      <w:r w:rsidR="007009EF">
        <w:noBreakHyphen/>
      </w:r>
      <w:r w:rsidR="001A44D8">
        <w:t>year age classes, and as a result the actual shelf life by stand in the analysis ranged from 5 to 14 years.</w:t>
      </w:r>
    </w:p>
    <w:p w:rsidR="001A44D8" w:rsidRDefault="001A44D8" w:rsidP="001A44D8">
      <w:r>
        <w:t xml:space="preserve">In the base case, the salvage </w:t>
      </w:r>
      <w:r w:rsidR="0001371D">
        <w:t xml:space="preserve">harvest </w:t>
      </w:r>
      <w:r>
        <w:t>of the MPB</w:t>
      </w:r>
      <w:r w:rsidR="007009EF">
        <w:noBreakHyphen/>
      </w:r>
      <w:r>
        <w:t>killed stands is projected to occur in the first five</w:t>
      </w:r>
      <w:r w:rsidR="007009EF">
        <w:t> </w:t>
      </w:r>
      <w:r>
        <w:t xml:space="preserve">years.  </w:t>
      </w:r>
      <w:r w:rsidR="009306F9">
        <w:t>The stands on TFL</w:t>
      </w:r>
      <w:r w:rsidR="007009EF">
        <w:t> </w:t>
      </w:r>
      <w:r w:rsidR="009306F9">
        <w:t>48 are primarily mixed species stands, and therefore salvage harvest of the MPB</w:t>
      </w:r>
      <w:r w:rsidR="007009EF">
        <w:noBreakHyphen/>
      </w:r>
      <w:r w:rsidR="009306F9">
        <w:t xml:space="preserve">killed pine volume includes the harvest of other species.  </w:t>
      </w:r>
      <w:r>
        <w:t xml:space="preserve">The licensee provided information to demonstrate that the contribution to the </w:t>
      </w:r>
      <w:r w:rsidR="0001371D">
        <w:t>base case harvested volume</w:t>
      </w:r>
      <w:r>
        <w:t xml:space="preserve"> </w:t>
      </w:r>
      <w:r w:rsidR="009306F9">
        <w:t xml:space="preserve">in this first </w:t>
      </w:r>
      <w:r w:rsidR="007009EF">
        <w:t>five</w:t>
      </w:r>
      <w:r w:rsidR="007009EF">
        <w:noBreakHyphen/>
      </w:r>
      <w:r w:rsidR="009306F9">
        <w:t>y</w:t>
      </w:r>
      <w:r>
        <w:t>ear period was predominantly from pine</w:t>
      </w:r>
      <w:r w:rsidR="007009EF">
        <w:noBreakHyphen/>
      </w:r>
      <w:r>
        <w:t xml:space="preserve">leading </w:t>
      </w:r>
      <w:proofErr w:type="gramStart"/>
      <w:r>
        <w:t>stands,</w:t>
      </w:r>
      <w:proofErr w:type="gramEnd"/>
      <w:r>
        <w:t xml:space="preserve"> and </w:t>
      </w:r>
      <w:r w:rsidR="0001371D">
        <w:t xml:space="preserve">mostly </w:t>
      </w:r>
      <w:r>
        <w:t>from stands where pine comprised more than 50</w:t>
      </w:r>
      <w:r w:rsidR="007009EF">
        <w:t> </w:t>
      </w:r>
      <w:r>
        <w:t>percent of the stand.</w:t>
      </w:r>
      <w:r w:rsidR="005859F4">
        <w:t xml:space="preserve">  </w:t>
      </w:r>
      <w:r w:rsidR="005859F4" w:rsidRPr="00E753A6">
        <w:rPr>
          <w:color w:val="000000" w:themeColor="text1"/>
        </w:rPr>
        <w:t>In th</w:t>
      </w:r>
      <w:r w:rsidR="009306F9">
        <w:rPr>
          <w:color w:val="000000" w:themeColor="text1"/>
        </w:rPr>
        <w:t>is</w:t>
      </w:r>
      <w:r w:rsidR="005859F4" w:rsidRPr="00E753A6">
        <w:rPr>
          <w:color w:val="000000" w:themeColor="text1"/>
        </w:rPr>
        <w:t xml:space="preserve"> first period, 78</w:t>
      </w:r>
      <w:r w:rsidR="007009EF">
        <w:rPr>
          <w:color w:val="000000" w:themeColor="text1"/>
        </w:rPr>
        <w:t> </w:t>
      </w:r>
      <w:r w:rsidR="005859F4">
        <w:rPr>
          <w:color w:val="000000" w:themeColor="text1"/>
        </w:rPr>
        <w:t xml:space="preserve">percent of the volume harvested in the base case was </w:t>
      </w:r>
      <w:r w:rsidR="005859F4" w:rsidRPr="00E753A6">
        <w:rPr>
          <w:color w:val="000000" w:themeColor="text1"/>
        </w:rPr>
        <w:t xml:space="preserve">from stands with </w:t>
      </w:r>
      <w:r w:rsidR="005859F4">
        <w:rPr>
          <w:color w:val="000000" w:themeColor="text1"/>
        </w:rPr>
        <w:t>mo</w:t>
      </w:r>
      <w:r w:rsidR="005859F4" w:rsidRPr="00E753A6">
        <w:rPr>
          <w:color w:val="000000" w:themeColor="text1"/>
        </w:rPr>
        <w:t>r</w:t>
      </w:r>
      <w:r w:rsidR="005859F4">
        <w:rPr>
          <w:color w:val="000000" w:themeColor="text1"/>
        </w:rPr>
        <w:t>e</w:t>
      </w:r>
      <w:r w:rsidR="005859F4" w:rsidRPr="00E753A6">
        <w:rPr>
          <w:color w:val="000000" w:themeColor="text1"/>
        </w:rPr>
        <w:t xml:space="preserve"> than 50</w:t>
      </w:r>
      <w:r w:rsidR="007009EF">
        <w:rPr>
          <w:color w:val="000000" w:themeColor="text1"/>
        </w:rPr>
        <w:t> </w:t>
      </w:r>
      <w:r w:rsidR="005859F4">
        <w:rPr>
          <w:color w:val="000000" w:themeColor="text1"/>
        </w:rPr>
        <w:t>percent</w:t>
      </w:r>
      <w:r w:rsidR="005859F4" w:rsidRPr="00E753A6">
        <w:rPr>
          <w:color w:val="000000" w:themeColor="text1"/>
        </w:rPr>
        <w:t xml:space="preserve"> pine.</w:t>
      </w:r>
      <w:r w:rsidR="0052303D">
        <w:rPr>
          <w:color w:val="000000" w:themeColor="text1"/>
        </w:rPr>
        <w:t xml:space="preserve">  I</w:t>
      </w:r>
      <w:r w:rsidR="007009EF">
        <w:rPr>
          <w:color w:val="000000" w:themeColor="text1"/>
        </w:rPr>
        <w:t> </w:t>
      </w:r>
      <w:r w:rsidR="0052303D">
        <w:rPr>
          <w:color w:val="000000" w:themeColor="text1"/>
        </w:rPr>
        <w:t>also note that Canfor indicated that it expects some stands</w:t>
      </w:r>
      <w:r w:rsidR="00C2095D">
        <w:rPr>
          <w:color w:val="000000" w:themeColor="text1"/>
        </w:rPr>
        <w:t>,</w:t>
      </w:r>
      <w:r w:rsidR="0052303D">
        <w:rPr>
          <w:color w:val="000000" w:themeColor="text1"/>
        </w:rPr>
        <w:t xml:space="preserve"> </w:t>
      </w:r>
      <w:r w:rsidR="00C2095D">
        <w:rPr>
          <w:color w:val="000000" w:themeColor="text1"/>
        </w:rPr>
        <w:t>assumed</w:t>
      </w:r>
      <w:r w:rsidR="0052303D">
        <w:rPr>
          <w:color w:val="000000" w:themeColor="text1"/>
        </w:rPr>
        <w:t xml:space="preserve"> in the base case to no longer contribute to timber supply after the first five</w:t>
      </w:r>
      <w:r w:rsidR="007009EF">
        <w:rPr>
          <w:color w:val="000000" w:themeColor="text1"/>
        </w:rPr>
        <w:t> </w:t>
      </w:r>
      <w:r w:rsidR="0052303D">
        <w:rPr>
          <w:color w:val="000000" w:themeColor="text1"/>
        </w:rPr>
        <w:t xml:space="preserve">years of the forecast, will in fact </w:t>
      </w:r>
      <w:r w:rsidR="00C2095D">
        <w:rPr>
          <w:color w:val="000000" w:themeColor="text1"/>
        </w:rPr>
        <w:t>still be merchantable.  Canfor</w:t>
      </w:r>
      <w:r w:rsidR="007009EF">
        <w:rPr>
          <w:color w:val="000000" w:themeColor="text1"/>
        </w:rPr>
        <w:t> </w:t>
      </w:r>
      <w:r w:rsidR="00C2095D">
        <w:rPr>
          <w:color w:val="000000" w:themeColor="text1"/>
        </w:rPr>
        <w:t>expects to target these stands for harvesting after five years elapses.</w:t>
      </w:r>
    </w:p>
    <w:p w:rsidR="0001371D" w:rsidRDefault="001A44D8" w:rsidP="00E87B86">
      <w:r>
        <w:t xml:space="preserve">I have reviewed the information regarding the assumptions to account for </w:t>
      </w:r>
      <w:r w:rsidR="0001371D">
        <w:t xml:space="preserve">the impact of </w:t>
      </w:r>
      <w:r>
        <w:t xml:space="preserve">MPB </w:t>
      </w:r>
      <w:r w:rsidR="0001371D">
        <w:t>o</w:t>
      </w:r>
      <w:r>
        <w:t>n the stands on TFL</w:t>
      </w:r>
      <w:r w:rsidR="007009EF">
        <w:t> </w:t>
      </w:r>
      <w:r>
        <w:t>48, and discussed the information with FLNR as well as licensee staff.  I</w:t>
      </w:r>
      <w:r w:rsidR="007009EF">
        <w:t> </w:t>
      </w:r>
      <w:r>
        <w:t>have also flown over the TFL and observed the condition of stands.  I</w:t>
      </w:r>
      <w:r w:rsidR="007009EF">
        <w:t> </w:t>
      </w:r>
      <w:r>
        <w:t xml:space="preserve">consider the shelf life assumptions used in the analysis to be reasonable and </w:t>
      </w:r>
      <w:r w:rsidR="0001371D">
        <w:t xml:space="preserve">I </w:t>
      </w:r>
      <w:r>
        <w:t xml:space="preserve">am satisfied that the initial higher harvest level </w:t>
      </w:r>
      <w:r w:rsidR="0001371D">
        <w:t xml:space="preserve">demonstrated in the base case </w:t>
      </w:r>
      <w:r>
        <w:t>is supported by salvage of MPB</w:t>
      </w:r>
      <w:r w:rsidR="007009EF">
        <w:noBreakHyphen/>
      </w:r>
      <w:r>
        <w:t>killed timber, an important objective for forest management on the TFL.</w:t>
      </w:r>
    </w:p>
    <w:p w:rsidR="00FB6364" w:rsidRPr="00C95B1A" w:rsidRDefault="00313C53" w:rsidP="00E87B86">
      <w:r w:rsidRPr="00C95B1A">
        <w:t>During the flight over the TFL licensee staff indicated that currently salvage opportunities of dead pine on cable</w:t>
      </w:r>
      <w:r w:rsidR="007009EF" w:rsidRPr="00C95B1A">
        <w:noBreakHyphen/>
      </w:r>
      <w:r w:rsidRPr="00C95B1A">
        <w:t xml:space="preserve">harvest areas are limited due to a shortage of </w:t>
      </w:r>
      <w:r w:rsidR="00A87B9B" w:rsidRPr="00C95B1A">
        <w:t>cable</w:t>
      </w:r>
      <w:r w:rsidR="007009EF" w:rsidRPr="00C95B1A">
        <w:noBreakHyphen/>
      </w:r>
      <w:r w:rsidRPr="00C95B1A">
        <w:t xml:space="preserve">harvesting contractors.  </w:t>
      </w:r>
      <w:r w:rsidR="00963B34" w:rsidRPr="00C95B1A">
        <w:t xml:space="preserve">This creates a level of uncertainty for my decision as I note that dead </w:t>
      </w:r>
      <w:proofErr w:type="spellStart"/>
      <w:r w:rsidR="00963B34" w:rsidRPr="00C95B1A">
        <w:t>pine</w:t>
      </w:r>
      <w:proofErr w:type="spellEnd"/>
      <w:r w:rsidR="00963B34" w:rsidRPr="00C95B1A">
        <w:t xml:space="preserve"> from the inventory (regardless of type of harvest required), was used in the analysis which supports the base case.  </w:t>
      </w:r>
      <w:r w:rsidR="00A36326" w:rsidRPr="00C95B1A">
        <w:t>I</w:t>
      </w:r>
      <w:r w:rsidR="007009EF" w:rsidRPr="00C95B1A">
        <w:t> </w:t>
      </w:r>
      <w:r w:rsidR="00A36326" w:rsidRPr="00C95B1A">
        <w:t>note that</w:t>
      </w:r>
      <w:r w:rsidR="00AC562F" w:rsidRPr="00C95B1A">
        <w:t>,</w:t>
      </w:r>
      <w:r w:rsidR="00A36326" w:rsidRPr="00C95B1A">
        <w:t xml:space="preserve"> g</w:t>
      </w:r>
      <w:r w:rsidR="00FB6364" w:rsidRPr="00C95B1A">
        <w:t xml:space="preserve">iven the uncertainty regarding salvage of dead pine volume in cable </w:t>
      </w:r>
      <w:r w:rsidRPr="00C95B1A">
        <w:t xml:space="preserve">harvesting </w:t>
      </w:r>
      <w:proofErr w:type="gramStart"/>
      <w:r w:rsidR="00FB6364" w:rsidRPr="00C95B1A">
        <w:t>areas,</w:t>
      </w:r>
      <w:proofErr w:type="gramEnd"/>
      <w:r w:rsidR="00FB6364" w:rsidRPr="00C95B1A">
        <w:t xml:space="preserve"> it is my expectation that the licensee will</w:t>
      </w:r>
      <w:r w:rsidR="00963B34" w:rsidRPr="00C95B1A">
        <w:t xml:space="preserve">, to the best of </w:t>
      </w:r>
      <w:r w:rsidR="00AC562F" w:rsidRPr="00C95B1A">
        <w:t xml:space="preserve">its </w:t>
      </w:r>
      <w:r w:rsidR="00963B34" w:rsidRPr="00C95B1A">
        <w:t>ability, utilize dead pine on cable ground</w:t>
      </w:r>
      <w:r w:rsidR="00E030E3" w:rsidRPr="00C95B1A">
        <w:t>.  I also expect the licensee to</w:t>
      </w:r>
      <w:r w:rsidR="00963B34" w:rsidRPr="00C95B1A">
        <w:t xml:space="preserve"> </w:t>
      </w:r>
      <w:r w:rsidR="00FB6364" w:rsidRPr="00C95B1A">
        <w:t>review t</w:t>
      </w:r>
      <w:r w:rsidR="00A36326" w:rsidRPr="00C95B1A">
        <w:t xml:space="preserve">hese areas </w:t>
      </w:r>
      <w:r w:rsidR="00E030E3" w:rsidRPr="00C95B1A">
        <w:t>and</w:t>
      </w:r>
      <w:r w:rsidR="00A36326" w:rsidRPr="00C95B1A">
        <w:t xml:space="preserve"> provide evidence </w:t>
      </w:r>
      <w:r w:rsidR="00807866" w:rsidRPr="00C95B1A">
        <w:t>that they should contribute to timber supply</w:t>
      </w:r>
      <w:r w:rsidR="00AC562F" w:rsidRPr="00C95B1A">
        <w:t xml:space="preserve"> </w:t>
      </w:r>
      <w:r w:rsidR="00807866" w:rsidRPr="00C95B1A">
        <w:t>for</w:t>
      </w:r>
      <w:r w:rsidR="00A36326" w:rsidRPr="00C95B1A">
        <w:t xml:space="preserve"> the next timber supply review for TFL</w:t>
      </w:r>
      <w:r w:rsidR="007009EF" w:rsidRPr="00C95B1A">
        <w:t> </w:t>
      </w:r>
      <w:r w:rsidR="00A36326" w:rsidRPr="00C95B1A">
        <w:t>48.</w:t>
      </w:r>
    </w:p>
    <w:p w:rsidR="001A44D8" w:rsidRPr="00C95B1A" w:rsidRDefault="001A44D8" w:rsidP="00E87B86">
      <w:pPr>
        <w:rPr>
          <w:szCs w:val="22"/>
        </w:rPr>
      </w:pPr>
      <w:r w:rsidRPr="00C95B1A">
        <w:t xml:space="preserve">Overall, I am satisfied that the </w:t>
      </w:r>
      <w:r w:rsidR="00EA007B" w:rsidRPr="00C95B1A">
        <w:t xml:space="preserve">base case </w:t>
      </w:r>
      <w:r w:rsidRPr="00C95B1A">
        <w:t>provide</w:t>
      </w:r>
      <w:r w:rsidR="00EA007B" w:rsidRPr="00C95B1A">
        <w:t>s</w:t>
      </w:r>
      <w:r w:rsidRPr="00C95B1A">
        <w:t xml:space="preserve"> a reasonable representation of the impact of </w:t>
      </w:r>
      <w:r w:rsidR="0001371D" w:rsidRPr="00C95B1A">
        <w:t>MPB</w:t>
      </w:r>
      <w:r w:rsidRPr="00C95B1A">
        <w:t xml:space="preserve"> to </w:t>
      </w:r>
      <w:r w:rsidR="0001371D" w:rsidRPr="00C95B1A">
        <w:t xml:space="preserve">the </w:t>
      </w:r>
      <w:r w:rsidRPr="00C95B1A">
        <w:t>timber supply on TFL</w:t>
      </w:r>
      <w:r w:rsidR="007009EF" w:rsidRPr="00C95B1A">
        <w:t> </w:t>
      </w:r>
      <w:r w:rsidR="0001371D" w:rsidRPr="00C95B1A">
        <w:t>48</w:t>
      </w:r>
      <w:r w:rsidRPr="00C95B1A">
        <w:t xml:space="preserve">.  I will discuss my considerations of </w:t>
      </w:r>
      <w:r w:rsidR="00D67306" w:rsidRPr="00C95B1A">
        <w:t>the MPB epidemic and its implications to timber supply on TFL</w:t>
      </w:r>
      <w:r w:rsidR="007009EF" w:rsidRPr="00C95B1A">
        <w:t> </w:t>
      </w:r>
      <w:r w:rsidR="00D67306" w:rsidRPr="00C95B1A">
        <w:t>48</w:t>
      </w:r>
      <w:r w:rsidRPr="00C95B1A">
        <w:t xml:space="preserve"> under </w:t>
      </w:r>
      <w:r w:rsidR="00866BF7">
        <w:t>‘</w:t>
      </w:r>
      <w:r w:rsidRPr="00C95B1A">
        <w:rPr>
          <w:b/>
        </w:rPr>
        <w:t>Reasons for Decision</w:t>
      </w:r>
      <w:r w:rsidR="00866BF7">
        <w:t>’</w:t>
      </w:r>
      <w:r w:rsidRPr="00C95B1A">
        <w:t>.</w:t>
      </w:r>
    </w:p>
    <w:p w:rsidR="00DA0088" w:rsidRPr="00C95B1A" w:rsidRDefault="0039162B" w:rsidP="004052C9">
      <w:pPr>
        <w:pStyle w:val="Heading3"/>
        <w:rPr>
          <w:lang w:val="en-CA"/>
        </w:rPr>
      </w:pPr>
      <w:bookmarkStart w:id="246" w:name="_Toc317667252"/>
      <w:bookmarkStart w:id="247" w:name="_Toc432658632"/>
      <w:bookmarkStart w:id="248" w:name="_Toc256501014"/>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C95B1A">
        <w:rPr>
          <w:lang w:val="en-CA"/>
        </w:rPr>
        <w:t>-</w:t>
      </w:r>
      <w:r w:rsidR="00FE733C" w:rsidRPr="00C95B1A">
        <w:rPr>
          <w:lang w:val="en-CA"/>
        </w:rPr>
        <w:t xml:space="preserve"> </w:t>
      </w:r>
      <w:proofErr w:type="gramStart"/>
      <w:r w:rsidR="00747ACC" w:rsidRPr="00C95B1A">
        <w:rPr>
          <w:lang w:val="en-CA"/>
        </w:rPr>
        <w:t>forest</w:t>
      </w:r>
      <w:proofErr w:type="gramEnd"/>
      <w:r w:rsidR="00172FFD" w:rsidRPr="00C95B1A">
        <w:rPr>
          <w:lang w:val="en-CA"/>
        </w:rPr>
        <w:t xml:space="preserve"> </w:t>
      </w:r>
      <w:r w:rsidR="0011065E" w:rsidRPr="00C95B1A">
        <w:rPr>
          <w:lang w:val="en-CA"/>
        </w:rPr>
        <w:t>i</w:t>
      </w:r>
      <w:r w:rsidR="00DA0088" w:rsidRPr="00C95B1A">
        <w:rPr>
          <w:lang w:val="en-CA"/>
        </w:rPr>
        <w:t>nventory</w:t>
      </w:r>
      <w:bookmarkEnd w:id="246"/>
      <w:bookmarkEnd w:id="247"/>
    </w:p>
    <w:p w:rsidR="00083752" w:rsidRPr="00C95B1A" w:rsidRDefault="00B9136F" w:rsidP="00D75880">
      <w:pPr>
        <w:rPr>
          <w:lang w:val="en-US"/>
        </w:rPr>
      </w:pPr>
      <w:r w:rsidRPr="00C95B1A">
        <w:rPr>
          <w:lang w:val="en-US"/>
        </w:rPr>
        <w:t>In the preparation for the 2014 analysis, t</w:t>
      </w:r>
      <w:r w:rsidR="00CF5A79" w:rsidRPr="00C95B1A">
        <w:rPr>
          <w:lang w:val="en-US"/>
        </w:rPr>
        <w:t xml:space="preserve">he forest inventory was updated </w:t>
      </w:r>
      <w:r w:rsidR="0061386E" w:rsidRPr="00C95B1A">
        <w:rPr>
          <w:lang w:val="en-US"/>
        </w:rPr>
        <w:t>to the end of 2012 to account for harvesting and to January 1</w:t>
      </w:r>
      <w:r w:rsidR="00924715" w:rsidRPr="00C95B1A">
        <w:rPr>
          <w:lang w:val="en-US"/>
        </w:rPr>
        <w:t>,</w:t>
      </w:r>
      <w:r w:rsidR="0061386E" w:rsidRPr="00C95B1A">
        <w:rPr>
          <w:lang w:val="en-US"/>
        </w:rPr>
        <w:t xml:space="preserve"> 2013 to account for stand aging, harvesting and other area or volume depletions.  The current Phase</w:t>
      </w:r>
      <w:r w:rsidR="007009EF" w:rsidRPr="00C95B1A">
        <w:rPr>
          <w:lang w:val="en-US"/>
        </w:rPr>
        <w:t> </w:t>
      </w:r>
      <w:r w:rsidR="0061386E" w:rsidRPr="00C95B1A">
        <w:rPr>
          <w:lang w:val="en-US"/>
        </w:rPr>
        <w:t xml:space="preserve">I </w:t>
      </w:r>
      <w:r w:rsidR="00A319C4" w:rsidRPr="00C95B1A">
        <w:rPr>
          <w:lang w:val="en-US"/>
        </w:rPr>
        <w:t xml:space="preserve">Vegetation Resources Inventory (VRI) </w:t>
      </w:r>
      <w:r w:rsidR="0061386E" w:rsidRPr="00C95B1A">
        <w:rPr>
          <w:lang w:val="en-US"/>
        </w:rPr>
        <w:t>is based on a re</w:t>
      </w:r>
      <w:r w:rsidR="007009EF" w:rsidRPr="00C95B1A">
        <w:rPr>
          <w:lang w:val="en-US"/>
        </w:rPr>
        <w:noBreakHyphen/>
      </w:r>
      <w:r w:rsidR="0061386E" w:rsidRPr="00C95B1A">
        <w:rPr>
          <w:lang w:val="en-US"/>
        </w:rPr>
        <w:t>inventory performed by the licensee du</w:t>
      </w:r>
      <w:r w:rsidR="00083752" w:rsidRPr="00C95B1A">
        <w:rPr>
          <w:lang w:val="en-US"/>
        </w:rPr>
        <w:t>r</w:t>
      </w:r>
      <w:r w:rsidR="0061386E" w:rsidRPr="00C95B1A">
        <w:rPr>
          <w:lang w:val="en-US"/>
        </w:rPr>
        <w:t>ing the term of MP</w:t>
      </w:r>
      <w:r w:rsidR="007009EF" w:rsidRPr="00C95B1A">
        <w:rPr>
          <w:lang w:val="en-US"/>
        </w:rPr>
        <w:t> </w:t>
      </w:r>
      <w:r w:rsidR="0061386E" w:rsidRPr="00C95B1A">
        <w:rPr>
          <w:lang w:val="en-US"/>
        </w:rPr>
        <w:t>2.</w:t>
      </w:r>
    </w:p>
    <w:p w:rsidR="001F7EA0" w:rsidRPr="00C95B1A" w:rsidRDefault="0061386E" w:rsidP="00D75880">
      <w:pPr>
        <w:rPr>
          <w:lang w:val="en-US"/>
        </w:rPr>
      </w:pPr>
      <w:r w:rsidRPr="00C95B1A">
        <w:rPr>
          <w:lang w:val="en-US"/>
        </w:rPr>
        <w:t>Phase</w:t>
      </w:r>
      <w:r w:rsidR="00BF4CA8" w:rsidRPr="00C95B1A">
        <w:rPr>
          <w:lang w:val="en-US"/>
        </w:rPr>
        <w:t> </w:t>
      </w:r>
      <w:r w:rsidRPr="00C95B1A">
        <w:rPr>
          <w:lang w:val="en-US"/>
        </w:rPr>
        <w:t>II ground sampling was completed in 2002</w:t>
      </w:r>
      <w:r w:rsidR="00083752" w:rsidRPr="00C95B1A">
        <w:rPr>
          <w:lang w:val="en-US"/>
        </w:rPr>
        <w:t xml:space="preserve"> for the TFL</w:t>
      </w:r>
      <w:r w:rsidRPr="00C95B1A">
        <w:rPr>
          <w:lang w:val="en-US"/>
        </w:rPr>
        <w:t>, and net volume adjustment factor destructive sampling was completed in 2004.</w:t>
      </w:r>
      <w:r w:rsidR="00D75880" w:rsidRPr="00C95B1A">
        <w:rPr>
          <w:lang w:val="en-US"/>
        </w:rPr>
        <w:t xml:space="preserve">  The</w:t>
      </w:r>
      <w:r w:rsidR="00D029C2" w:rsidRPr="00C95B1A">
        <w:rPr>
          <w:lang w:val="en-US"/>
        </w:rPr>
        <w:t xml:space="preserve"> results of the </w:t>
      </w:r>
      <w:r w:rsidR="00D75880" w:rsidRPr="00C95B1A">
        <w:rPr>
          <w:lang w:val="en-US"/>
        </w:rPr>
        <w:t>Phase</w:t>
      </w:r>
      <w:r w:rsidR="00BF4CA8" w:rsidRPr="00C95B1A">
        <w:rPr>
          <w:lang w:val="en-US"/>
        </w:rPr>
        <w:t> </w:t>
      </w:r>
      <w:r w:rsidR="00D75880" w:rsidRPr="00C95B1A">
        <w:rPr>
          <w:lang w:val="en-US"/>
        </w:rPr>
        <w:t xml:space="preserve">II </w:t>
      </w:r>
      <w:r w:rsidR="00D029C2" w:rsidRPr="00C95B1A">
        <w:rPr>
          <w:lang w:val="en-US"/>
        </w:rPr>
        <w:t xml:space="preserve">ground sampling were used to adjust the </w:t>
      </w:r>
      <w:r w:rsidR="00003B5C" w:rsidRPr="00C95B1A">
        <w:rPr>
          <w:lang w:val="en-US"/>
        </w:rPr>
        <w:t>height</w:t>
      </w:r>
      <w:r w:rsidR="00D029C2" w:rsidRPr="00C95B1A">
        <w:rPr>
          <w:lang w:val="en-US"/>
        </w:rPr>
        <w:t xml:space="preserve">, age and volume attributes for the forest inventory in the 2006 analysis.  The adjustments resulted in increased stand heights, </w:t>
      </w:r>
      <w:r w:rsidR="00003B5C" w:rsidRPr="00C95B1A">
        <w:rPr>
          <w:lang w:val="en-US"/>
        </w:rPr>
        <w:t>decreased</w:t>
      </w:r>
      <w:r w:rsidR="00D029C2" w:rsidRPr="00C95B1A">
        <w:rPr>
          <w:lang w:val="en-US"/>
        </w:rPr>
        <w:t xml:space="preserve"> stand </w:t>
      </w:r>
      <w:r w:rsidR="00003B5C" w:rsidRPr="00C95B1A">
        <w:rPr>
          <w:lang w:val="en-US"/>
        </w:rPr>
        <w:t>ages</w:t>
      </w:r>
      <w:r w:rsidR="00D029C2" w:rsidRPr="00C95B1A">
        <w:rPr>
          <w:lang w:val="en-US"/>
        </w:rPr>
        <w:t xml:space="preserve"> and an increase in the</w:t>
      </w:r>
      <w:r w:rsidR="001F7EA0" w:rsidRPr="00C95B1A">
        <w:rPr>
          <w:lang w:val="en-US"/>
        </w:rPr>
        <w:t xml:space="preserve"> net merchantable volume</w:t>
      </w:r>
      <w:r w:rsidR="00083752" w:rsidRPr="00C95B1A">
        <w:rPr>
          <w:lang w:val="en-US"/>
        </w:rPr>
        <w:t xml:space="preserve"> for stands</w:t>
      </w:r>
      <w:r w:rsidR="001F7EA0" w:rsidRPr="00C95B1A">
        <w:rPr>
          <w:lang w:val="en-US"/>
        </w:rPr>
        <w:t>.</w:t>
      </w:r>
    </w:p>
    <w:p w:rsidR="00103349" w:rsidRDefault="00103349">
      <w:pPr>
        <w:overflowPunct/>
        <w:autoSpaceDE/>
        <w:autoSpaceDN/>
        <w:adjustRightInd/>
        <w:spacing w:before="0" w:after="0"/>
        <w:textAlignment w:val="auto"/>
        <w:rPr>
          <w:lang w:val="en-US"/>
        </w:rPr>
      </w:pPr>
      <w:r>
        <w:rPr>
          <w:lang w:val="en-US"/>
        </w:rPr>
        <w:br w:type="page"/>
      </w:r>
    </w:p>
    <w:p w:rsidR="001F7EA0" w:rsidRDefault="00B9136F" w:rsidP="00D75880">
      <w:pPr>
        <w:rPr>
          <w:lang w:val="en-US"/>
        </w:rPr>
      </w:pPr>
      <w:r w:rsidRPr="00C95B1A">
        <w:rPr>
          <w:lang w:val="en-US"/>
        </w:rPr>
        <w:t>In the</w:t>
      </w:r>
      <w:r w:rsidR="001F7EA0" w:rsidRPr="00C95B1A">
        <w:rPr>
          <w:lang w:val="en-US"/>
        </w:rPr>
        <w:t xml:space="preserve"> 2007 determination, </w:t>
      </w:r>
      <w:r w:rsidR="00DD06DE" w:rsidRPr="00C95B1A">
        <w:rPr>
          <w:lang w:val="en-US"/>
        </w:rPr>
        <w:t>to address</w:t>
      </w:r>
      <w:r w:rsidR="001F7EA0" w:rsidRPr="00C95B1A">
        <w:rPr>
          <w:lang w:val="en-US"/>
        </w:rPr>
        <w:t xml:space="preserve"> some uncertainty about the Phase</w:t>
      </w:r>
      <w:r w:rsidR="00BF4CA8" w:rsidRPr="00C95B1A">
        <w:rPr>
          <w:lang w:val="en-US"/>
        </w:rPr>
        <w:t> </w:t>
      </w:r>
      <w:r w:rsidR="001F7EA0" w:rsidRPr="00C95B1A">
        <w:rPr>
          <w:lang w:val="en-US"/>
        </w:rPr>
        <w:t xml:space="preserve">II inventory plots, the deputy chief forester </w:t>
      </w:r>
      <w:r w:rsidR="00083752" w:rsidRPr="00C95B1A">
        <w:rPr>
          <w:lang w:val="en-US"/>
        </w:rPr>
        <w:t xml:space="preserve">encouraged the licensee to </w:t>
      </w:r>
      <w:r w:rsidR="001F7EA0" w:rsidRPr="00C95B1A">
        <w:rPr>
          <w:lang w:val="en-US"/>
        </w:rPr>
        <w:t>conduct some additional Phase</w:t>
      </w:r>
      <w:r w:rsidR="007E39FA">
        <w:rPr>
          <w:lang w:val="en-US"/>
        </w:rPr>
        <w:t> </w:t>
      </w:r>
      <w:r w:rsidR="001F7EA0" w:rsidRPr="00C95B1A">
        <w:rPr>
          <w:lang w:val="en-US"/>
        </w:rPr>
        <w:t xml:space="preserve">II </w:t>
      </w:r>
      <w:r w:rsidR="00DD06DE" w:rsidRPr="00C95B1A">
        <w:rPr>
          <w:lang w:val="en-US"/>
        </w:rPr>
        <w:t>ground</w:t>
      </w:r>
      <w:r w:rsidR="00DD06DE">
        <w:rPr>
          <w:lang w:val="en-US"/>
        </w:rPr>
        <w:t xml:space="preserve"> </w:t>
      </w:r>
      <w:r w:rsidR="001F7EA0">
        <w:rPr>
          <w:lang w:val="en-US"/>
        </w:rPr>
        <w:t xml:space="preserve">sampling.  </w:t>
      </w:r>
      <w:r w:rsidR="00083752">
        <w:rPr>
          <w:lang w:val="en-US"/>
        </w:rPr>
        <w:t>However</w:t>
      </w:r>
      <w:r w:rsidR="00C2095D">
        <w:rPr>
          <w:lang w:val="en-US"/>
        </w:rPr>
        <w:t>,</w:t>
      </w:r>
      <w:r w:rsidR="00083752">
        <w:rPr>
          <w:lang w:val="en-US"/>
        </w:rPr>
        <w:t xml:space="preserve"> t</w:t>
      </w:r>
      <w:r w:rsidR="001F7EA0">
        <w:rPr>
          <w:lang w:val="en-US"/>
        </w:rPr>
        <w:t xml:space="preserve">his work </w:t>
      </w:r>
      <w:r w:rsidR="00DD06DE">
        <w:rPr>
          <w:lang w:val="en-US"/>
        </w:rPr>
        <w:t>h</w:t>
      </w:r>
      <w:r w:rsidR="001F7EA0">
        <w:rPr>
          <w:lang w:val="en-US"/>
        </w:rPr>
        <w:t xml:space="preserve">as not </w:t>
      </w:r>
      <w:r w:rsidR="00DD06DE">
        <w:rPr>
          <w:lang w:val="en-US"/>
        </w:rPr>
        <w:t xml:space="preserve">yet been </w:t>
      </w:r>
      <w:r w:rsidR="001F7EA0">
        <w:rPr>
          <w:lang w:val="en-US"/>
        </w:rPr>
        <w:t>completed.</w:t>
      </w:r>
    </w:p>
    <w:p w:rsidR="001F7EA0" w:rsidRDefault="001F7EA0" w:rsidP="00D75880">
      <w:pPr>
        <w:rPr>
          <w:lang w:val="en-US"/>
        </w:rPr>
      </w:pPr>
      <w:r>
        <w:rPr>
          <w:lang w:val="en-US"/>
        </w:rPr>
        <w:t>For the 2014</w:t>
      </w:r>
      <w:r w:rsidR="00BF4CA8">
        <w:rPr>
          <w:lang w:val="en-US"/>
        </w:rPr>
        <w:t> </w:t>
      </w:r>
      <w:r>
        <w:rPr>
          <w:lang w:val="en-US"/>
        </w:rPr>
        <w:t xml:space="preserve">analysis, </w:t>
      </w:r>
      <w:r w:rsidR="009306F9">
        <w:rPr>
          <w:lang w:val="en-US"/>
        </w:rPr>
        <w:t xml:space="preserve">other than for a few factors </w:t>
      </w:r>
      <w:r w:rsidR="00973702">
        <w:rPr>
          <w:lang w:val="en-US"/>
        </w:rPr>
        <w:t>as noted</w:t>
      </w:r>
      <w:r w:rsidR="009306F9">
        <w:rPr>
          <w:lang w:val="en-US"/>
        </w:rPr>
        <w:t xml:space="preserve"> elsewhere in this rationale, </w:t>
      </w:r>
      <w:r>
        <w:rPr>
          <w:lang w:val="en-US"/>
        </w:rPr>
        <w:t xml:space="preserve">the assumptions and deductions </w:t>
      </w:r>
      <w:r w:rsidR="009306F9">
        <w:rPr>
          <w:lang w:val="en-US"/>
        </w:rPr>
        <w:t xml:space="preserve">used </w:t>
      </w:r>
      <w:r w:rsidR="004B2D7D">
        <w:rPr>
          <w:lang w:val="en-US"/>
        </w:rPr>
        <w:t>to derive the</w:t>
      </w:r>
      <w:r>
        <w:rPr>
          <w:lang w:val="en-US"/>
        </w:rPr>
        <w:t xml:space="preserve"> timber harvesting land base were the same as </w:t>
      </w:r>
      <w:r w:rsidR="00083752">
        <w:rPr>
          <w:lang w:val="en-US"/>
        </w:rPr>
        <w:t>in</w:t>
      </w:r>
      <w:r>
        <w:rPr>
          <w:lang w:val="en-US"/>
        </w:rPr>
        <w:t xml:space="preserve"> the 2006 analysis.  As a result</w:t>
      </w:r>
      <w:r w:rsidR="00D14211">
        <w:rPr>
          <w:lang w:val="en-US"/>
        </w:rPr>
        <w:t>,</w:t>
      </w:r>
      <w:r>
        <w:rPr>
          <w:lang w:val="en-US"/>
        </w:rPr>
        <w:t xml:space="preserve"> the deductions </w:t>
      </w:r>
      <w:r w:rsidR="004B2D7D">
        <w:rPr>
          <w:lang w:val="en-US"/>
        </w:rPr>
        <w:t xml:space="preserve">applied to exclude stands </w:t>
      </w:r>
      <w:r>
        <w:rPr>
          <w:lang w:val="en-US"/>
        </w:rPr>
        <w:t xml:space="preserve">for </w:t>
      </w:r>
      <w:r w:rsidR="004B2D7D">
        <w:rPr>
          <w:lang w:val="en-US"/>
        </w:rPr>
        <w:t>reason</w:t>
      </w:r>
      <w:r>
        <w:rPr>
          <w:lang w:val="en-US"/>
        </w:rPr>
        <w:t xml:space="preserve">s such as low productivity, operability, </w:t>
      </w:r>
      <w:r w:rsidR="004B2D7D">
        <w:rPr>
          <w:lang w:val="en-US"/>
        </w:rPr>
        <w:t xml:space="preserve">and problem forest types </w:t>
      </w:r>
      <w:r>
        <w:rPr>
          <w:lang w:val="en-US"/>
        </w:rPr>
        <w:t xml:space="preserve">were based on </w:t>
      </w:r>
      <w:r w:rsidR="004B2D7D">
        <w:rPr>
          <w:lang w:val="en-US"/>
        </w:rPr>
        <w:t xml:space="preserve">the </w:t>
      </w:r>
      <w:r>
        <w:rPr>
          <w:lang w:val="en-US"/>
        </w:rPr>
        <w:t>site indices and volumes calculated with the Phase</w:t>
      </w:r>
      <w:r w:rsidR="00BF4CA8">
        <w:rPr>
          <w:lang w:val="en-US"/>
        </w:rPr>
        <w:t> </w:t>
      </w:r>
      <w:r>
        <w:rPr>
          <w:lang w:val="en-US"/>
        </w:rPr>
        <w:t>II inventory adjustments applied.</w:t>
      </w:r>
      <w:r w:rsidR="00654AB6">
        <w:rPr>
          <w:lang w:val="en-US"/>
        </w:rPr>
        <w:t xml:space="preserve">  This </w:t>
      </w:r>
      <w:r w:rsidR="00D14211">
        <w:rPr>
          <w:lang w:val="en-US"/>
        </w:rPr>
        <w:t>led to</w:t>
      </w:r>
      <w:r w:rsidR="00654AB6">
        <w:rPr>
          <w:lang w:val="en-US"/>
        </w:rPr>
        <w:t xml:space="preserve"> a 15</w:t>
      </w:r>
      <w:r w:rsidR="00BF4CA8">
        <w:rPr>
          <w:lang w:val="en-US"/>
        </w:rPr>
        <w:t> </w:t>
      </w:r>
      <w:r w:rsidR="00654AB6">
        <w:rPr>
          <w:lang w:val="en-US"/>
        </w:rPr>
        <w:t>percent increase in the timber harvesting land base as compared to analyses</w:t>
      </w:r>
      <w:r w:rsidR="00D14211">
        <w:rPr>
          <w:lang w:val="en-US"/>
        </w:rPr>
        <w:t xml:space="preserve"> </w:t>
      </w:r>
      <w:r w:rsidR="00BC3E19">
        <w:rPr>
          <w:lang w:val="en-US"/>
        </w:rPr>
        <w:t xml:space="preserve">prepared </w:t>
      </w:r>
      <w:r w:rsidR="00AA5F81">
        <w:rPr>
          <w:lang w:val="en-US"/>
        </w:rPr>
        <w:t>for TFL</w:t>
      </w:r>
      <w:r w:rsidR="00BF4CA8">
        <w:rPr>
          <w:lang w:val="en-US"/>
        </w:rPr>
        <w:t> </w:t>
      </w:r>
      <w:r w:rsidR="00AA5F81">
        <w:rPr>
          <w:lang w:val="en-US"/>
        </w:rPr>
        <w:t xml:space="preserve">48 </w:t>
      </w:r>
      <w:r w:rsidR="00654AB6">
        <w:rPr>
          <w:lang w:val="en-US"/>
        </w:rPr>
        <w:t xml:space="preserve">prior to </w:t>
      </w:r>
      <w:r w:rsidR="00D14211">
        <w:rPr>
          <w:lang w:val="en-US"/>
        </w:rPr>
        <w:t xml:space="preserve">the </w:t>
      </w:r>
      <w:r w:rsidR="00654AB6">
        <w:rPr>
          <w:lang w:val="en-US"/>
        </w:rPr>
        <w:t>2006</w:t>
      </w:r>
      <w:r w:rsidR="00D14211">
        <w:rPr>
          <w:lang w:val="en-US"/>
        </w:rPr>
        <w:t xml:space="preserve"> analysis</w:t>
      </w:r>
      <w:r w:rsidR="00654AB6">
        <w:rPr>
          <w:lang w:val="en-US"/>
        </w:rPr>
        <w:t>.</w:t>
      </w:r>
    </w:p>
    <w:p w:rsidR="00654AB6" w:rsidRDefault="004B2D7D" w:rsidP="00654AB6">
      <w:pPr>
        <w:rPr>
          <w:lang w:val="en-US"/>
        </w:rPr>
      </w:pPr>
      <w:r>
        <w:rPr>
          <w:lang w:val="en-US"/>
        </w:rPr>
        <w:t>However, the Phase</w:t>
      </w:r>
      <w:r w:rsidR="00BF4CA8">
        <w:rPr>
          <w:lang w:val="en-US"/>
        </w:rPr>
        <w:t> </w:t>
      </w:r>
      <w:r>
        <w:rPr>
          <w:lang w:val="en-US"/>
        </w:rPr>
        <w:t>II adjustments were not applied</w:t>
      </w:r>
      <w:r w:rsidR="000670BD" w:rsidRPr="000670BD">
        <w:rPr>
          <w:lang w:val="en-US"/>
        </w:rPr>
        <w:t xml:space="preserve"> </w:t>
      </w:r>
      <w:r w:rsidR="000670BD">
        <w:rPr>
          <w:lang w:val="en-US"/>
        </w:rPr>
        <w:t>in the derivation of the volume estimates for existing stands for the 2014</w:t>
      </w:r>
      <w:r w:rsidR="00BF4CA8">
        <w:rPr>
          <w:lang w:val="en-US"/>
        </w:rPr>
        <w:t> </w:t>
      </w:r>
      <w:r w:rsidR="000670BD">
        <w:rPr>
          <w:lang w:val="en-US"/>
        </w:rPr>
        <w:t>analysis</w:t>
      </w:r>
      <w:r>
        <w:rPr>
          <w:lang w:val="en-US"/>
        </w:rPr>
        <w:t xml:space="preserve">.  </w:t>
      </w:r>
      <w:r w:rsidR="007779FA">
        <w:rPr>
          <w:lang w:val="en-US"/>
        </w:rPr>
        <w:t>T</w:t>
      </w:r>
      <w:r w:rsidR="00654AB6" w:rsidRPr="00D75880">
        <w:rPr>
          <w:lang w:val="en-US"/>
        </w:rPr>
        <w:t>he average adjustment for the stands on the TFL</w:t>
      </w:r>
      <w:r w:rsidR="00654AB6">
        <w:rPr>
          <w:lang w:val="en-US"/>
        </w:rPr>
        <w:t xml:space="preserve"> </w:t>
      </w:r>
      <w:r w:rsidR="007779FA">
        <w:rPr>
          <w:lang w:val="en-US"/>
        </w:rPr>
        <w:t>sugg</w:t>
      </w:r>
      <w:r w:rsidR="000670BD">
        <w:rPr>
          <w:lang w:val="en-US"/>
        </w:rPr>
        <w:t>ested by the Phase</w:t>
      </w:r>
      <w:r w:rsidR="00BF4CA8">
        <w:rPr>
          <w:lang w:val="en-US"/>
        </w:rPr>
        <w:t> </w:t>
      </w:r>
      <w:r w:rsidR="000670BD">
        <w:rPr>
          <w:lang w:val="en-US"/>
        </w:rPr>
        <w:t>II inventory result</w:t>
      </w:r>
      <w:r w:rsidR="00973702">
        <w:rPr>
          <w:lang w:val="en-US"/>
        </w:rPr>
        <w:t>s</w:t>
      </w:r>
      <w:r w:rsidR="000670BD">
        <w:rPr>
          <w:lang w:val="en-US"/>
        </w:rPr>
        <w:t xml:space="preserve"> in</w:t>
      </w:r>
      <w:r w:rsidR="00654AB6">
        <w:rPr>
          <w:lang w:val="en-US"/>
        </w:rPr>
        <w:t xml:space="preserve"> </w:t>
      </w:r>
      <w:r w:rsidR="00654AB6" w:rsidRPr="00D75880">
        <w:rPr>
          <w:lang w:val="en-US"/>
        </w:rPr>
        <w:t xml:space="preserve">a 37.4 </w:t>
      </w:r>
      <w:r w:rsidR="00BF4CA8">
        <w:rPr>
          <w:lang w:val="en-US"/>
        </w:rPr>
        <w:t xml:space="preserve">percent </w:t>
      </w:r>
      <w:r w:rsidR="00654AB6" w:rsidRPr="00D75880">
        <w:rPr>
          <w:lang w:val="en-US"/>
        </w:rPr>
        <w:t xml:space="preserve">increase in </w:t>
      </w:r>
      <w:r w:rsidR="00654AB6">
        <w:rPr>
          <w:lang w:val="en-US"/>
        </w:rPr>
        <w:t xml:space="preserve">existing </w:t>
      </w:r>
      <w:r w:rsidR="00654AB6" w:rsidRPr="00D75880">
        <w:rPr>
          <w:lang w:val="en-US"/>
        </w:rPr>
        <w:t>stand volumes.</w:t>
      </w:r>
      <w:r w:rsidR="00AA5F81">
        <w:rPr>
          <w:lang w:val="en-US"/>
        </w:rPr>
        <w:t xml:space="preserve">  For stands that were expected to be within the THLB</w:t>
      </w:r>
      <w:r w:rsidR="00F37376" w:rsidRPr="00F37376">
        <w:rPr>
          <w:lang w:val="en-US"/>
        </w:rPr>
        <w:t xml:space="preserve"> </w:t>
      </w:r>
      <w:r w:rsidR="00F37376">
        <w:rPr>
          <w:lang w:val="en-US"/>
        </w:rPr>
        <w:t>during the sampling</w:t>
      </w:r>
      <w:r w:rsidR="00F37376" w:rsidRPr="00F37376">
        <w:rPr>
          <w:lang w:val="en-US"/>
        </w:rPr>
        <w:t xml:space="preserve"> </w:t>
      </w:r>
      <w:r w:rsidR="00F37376">
        <w:rPr>
          <w:lang w:val="en-US"/>
        </w:rPr>
        <w:t>process</w:t>
      </w:r>
      <w:r w:rsidR="00AA5F81">
        <w:rPr>
          <w:lang w:val="en-US"/>
        </w:rPr>
        <w:t>, application of the Phase</w:t>
      </w:r>
      <w:r w:rsidR="00BF4CA8">
        <w:rPr>
          <w:lang w:val="en-US"/>
        </w:rPr>
        <w:t> </w:t>
      </w:r>
      <w:r w:rsidR="00AA5F81">
        <w:rPr>
          <w:lang w:val="en-US"/>
        </w:rPr>
        <w:t>II adjustment resulted in an 18</w:t>
      </w:r>
      <w:r w:rsidR="00BF4CA8">
        <w:rPr>
          <w:lang w:val="en-US"/>
        </w:rPr>
        <w:t> </w:t>
      </w:r>
      <w:r w:rsidR="00AA5F81">
        <w:rPr>
          <w:lang w:val="en-US"/>
        </w:rPr>
        <w:t>percent increase in average volume per hectare.</w:t>
      </w:r>
    </w:p>
    <w:p w:rsidR="00AE79CD" w:rsidRPr="00D75880" w:rsidRDefault="00AE79CD" w:rsidP="00654AB6">
      <w:pPr>
        <w:rPr>
          <w:lang w:val="en-US"/>
        </w:rPr>
      </w:pPr>
      <w:r>
        <w:rPr>
          <w:lang w:val="en-US"/>
        </w:rPr>
        <w:t>Ninety</w:t>
      </w:r>
      <w:r w:rsidR="00BF4CA8">
        <w:rPr>
          <w:lang w:val="en-US"/>
        </w:rPr>
        <w:noBreakHyphen/>
      </w:r>
      <w:r>
        <w:rPr>
          <w:lang w:val="en-US"/>
        </w:rPr>
        <w:t>one plots, a satisfactory sample size, were established in the area expected to be THLB</w:t>
      </w:r>
      <w:r w:rsidR="007276C4">
        <w:rPr>
          <w:lang w:val="en-US"/>
        </w:rPr>
        <w:t xml:space="preserve">. </w:t>
      </w:r>
      <w:r>
        <w:rPr>
          <w:lang w:val="en-US"/>
        </w:rPr>
        <w:t xml:space="preserve"> </w:t>
      </w:r>
      <w:r w:rsidR="007276C4">
        <w:rPr>
          <w:lang w:val="en-US"/>
        </w:rPr>
        <w:t>T</w:t>
      </w:r>
      <w:r>
        <w:rPr>
          <w:lang w:val="en-US"/>
        </w:rPr>
        <w:t xml:space="preserve">he sampling error </w:t>
      </w:r>
      <w:r w:rsidR="007276C4">
        <w:rPr>
          <w:lang w:val="en-US"/>
        </w:rPr>
        <w:t xml:space="preserve">was </w:t>
      </w:r>
      <w:r w:rsidR="00345DA5">
        <w:rPr>
          <w:lang w:val="en-US"/>
        </w:rPr>
        <w:t>within the targeted</w:t>
      </w:r>
      <w:r w:rsidR="007276C4">
        <w:rPr>
          <w:lang w:val="en-US"/>
        </w:rPr>
        <w:t xml:space="preserve"> </w:t>
      </w:r>
      <w:r w:rsidR="00BF4CA8">
        <w:rPr>
          <w:lang w:val="en-US"/>
        </w:rPr>
        <w:t>10 </w:t>
      </w:r>
      <w:r w:rsidR="007276C4">
        <w:rPr>
          <w:lang w:val="en-US"/>
        </w:rPr>
        <w:t>percent</w:t>
      </w:r>
      <w:r w:rsidR="00345DA5">
        <w:rPr>
          <w:lang w:val="en-US"/>
        </w:rPr>
        <w:t xml:space="preserve"> sampling error</w:t>
      </w:r>
      <w:r w:rsidR="00034D1E">
        <w:rPr>
          <w:lang w:val="en-US"/>
        </w:rPr>
        <w:t xml:space="preserve"> with a 95</w:t>
      </w:r>
      <w:r w:rsidR="00BF4CA8">
        <w:rPr>
          <w:lang w:val="en-US"/>
        </w:rPr>
        <w:t> </w:t>
      </w:r>
      <w:r w:rsidR="00034D1E">
        <w:rPr>
          <w:lang w:val="en-US"/>
        </w:rPr>
        <w:t>percent probability</w:t>
      </w:r>
      <w:r w:rsidR="00345DA5">
        <w:rPr>
          <w:lang w:val="en-US"/>
        </w:rPr>
        <w:t>.</w:t>
      </w:r>
      <w:r>
        <w:rPr>
          <w:lang w:val="en-US"/>
        </w:rPr>
        <w:t xml:space="preserve">  </w:t>
      </w:r>
      <w:r w:rsidR="00034D1E">
        <w:rPr>
          <w:lang w:val="en-US"/>
        </w:rPr>
        <w:t>Forest Analysis and Inventory Branch VRI experts indicate t</w:t>
      </w:r>
      <w:r>
        <w:rPr>
          <w:lang w:val="en-US"/>
        </w:rPr>
        <w:t>hese statistic</w:t>
      </w:r>
      <w:r w:rsidR="00345DA5">
        <w:rPr>
          <w:lang w:val="en-US"/>
        </w:rPr>
        <w:t>s</w:t>
      </w:r>
      <w:r>
        <w:rPr>
          <w:lang w:val="en-US"/>
        </w:rPr>
        <w:t xml:space="preserve"> suggest Phase</w:t>
      </w:r>
      <w:r w:rsidR="00BF4CA8">
        <w:rPr>
          <w:lang w:val="en-US"/>
        </w:rPr>
        <w:t> </w:t>
      </w:r>
      <w:r>
        <w:rPr>
          <w:lang w:val="en-US"/>
        </w:rPr>
        <w:t>II should have been applied in the base case.</w:t>
      </w:r>
    </w:p>
    <w:p w:rsidR="004F031A" w:rsidRDefault="00654AB6" w:rsidP="00D75880">
      <w:pPr>
        <w:rPr>
          <w:color w:val="000000" w:themeColor="text1"/>
        </w:rPr>
      </w:pPr>
      <w:r>
        <w:rPr>
          <w:lang w:val="en-US"/>
        </w:rPr>
        <w:t>The licensee prepared a sensitivity analysis in which the Phase</w:t>
      </w:r>
      <w:r w:rsidR="00BF4CA8">
        <w:rPr>
          <w:lang w:val="en-US"/>
        </w:rPr>
        <w:t> </w:t>
      </w:r>
      <w:r>
        <w:rPr>
          <w:lang w:val="en-US"/>
        </w:rPr>
        <w:t xml:space="preserve">II adjustments were applied to the existing stand yields.  In this sensitivity analysis, an initial harvest level </w:t>
      </w:r>
      <w:r>
        <w:rPr>
          <w:color w:val="000000" w:themeColor="text1"/>
        </w:rPr>
        <w:t>of 2.04 million cubic metres per year (25</w:t>
      </w:r>
      <w:r w:rsidR="00BF4CA8">
        <w:rPr>
          <w:color w:val="000000" w:themeColor="text1"/>
        </w:rPr>
        <w:t> </w:t>
      </w:r>
      <w:r>
        <w:rPr>
          <w:color w:val="000000" w:themeColor="text1"/>
        </w:rPr>
        <w:t>percent higher than in the base case) could be maintained for five</w:t>
      </w:r>
      <w:r w:rsidR="00BF4CA8">
        <w:rPr>
          <w:color w:val="000000" w:themeColor="text1"/>
        </w:rPr>
        <w:t> </w:t>
      </w:r>
      <w:r>
        <w:rPr>
          <w:color w:val="000000" w:themeColor="text1"/>
        </w:rPr>
        <w:t>years.  The harvest level then declined to 755</w:t>
      </w:r>
      <w:r w:rsidR="00BF4CA8">
        <w:rPr>
          <w:color w:val="000000" w:themeColor="text1"/>
        </w:rPr>
        <w:t> </w:t>
      </w:r>
      <w:r>
        <w:rPr>
          <w:color w:val="000000" w:themeColor="text1"/>
        </w:rPr>
        <w:t>000 cubic metres per year for the second five</w:t>
      </w:r>
      <w:r w:rsidR="00BF4CA8">
        <w:rPr>
          <w:color w:val="000000" w:themeColor="text1"/>
        </w:rPr>
        <w:noBreakHyphen/>
      </w:r>
      <w:r>
        <w:rPr>
          <w:color w:val="000000" w:themeColor="text1"/>
        </w:rPr>
        <w:t>year period and 712</w:t>
      </w:r>
      <w:r w:rsidR="00BF4CA8">
        <w:rPr>
          <w:color w:val="000000" w:themeColor="text1"/>
        </w:rPr>
        <w:t> </w:t>
      </w:r>
      <w:r>
        <w:rPr>
          <w:color w:val="000000" w:themeColor="text1"/>
        </w:rPr>
        <w:t xml:space="preserve">000 cubic metres per year for the next decade, levels that are </w:t>
      </w:r>
      <w:r w:rsidR="00BF4CA8">
        <w:rPr>
          <w:color w:val="000000" w:themeColor="text1"/>
        </w:rPr>
        <w:t>two </w:t>
      </w:r>
      <w:r>
        <w:rPr>
          <w:color w:val="000000" w:themeColor="text1"/>
        </w:rPr>
        <w:t xml:space="preserve">percent and </w:t>
      </w:r>
      <w:r w:rsidR="00BF4CA8">
        <w:rPr>
          <w:color w:val="000000" w:themeColor="text1"/>
        </w:rPr>
        <w:t>five </w:t>
      </w:r>
      <w:r>
        <w:rPr>
          <w:color w:val="000000" w:themeColor="text1"/>
        </w:rPr>
        <w:t>percent higher than in the base case</w:t>
      </w:r>
      <w:r w:rsidR="00973702">
        <w:rPr>
          <w:color w:val="000000" w:themeColor="text1"/>
        </w:rPr>
        <w:t xml:space="preserve"> forecast</w:t>
      </w:r>
      <w:r>
        <w:rPr>
          <w:color w:val="000000" w:themeColor="text1"/>
        </w:rPr>
        <w:t xml:space="preserve">.  </w:t>
      </w:r>
      <w:r w:rsidR="00576422">
        <w:rPr>
          <w:color w:val="000000" w:themeColor="text1"/>
        </w:rPr>
        <w:t>The mid</w:t>
      </w:r>
      <w:r w:rsidR="00BF4CA8">
        <w:rPr>
          <w:color w:val="000000" w:themeColor="text1"/>
        </w:rPr>
        <w:noBreakHyphen/>
      </w:r>
      <w:r w:rsidR="00576422">
        <w:rPr>
          <w:color w:val="000000" w:themeColor="text1"/>
        </w:rPr>
        <w:t xml:space="preserve"> to long</w:t>
      </w:r>
      <w:r w:rsidR="00BF4CA8">
        <w:rPr>
          <w:color w:val="000000" w:themeColor="text1"/>
        </w:rPr>
        <w:noBreakHyphen/>
      </w:r>
      <w:r w:rsidR="00576422">
        <w:rPr>
          <w:color w:val="000000" w:themeColor="text1"/>
        </w:rPr>
        <w:t xml:space="preserve">term harvest levels are </w:t>
      </w:r>
      <w:r w:rsidR="00BF4CA8">
        <w:rPr>
          <w:color w:val="000000" w:themeColor="text1"/>
        </w:rPr>
        <w:t>six </w:t>
      </w:r>
      <w:r w:rsidR="00576422">
        <w:rPr>
          <w:color w:val="000000" w:themeColor="text1"/>
        </w:rPr>
        <w:t xml:space="preserve">percent and </w:t>
      </w:r>
      <w:r w:rsidR="00BF4CA8">
        <w:rPr>
          <w:color w:val="000000" w:themeColor="text1"/>
        </w:rPr>
        <w:t>three </w:t>
      </w:r>
      <w:r w:rsidR="00576422">
        <w:rPr>
          <w:color w:val="000000" w:themeColor="text1"/>
        </w:rPr>
        <w:t xml:space="preserve">percent higher, </w:t>
      </w:r>
      <w:r w:rsidR="001232B4">
        <w:rPr>
          <w:color w:val="000000" w:themeColor="text1"/>
        </w:rPr>
        <w:t>respectively</w:t>
      </w:r>
      <w:r w:rsidR="00576422">
        <w:rPr>
          <w:color w:val="000000" w:themeColor="text1"/>
        </w:rPr>
        <w:t>, than in the base case.</w:t>
      </w:r>
    </w:p>
    <w:p w:rsidR="000670BD" w:rsidRDefault="00576422" w:rsidP="00D75880">
      <w:pPr>
        <w:rPr>
          <w:color w:val="000000" w:themeColor="text1"/>
        </w:rPr>
      </w:pPr>
      <w:r>
        <w:rPr>
          <w:color w:val="000000" w:themeColor="text1"/>
        </w:rPr>
        <w:t>Having considered the information about the forest inventory for TFL</w:t>
      </w:r>
      <w:r w:rsidR="00A86D1C">
        <w:rPr>
          <w:color w:val="000000" w:themeColor="text1"/>
        </w:rPr>
        <w:t> </w:t>
      </w:r>
      <w:r>
        <w:rPr>
          <w:color w:val="000000" w:themeColor="text1"/>
        </w:rPr>
        <w:t>48, I note that the Phase</w:t>
      </w:r>
      <w:r w:rsidR="00A86D1C">
        <w:rPr>
          <w:color w:val="000000" w:themeColor="text1"/>
        </w:rPr>
        <w:t> </w:t>
      </w:r>
      <w:r>
        <w:rPr>
          <w:color w:val="000000" w:themeColor="text1"/>
        </w:rPr>
        <w:t xml:space="preserve">II </w:t>
      </w:r>
      <w:r w:rsidR="00973702">
        <w:rPr>
          <w:color w:val="000000" w:themeColor="text1"/>
        </w:rPr>
        <w:t xml:space="preserve">VRI </w:t>
      </w:r>
      <w:r>
        <w:rPr>
          <w:color w:val="000000" w:themeColor="text1"/>
        </w:rPr>
        <w:t xml:space="preserve">adjustments </w:t>
      </w:r>
      <w:r w:rsidR="00973702">
        <w:rPr>
          <w:color w:val="000000" w:themeColor="text1"/>
        </w:rPr>
        <w:t>represent</w:t>
      </w:r>
      <w:r>
        <w:rPr>
          <w:color w:val="000000" w:themeColor="text1"/>
        </w:rPr>
        <w:t xml:space="preserve"> the best available information and should have been applied </w:t>
      </w:r>
      <w:r w:rsidR="00973702">
        <w:rPr>
          <w:color w:val="000000" w:themeColor="text1"/>
        </w:rPr>
        <w:t xml:space="preserve">to volume estimates </w:t>
      </w:r>
      <w:r>
        <w:rPr>
          <w:color w:val="000000" w:themeColor="text1"/>
        </w:rPr>
        <w:t xml:space="preserve">in the base case.  </w:t>
      </w:r>
      <w:r w:rsidR="000670BD">
        <w:rPr>
          <w:color w:val="000000" w:themeColor="text1"/>
        </w:rPr>
        <w:t>The sensitivity analysis in which the adjustments were applied suggests that the available timber supply on the TFL could be greater than shown in the base case on account of this factor.</w:t>
      </w:r>
    </w:p>
    <w:p w:rsidR="00973702" w:rsidRDefault="000670BD" w:rsidP="00D75880">
      <w:pPr>
        <w:rPr>
          <w:color w:val="000000" w:themeColor="text1"/>
        </w:rPr>
      </w:pPr>
      <w:r>
        <w:rPr>
          <w:color w:val="000000" w:themeColor="text1"/>
        </w:rPr>
        <w:t xml:space="preserve">I am also aware that the </w:t>
      </w:r>
      <w:r w:rsidR="00973702">
        <w:rPr>
          <w:color w:val="000000" w:themeColor="text1"/>
        </w:rPr>
        <w:t xml:space="preserve">fact that the </w:t>
      </w:r>
      <w:r>
        <w:rPr>
          <w:color w:val="000000" w:themeColor="text1"/>
        </w:rPr>
        <w:t>Phase</w:t>
      </w:r>
      <w:r w:rsidR="00A86D1C">
        <w:rPr>
          <w:color w:val="000000" w:themeColor="text1"/>
        </w:rPr>
        <w:t> </w:t>
      </w:r>
      <w:r>
        <w:rPr>
          <w:color w:val="000000" w:themeColor="text1"/>
        </w:rPr>
        <w:t xml:space="preserve">II </w:t>
      </w:r>
      <w:r w:rsidR="00973702">
        <w:rPr>
          <w:color w:val="000000" w:themeColor="text1"/>
        </w:rPr>
        <w:t xml:space="preserve">VRI </w:t>
      </w:r>
      <w:r>
        <w:rPr>
          <w:color w:val="000000" w:themeColor="text1"/>
        </w:rPr>
        <w:t xml:space="preserve">adjustments </w:t>
      </w:r>
      <w:r w:rsidR="00973702">
        <w:rPr>
          <w:color w:val="000000" w:themeColor="text1"/>
        </w:rPr>
        <w:t xml:space="preserve">were </w:t>
      </w:r>
      <w:r>
        <w:rPr>
          <w:color w:val="000000" w:themeColor="text1"/>
        </w:rPr>
        <w:t xml:space="preserve">not applied to the </w:t>
      </w:r>
      <w:r w:rsidR="00973702">
        <w:rPr>
          <w:color w:val="000000" w:themeColor="text1"/>
        </w:rPr>
        <w:t>volume estimates</w:t>
      </w:r>
      <w:r w:rsidR="00895F5E">
        <w:rPr>
          <w:color w:val="000000" w:themeColor="text1"/>
        </w:rPr>
        <w:t>,</w:t>
      </w:r>
      <w:r w:rsidR="00973702">
        <w:rPr>
          <w:color w:val="000000" w:themeColor="text1"/>
        </w:rPr>
        <w:t xml:space="preserve"> yet </w:t>
      </w:r>
      <w:r w:rsidR="004F031A">
        <w:rPr>
          <w:color w:val="000000" w:themeColor="text1"/>
        </w:rPr>
        <w:t xml:space="preserve">used </w:t>
      </w:r>
      <w:r w:rsidR="00A02629">
        <w:rPr>
          <w:color w:val="000000" w:themeColor="text1"/>
        </w:rPr>
        <w:t xml:space="preserve">for several factors </w:t>
      </w:r>
      <w:r w:rsidR="004F031A">
        <w:rPr>
          <w:color w:val="000000" w:themeColor="text1"/>
        </w:rPr>
        <w:t>in the derivation of the timber harvesting land base</w:t>
      </w:r>
      <w:r w:rsidR="00895F5E">
        <w:rPr>
          <w:color w:val="000000" w:themeColor="text1"/>
        </w:rPr>
        <w:t>,</w:t>
      </w:r>
      <w:r w:rsidR="004F031A">
        <w:rPr>
          <w:color w:val="000000" w:themeColor="text1"/>
        </w:rPr>
        <w:t xml:space="preserve"> </w:t>
      </w:r>
      <w:r>
        <w:rPr>
          <w:color w:val="000000" w:themeColor="text1"/>
        </w:rPr>
        <w:t>result</w:t>
      </w:r>
      <w:r w:rsidR="004F031A">
        <w:rPr>
          <w:color w:val="000000" w:themeColor="text1"/>
        </w:rPr>
        <w:t xml:space="preserve">s </w:t>
      </w:r>
      <w:r>
        <w:rPr>
          <w:color w:val="000000" w:themeColor="text1"/>
        </w:rPr>
        <w:t xml:space="preserve">in an </w:t>
      </w:r>
      <w:r w:rsidR="004F031A">
        <w:rPr>
          <w:color w:val="000000" w:themeColor="text1"/>
        </w:rPr>
        <w:t xml:space="preserve">unnecessary </w:t>
      </w:r>
      <w:r>
        <w:rPr>
          <w:color w:val="000000" w:themeColor="text1"/>
        </w:rPr>
        <w:t xml:space="preserve">level of </w:t>
      </w:r>
      <w:r w:rsidR="004F031A">
        <w:rPr>
          <w:color w:val="000000" w:themeColor="text1"/>
        </w:rPr>
        <w:t>complexity in the information</w:t>
      </w:r>
      <w:r>
        <w:rPr>
          <w:color w:val="000000" w:themeColor="text1"/>
        </w:rPr>
        <w:t xml:space="preserve"> provided.  In particular, </w:t>
      </w:r>
      <w:r w:rsidR="004F031A">
        <w:rPr>
          <w:color w:val="000000" w:themeColor="text1"/>
        </w:rPr>
        <w:t xml:space="preserve">stands </w:t>
      </w:r>
      <w:r>
        <w:rPr>
          <w:color w:val="000000" w:themeColor="text1"/>
        </w:rPr>
        <w:t xml:space="preserve">may have been </w:t>
      </w:r>
      <w:r w:rsidR="004F031A">
        <w:rPr>
          <w:color w:val="000000" w:themeColor="text1"/>
        </w:rPr>
        <w:t xml:space="preserve">included in the timber harvesting land base </w:t>
      </w:r>
      <w:r w:rsidR="00BD0078">
        <w:rPr>
          <w:color w:val="000000" w:themeColor="text1"/>
        </w:rPr>
        <w:t>following the low productivity, problem forest type and operability exclusions that may never be considered available for harvest by the model</w:t>
      </w:r>
      <w:r>
        <w:rPr>
          <w:color w:val="000000" w:themeColor="text1"/>
        </w:rPr>
        <w:t>,</w:t>
      </w:r>
      <w:r w:rsidR="00BD0078">
        <w:rPr>
          <w:color w:val="000000" w:themeColor="text1"/>
        </w:rPr>
        <w:t xml:space="preserve"> because although they met the </w:t>
      </w:r>
      <w:r w:rsidR="00A02629">
        <w:rPr>
          <w:color w:val="000000" w:themeColor="text1"/>
        </w:rPr>
        <w:t xml:space="preserve">minimum </w:t>
      </w:r>
      <w:r w:rsidR="00BD0078">
        <w:rPr>
          <w:color w:val="000000" w:themeColor="text1"/>
        </w:rPr>
        <w:t xml:space="preserve">site index criteria </w:t>
      </w:r>
      <w:r w:rsidR="00A02629">
        <w:rPr>
          <w:color w:val="000000" w:themeColor="text1"/>
        </w:rPr>
        <w:t xml:space="preserve">to be retained in the timber harvesting land base, </w:t>
      </w:r>
      <w:r w:rsidR="00BD0078">
        <w:rPr>
          <w:color w:val="000000" w:themeColor="text1"/>
        </w:rPr>
        <w:t xml:space="preserve">they may never achieve the </w:t>
      </w:r>
      <w:r w:rsidR="00895F5E">
        <w:rPr>
          <w:color w:val="000000" w:themeColor="text1"/>
        </w:rPr>
        <w:t>140</w:t>
      </w:r>
      <w:r w:rsidR="00A86D1C">
        <w:rPr>
          <w:color w:val="000000" w:themeColor="text1"/>
        </w:rPr>
        <w:t> </w:t>
      </w:r>
      <w:r w:rsidR="00895F5E">
        <w:rPr>
          <w:color w:val="000000" w:themeColor="text1"/>
        </w:rPr>
        <w:t xml:space="preserve">cubic metre per hectare </w:t>
      </w:r>
      <w:r w:rsidR="00BD0078">
        <w:rPr>
          <w:color w:val="000000" w:themeColor="text1"/>
        </w:rPr>
        <w:t>minimum volume requirement</w:t>
      </w:r>
      <w:r>
        <w:rPr>
          <w:color w:val="000000" w:themeColor="text1"/>
        </w:rPr>
        <w:t xml:space="preserve"> for harvest</w:t>
      </w:r>
      <w:r w:rsidR="00BD0078">
        <w:rPr>
          <w:color w:val="000000" w:themeColor="text1"/>
        </w:rPr>
        <w:t>.</w:t>
      </w:r>
      <w:r w:rsidR="00A02629">
        <w:rPr>
          <w:color w:val="000000" w:themeColor="text1"/>
        </w:rPr>
        <w:t xml:space="preserve">  </w:t>
      </w:r>
      <w:r w:rsidR="00790FBD">
        <w:rPr>
          <w:color w:val="000000" w:themeColor="text1"/>
        </w:rPr>
        <w:t>FAIB staff indicate that approximately 38</w:t>
      </w:r>
      <w:r w:rsidR="00A86D1C">
        <w:rPr>
          <w:color w:val="000000" w:themeColor="text1"/>
        </w:rPr>
        <w:t> </w:t>
      </w:r>
      <w:r w:rsidR="00790FBD">
        <w:rPr>
          <w:color w:val="000000" w:themeColor="text1"/>
        </w:rPr>
        <w:t>000 hectares of stands on the timber harvesting land base are never harvested in the model</w:t>
      </w:r>
      <w:r w:rsidR="004C1F38">
        <w:rPr>
          <w:color w:val="000000" w:themeColor="text1"/>
        </w:rPr>
        <w:t>.</w:t>
      </w:r>
      <w:r w:rsidR="00975661">
        <w:rPr>
          <w:color w:val="000000" w:themeColor="text1"/>
        </w:rPr>
        <w:t xml:space="preserve"> </w:t>
      </w:r>
      <w:r w:rsidR="004C1F38">
        <w:rPr>
          <w:color w:val="000000" w:themeColor="text1"/>
        </w:rPr>
        <w:t xml:space="preserve"> </w:t>
      </w:r>
      <w:r w:rsidR="000339DE">
        <w:rPr>
          <w:color w:val="000000" w:themeColor="text1"/>
        </w:rPr>
        <w:t xml:space="preserve">They note that </w:t>
      </w:r>
      <w:r w:rsidR="00975661">
        <w:rPr>
          <w:color w:val="000000" w:themeColor="text1"/>
        </w:rPr>
        <w:t xml:space="preserve">some of this area is </w:t>
      </w:r>
      <w:r w:rsidR="000339DE">
        <w:rPr>
          <w:color w:val="000000" w:themeColor="text1"/>
        </w:rPr>
        <w:t xml:space="preserve">occupied by </w:t>
      </w:r>
      <w:r w:rsidR="00975661">
        <w:rPr>
          <w:color w:val="000000" w:themeColor="text1"/>
        </w:rPr>
        <w:t>stands where, in the model</w:t>
      </w:r>
      <w:r w:rsidR="000339DE">
        <w:rPr>
          <w:color w:val="000000" w:themeColor="text1"/>
        </w:rPr>
        <w:t>ling</w:t>
      </w:r>
      <w:r w:rsidR="00975661">
        <w:rPr>
          <w:color w:val="000000" w:themeColor="text1"/>
        </w:rPr>
        <w:t xml:space="preserve">, the volume </w:t>
      </w:r>
      <w:r w:rsidR="000339DE">
        <w:rPr>
          <w:color w:val="000000" w:themeColor="text1"/>
        </w:rPr>
        <w:t>contribution from the pine</w:t>
      </w:r>
      <w:r w:rsidR="00975661">
        <w:rPr>
          <w:color w:val="000000" w:themeColor="text1"/>
        </w:rPr>
        <w:t xml:space="preserve"> was </w:t>
      </w:r>
      <w:r w:rsidR="000339DE">
        <w:rPr>
          <w:color w:val="000000" w:themeColor="text1"/>
        </w:rPr>
        <w:t>r</w:t>
      </w:r>
      <w:r w:rsidR="00085AA4">
        <w:rPr>
          <w:color w:val="000000" w:themeColor="text1"/>
        </w:rPr>
        <w:t>e</w:t>
      </w:r>
      <w:r w:rsidR="000339DE">
        <w:rPr>
          <w:color w:val="000000" w:themeColor="text1"/>
        </w:rPr>
        <w:t>moved</w:t>
      </w:r>
      <w:r w:rsidR="00975661">
        <w:rPr>
          <w:color w:val="000000" w:themeColor="text1"/>
        </w:rPr>
        <w:t xml:space="preserve"> from the total </w:t>
      </w:r>
      <w:r w:rsidR="000339DE">
        <w:rPr>
          <w:color w:val="000000" w:themeColor="text1"/>
        </w:rPr>
        <w:t xml:space="preserve">stand </w:t>
      </w:r>
      <w:r w:rsidR="00975661">
        <w:rPr>
          <w:color w:val="000000" w:themeColor="text1"/>
        </w:rPr>
        <w:t>volume after the shelf</w:t>
      </w:r>
      <w:r w:rsidR="00A86D1C">
        <w:rPr>
          <w:color w:val="000000" w:themeColor="text1"/>
        </w:rPr>
        <w:noBreakHyphen/>
      </w:r>
      <w:r w:rsidR="00975661">
        <w:rPr>
          <w:color w:val="000000" w:themeColor="text1"/>
        </w:rPr>
        <w:t xml:space="preserve">life expired, </w:t>
      </w:r>
      <w:r w:rsidR="00085AA4">
        <w:rPr>
          <w:color w:val="000000" w:themeColor="text1"/>
        </w:rPr>
        <w:t xml:space="preserve">resulting in </w:t>
      </w:r>
      <w:r w:rsidR="00975661">
        <w:rPr>
          <w:color w:val="000000" w:themeColor="text1"/>
        </w:rPr>
        <w:t>less than 140</w:t>
      </w:r>
      <w:r w:rsidR="00A86D1C">
        <w:rPr>
          <w:color w:val="000000" w:themeColor="text1"/>
        </w:rPr>
        <w:t> </w:t>
      </w:r>
      <w:r w:rsidR="00975661">
        <w:rPr>
          <w:color w:val="000000" w:themeColor="text1"/>
        </w:rPr>
        <w:t>cubic metres per hectare</w:t>
      </w:r>
      <w:r w:rsidR="00DB232F">
        <w:rPr>
          <w:color w:val="000000" w:themeColor="text1"/>
        </w:rPr>
        <w:t>.</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0D140B" w:rsidRDefault="00AD04F4" w:rsidP="00F162BD">
      <w:pPr>
        <w:rPr>
          <w:color w:val="000000" w:themeColor="text1"/>
        </w:rPr>
      </w:pPr>
      <w:r>
        <w:rPr>
          <w:color w:val="000000" w:themeColor="text1"/>
        </w:rPr>
        <w:t>For this determination I conclude Phase</w:t>
      </w:r>
      <w:r w:rsidR="00A86D1C">
        <w:rPr>
          <w:color w:val="000000" w:themeColor="text1"/>
        </w:rPr>
        <w:t> </w:t>
      </w:r>
      <w:r>
        <w:rPr>
          <w:color w:val="000000" w:themeColor="text1"/>
        </w:rPr>
        <w:t>II adjustments should have been applied to existing stand yield estimates.  Consistent with this conclusion I accept the factors associated with the Phase</w:t>
      </w:r>
      <w:r w:rsidR="00A86D1C">
        <w:rPr>
          <w:color w:val="000000" w:themeColor="text1"/>
        </w:rPr>
        <w:t> </w:t>
      </w:r>
      <w:r>
        <w:rPr>
          <w:color w:val="000000" w:themeColor="text1"/>
        </w:rPr>
        <w:t xml:space="preserve">II adjustment that lead to the </w:t>
      </w:r>
      <w:r w:rsidR="00A86D1C">
        <w:rPr>
          <w:color w:val="000000" w:themeColor="text1"/>
        </w:rPr>
        <w:t>15 </w:t>
      </w:r>
      <w:r>
        <w:rPr>
          <w:color w:val="000000" w:themeColor="text1"/>
        </w:rPr>
        <w:t>percent increase in the timber harvesting land base.  I therefore consider the base case to underestimate the initial five</w:t>
      </w:r>
      <w:r w:rsidR="00A86D1C">
        <w:rPr>
          <w:color w:val="000000" w:themeColor="text1"/>
        </w:rPr>
        <w:noBreakHyphen/>
      </w:r>
      <w:r>
        <w:rPr>
          <w:color w:val="000000" w:themeColor="text1"/>
        </w:rPr>
        <w:t>year period harvest level by 25</w:t>
      </w:r>
      <w:r w:rsidR="00A86D1C">
        <w:rPr>
          <w:color w:val="000000" w:themeColor="text1"/>
        </w:rPr>
        <w:t> </w:t>
      </w:r>
      <w:r>
        <w:rPr>
          <w:color w:val="000000" w:themeColor="text1"/>
        </w:rPr>
        <w:t>percent and the second five</w:t>
      </w:r>
      <w:r w:rsidR="00A86D1C">
        <w:rPr>
          <w:color w:val="000000" w:themeColor="text1"/>
        </w:rPr>
        <w:noBreakHyphen/>
      </w:r>
      <w:r>
        <w:rPr>
          <w:color w:val="000000" w:themeColor="text1"/>
        </w:rPr>
        <w:t xml:space="preserve">year period level by </w:t>
      </w:r>
      <w:r w:rsidR="00A86D1C">
        <w:rPr>
          <w:color w:val="000000" w:themeColor="text1"/>
        </w:rPr>
        <w:t>two</w:t>
      </w:r>
      <w:r>
        <w:rPr>
          <w:color w:val="000000" w:themeColor="text1"/>
        </w:rPr>
        <w:t xml:space="preserve"> percent.  </w:t>
      </w:r>
      <w:r w:rsidR="004F031A">
        <w:rPr>
          <w:color w:val="000000" w:themeColor="text1"/>
        </w:rPr>
        <w:t xml:space="preserve">I will discuss my considerations of this further under </w:t>
      </w:r>
      <w:r w:rsidR="00866BF7">
        <w:rPr>
          <w:color w:val="000000" w:themeColor="text1"/>
        </w:rPr>
        <w:t>‘</w:t>
      </w:r>
      <w:r w:rsidR="004F031A" w:rsidRPr="00A86D1C">
        <w:rPr>
          <w:b/>
          <w:color w:val="000000" w:themeColor="text1"/>
        </w:rPr>
        <w:t>Reasons for Decision</w:t>
      </w:r>
      <w:r w:rsidR="00866BF7">
        <w:rPr>
          <w:color w:val="000000" w:themeColor="text1"/>
        </w:rPr>
        <w:t>’</w:t>
      </w:r>
      <w:r w:rsidR="004F031A">
        <w:rPr>
          <w:color w:val="000000" w:themeColor="text1"/>
        </w:rPr>
        <w:t>.</w:t>
      </w:r>
    </w:p>
    <w:p w:rsidR="0074363E" w:rsidRPr="00C95B1A" w:rsidRDefault="000D140B" w:rsidP="00F162BD">
      <w:pPr>
        <w:rPr>
          <w:color w:val="000000" w:themeColor="text1"/>
        </w:rPr>
      </w:pPr>
      <w:r w:rsidRPr="00F162BD">
        <w:rPr>
          <w:color w:val="000000" w:themeColor="text1"/>
        </w:rPr>
        <w:t xml:space="preserve">I find the large </w:t>
      </w:r>
      <w:r w:rsidR="00A86D1C">
        <w:rPr>
          <w:color w:val="000000" w:themeColor="text1"/>
        </w:rPr>
        <w:t>P</w:t>
      </w:r>
      <w:r w:rsidRPr="00F162BD">
        <w:rPr>
          <w:color w:val="000000" w:themeColor="text1"/>
        </w:rPr>
        <w:t>hase</w:t>
      </w:r>
      <w:r w:rsidR="00A86D1C">
        <w:rPr>
          <w:color w:val="000000" w:themeColor="text1"/>
        </w:rPr>
        <w:t> </w:t>
      </w:r>
      <w:r w:rsidRPr="00F162BD">
        <w:rPr>
          <w:color w:val="000000" w:themeColor="text1"/>
        </w:rPr>
        <w:t>II adjustments for this inventory, particularly in the areas that were not expected to be in the timber harvesting land base during the sampling process, but also for those areas expected to be in the timber harvesting land base, to impart significant uncertainty to this determination.  I</w:t>
      </w:r>
      <w:r w:rsidR="00A86D1C">
        <w:rPr>
          <w:color w:val="000000" w:themeColor="text1"/>
        </w:rPr>
        <w:t> </w:t>
      </w:r>
      <w:r w:rsidRPr="00F162BD">
        <w:rPr>
          <w:color w:val="000000" w:themeColor="text1"/>
        </w:rPr>
        <w:t xml:space="preserve">therefore </w:t>
      </w:r>
      <w:r w:rsidR="00F162BD">
        <w:rPr>
          <w:color w:val="000000" w:themeColor="text1"/>
        </w:rPr>
        <w:t xml:space="preserve">am including </w:t>
      </w:r>
      <w:r w:rsidRPr="00F162BD">
        <w:rPr>
          <w:color w:val="000000" w:themeColor="text1"/>
        </w:rPr>
        <w:t xml:space="preserve">an instruction </w:t>
      </w:r>
      <w:r w:rsidR="00F162BD">
        <w:rPr>
          <w:color w:val="000000" w:themeColor="text1"/>
        </w:rPr>
        <w:t xml:space="preserve">in this determination </w:t>
      </w:r>
      <w:r>
        <w:rPr>
          <w:color w:val="000000" w:themeColor="text1"/>
        </w:rPr>
        <w:t>for the licensee to d</w:t>
      </w:r>
      <w:r w:rsidRPr="00F162BD">
        <w:rPr>
          <w:color w:val="000000" w:themeColor="text1"/>
        </w:rPr>
        <w:t xml:space="preserve">evelop a robust </w:t>
      </w:r>
      <w:r w:rsidR="00975661">
        <w:rPr>
          <w:color w:val="000000" w:themeColor="text1"/>
        </w:rPr>
        <w:t xml:space="preserve">forest </w:t>
      </w:r>
      <w:r w:rsidRPr="00F162BD">
        <w:rPr>
          <w:color w:val="000000" w:themeColor="text1"/>
        </w:rPr>
        <w:t>inventory for TFL</w:t>
      </w:r>
      <w:r w:rsidR="00A86D1C">
        <w:rPr>
          <w:color w:val="000000" w:themeColor="text1"/>
        </w:rPr>
        <w:t> </w:t>
      </w:r>
      <w:r w:rsidRPr="00F162BD">
        <w:rPr>
          <w:color w:val="000000" w:themeColor="text1"/>
        </w:rPr>
        <w:t>48</w:t>
      </w:r>
      <w:r w:rsidR="00F162BD">
        <w:rPr>
          <w:color w:val="000000" w:themeColor="text1"/>
        </w:rPr>
        <w:t>,</w:t>
      </w:r>
      <w:r w:rsidRPr="00F162BD">
        <w:rPr>
          <w:color w:val="000000" w:themeColor="text1"/>
        </w:rPr>
        <w:t xml:space="preserve"> so as to provide better information for the next </w:t>
      </w:r>
      <w:r w:rsidRPr="00C95B1A">
        <w:rPr>
          <w:color w:val="000000" w:themeColor="text1"/>
        </w:rPr>
        <w:t>determination.  In addition</w:t>
      </w:r>
      <w:r w:rsidR="0055290C" w:rsidRPr="00C95B1A">
        <w:rPr>
          <w:color w:val="000000" w:themeColor="text1"/>
        </w:rPr>
        <w:t>,</w:t>
      </w:r>
      <w:r w:rsidRPr="00C95B1A">
        <w:rPr>
          <w:color w:val="000000" w:themeColor="text1"/>
        </w:rPr>
        <w:t xml:space="preserve"> I </w:t>
      </w:r>
      <w:r w:rsidR="001C0E43" w:rsidRPr="00C95B1A">
        <w:rPr>
          <w:color w:val="000000" w:themeColor="text1"/>
        </w:rPr>
        <w:t xml:space="preserve">expect </w:t>
      </w:r>
      <w:r w:rsidRPr="00C95B1A">
        <w:rPr>
          <w:color w:val="000000" w:themeColor="text1"/>
        </w:rPr>
        <w:t xml:space="preserve">that </w:t>
      </w:r>
      <w:r w:rsidR="0074363E" w:rsidRPr="00C95B1A">
        <w:rPr>
          <w:color w:val="000000" w:themeColor="text1"/>
        </w:rPr>
        <w:t xml:space="preserve">for the next timber supply review </w:t>
      </w:r>
      <w:r w:rsidRPr="00C95B1A">
        <w:rPr>
          <w:color w:val="000000" w:themeColor="text1"/>
        </w:rPr>
        <w:t xml:space="preserve">the licensee </w:t>
      </w:r>
      <w:r w:rsidR="001C0E43" w:rsidRPr="00C95B1A">
        <w:rPr>
          <w:color w:val="000000" w:themeColor="text1"/>
        </w:rPr>
        <w:t xml:space="preserve">will </w:t>
      </w:r>
      <w:r w:rsidR="0074363E" w:rsidRPr="00C95B1A">
        <w:rPr>
          <w:color w:val="000000" w:themeColor="text1"/>
        </w:rPr>
        <w:t xml:space="preserve">consistently apply the same growth and yield information for yield projections </w:t>
      </w:r>
      <w:r w:rsidR="00B1451F" w:rsidRPr="00C95B1A">
        <w:rPr>
          <w:color w:val="000000" w:themeColor="text1"/>
        </w:rPr>
        <w:t xml:space="preserve">and </w:t>
      </w:r>
      <w:r w:rsidR="0074363E" w:rsidRPr="00C95B1A">
        <w:rPr>
          <w:color w:val="000000" w:themeColor="text1"/>
        </w:rPr>
        <w:t>related land base exclusions</w:t>
      </w:r>
      <w:r w:rsidR="00B1451F" w:rsidRPr="00C95B1A">
        <w:rPr>
          <w:color w:val="000000" w:themeColor="text1"/>
        </w:rPr>
        <w:t>.</w:t>
      </w:r>
    </w:p>
    <w:p w:rsidR="00747ACC" w:rsidRPr="00C95B1A" w:rsidRDefault="00B52F30" w:rsidP="00B52F30">
      <w:pPr>
        <w:pStyle w:val="Heading3"/>
      </w:pPr>
      <w:bookmarkStart w:id="249" w:name="_Toc432658633"/>
      <w:r w:rsidRPr="00C95B1A">
        <w:t xml:space="preserve">- </w:t>
      </w:r>
      <w:proofErr w:type="gramStart"/>
      <w:r w:rsidRPr="00C95B1A">
        <w:t>inoperable</w:t>
      </w:r>
      <w:bookmarkEnd w:id="249"/>
      <w:proofErr w:type="gramEnd"/>
    </w:p>
    <w:p w:rsidR="00F1769B" w:rsidRPr="00C95B1A" w:rsidRDefault="00BD0078" w:rsidP="00BD0078">
      <w:pPr>
        <w:rPr>
          <w:color w:val="000000" w:themeColor="text1"/>
        </w:rPr>
      </w:pPr>
      <w:r w:rsidRPr="00C95B1A">
        <w:rPr>
          <w:color w:val="000000" w:themeColor="text1"/>
        </w:rPr>
        <w:t>In the preparation of information for the analysis, a</w:t>
      </w:r>
      <w:r w:rsidR="00F1769B" w:rsidRPr="00C95B1A">
        <w:rPr>
          <w:color w:val="000000" w:themeColor="text1"/>
        </w:rPr>
        <w:t xml:space="preserve">ll areas of the TFL were classified according </w:t>
      </w:r>
      <w:r w:rsidRPr="00C95B1A">
        <w:rPr>
          <w:color w:val="000000" w:themeColor="text1"/>
        </w:rPr>
        <w:t xml:space="preserve">five </w:t>
      </w:r>
      <w:r w:rsidR="00F1769B" w:rsidRPr="00C95B1A">
        <w:rPr>
          <w:color w:val="000000" w:themeColor="text1"/>
        </w:rPr>
        <w:t>operability class</w:t>
      </w:r>
      <w:r w:rsidRPr="00C95B1A">
        <w:rPr>
          <w:color w:val="000000" w:themeColor="text1"/>
        </w:rPr>
        <w:t xml:space="preserve">es:  conventional, mixed, cable, aerial and inoperable.  </w:t>
      </w:r>
      <w:r w:rsidR="00F1769B" w:rsidRPr="00C95B1A">
        <w:rPr>
          <w:color w:val="000000" w:themeColor="text1"/>
        </w:rPr>
        <w:t>Conifer</w:t>
      </w:r>
      <w:r w:rsidR="00A86D1C" w:rsidRPr="00C95B1A">
        <w:rPr>
          <w:color w:val="000000" w:themeColor="text1"/>
        </w:rPr>
        <w:noBreakHyphen/>
      </w:r>
      <w:r w:rsidR="00F1769B" w:rsidRPr="00C95B1A">
        <w:rPr>
          <w:color w:val="000000" w:themeColor="text1"/>
        </w:rPr>
        <w:t>leading stands identified as aerial or inoperable were excluded in the derivation of the timber harvesting land base.</w:t>
      </w:r>
      <w:r w:rsidRPr="00C95B1A">
        <w:rPr>
          <w:color w:val="000000" w:themeColor="text1"/>
        </w:rPr>
        <w:t xml:space="preserve">  Deciduous</w:t>
      </w:r>
      <w:r w:rsidR="00A86D1C" w:rsidRPr="00C95B1A">
        <w:rPr>
          <w:color w:val="000000" w:themeColor="text1"/>
        </w:rPr>
        <w:noBreakHyphen/>
      </w:r>
      <w:r w:rsidRPr="00C95B1A">
        <w:rPr>
          <w:color w:val="000000" w:themeColor="text1"/>
        </w:rPr>
        <w:t xml:space="preserve">leading stands in all </w:t>
      </w:r>
      <w:r w:rsidR="001232B4" w:rsidRPr="00C95B1A">
        <w:rPr>
          <w:color w:val="000000" w:themeColor="text1"/>
        </w:rPr>
        <w:t xml:space="preserve">but the conventional </w:t>
      </w:r>
      <w:r w:rsidRPr="00C95B1A">
        <w:rPr>
          <w:color w:val="000000" w:themeColor="text1"/>
        </w:rPr>
        <w:t>operability class were also excluded.</w:t>
      </w:r>
    </w:p>
    <w:p w:rsidR="00BD0078" w:rsidRPr="00C95B1A" w:rsidRDefault="00EB499D" w:rsidP="00BD0078">
      <w:pPr>
        <w:rPr>
          <w:color w:val="000000" w:themeColor="text1"/>
        </w:rPr>
      </w:pPr>
      <w:r w:rsidRPr="00C95B1A">
        <w:rPr>
          <w:color w:val="000000" w:themeColor="text1"/>
        </w:rPr>
        <w:t xml:space="preserve">FLNR operations </w:t>
      </w:r>
      <w:proofErr w:type="gramStart"/>
      <w:r w:rsidR="00BD0078" w:rsidRPr="00C95B1A">
        <w:rPr>
          <w:color w:val="000000" w:themeColor="text1"/>
        </w:rPr>
        <w:t xml:space="preserve">staff </w:t>
      </w:r>
      <w:r w:rsidR="00EF20B5" w:rsidRPr="00C95B1A">
        <w:rPr>
          <w:color w:val="000000" w:themeColor="text1"/>
        </w:rPr>
        <w:t xml:space="preserve">reviewed the </w:t>
      </w:r>
      <w:r w:rsidR="005F1AA7" w:rsidRPr="00C95B1A">
        <w:rPr>
          <w:color w:val="000000" w:themeColor="text1"/>
        </w:rPr>
        <w:t xml:space="preserve">operability </w:t>
      </w:r>
      <w:r w:rsidR="00EF20B5" w:rsidRPr="00C95B1A">
        <w:rPr>
          <w:color w:val="000000" w:themeColor="text1"/>
        </w:rPr>
        <w:t>assumptions for the TFL</w:t>
      </w:r>
      <w:r w:rsidR="00F162BD" w:rsidRPr="00C95B1A">
        <w:rPr>
          <w:color w:val="000000" w:themeColor="text1"/>
        </w:rPr>
        <w:t>,</w:t>
      </w:r>
      <w:r w:rsidR="00EF20B5" w:rsidRPr="00C95B1A">
        <w:rPr>
          <w:color w:val="000000" w:themeColor="text1"/>
        </w:rPr>
        <w:t xml:space="preserve"> and </w:t>
      </w:r>
      <w:r w:rsidR="00BD0078" w:rsidRPr="00C95B1A">
        <w:rPr>
          <w:color w:val="000000" w:themeColor="text1"/>
        </w:rPr>
        <w:t>indicate</w:t>
      </w:r>
      <w:proofErr w:type="gramEnd"/>
      <w:r w:rsidR="00BD0078" w:rsidRPr="00C95B1A">
        <w:rPr>
          <w:color w:val="000000" w:themeColor="text1"/>
        </w:rPr>
        <w:t xml:space="preserve"> that </w:t>
      </w:r>
      <w:r w:rsidR="00EF20B5" w:rsidRPr="00C95B1A">
        <w:rPr>
          <w:color w:val="000000" w:themeColor="text1"/>
        </w:rPr>
        <w:t>they</w:t>
      </w:r>
      <w:r w:rsidR="00BD0078" w:rsidRPr="00C95B1A">
        <w:rPr>
          <w:color w:val="000000" w:themeColor="text1"/>
        </w:rPr>
        <w:t xml:space="preserve"> reflect current practice on the TFL.  </w:t>
      </w:r>
      <w:r w:rsidR="00A87B9B" w:rsidRPr="00C95B1A">
        <w:rPr>
          <w:color w:val="000000" w:themeColor="text1"/>
        </w:rPr>
        <w:t>I expressed my concern about the</w:t>
      </w:r>
      <w:r w:rsidR="004D17D6" w:rsidRPr="00C95B1A">
        <w:rPr>
          <w:color w:val="000000" w:themeColor="text1"/>
        </w:rPr>
        <w:t xml:space="preserve"> potential</w:t>
      </w:r>
      <w:r w:rsidR="00A87B9B" w:rsidRPr="00C95B1A">
        <w:rPr>
          <w:color w:val="000000" w:themeColor="text1"/>
        </w:rPr>
        <w:t xml:space="preserve"> </w:t>
      </w:r>
      <w:r w:rsidR="004D17D6" w:rsidRPr="00C95B1A">
        <w:rPr>
          <w:color w:val="000000" w:themeColor="text1"/>
        </w:rPr>
        <w:t xml:space="preserve">implications for timber supply of the </w:t>
      </w:r>
      <w:r w:rsidR="00A87B9B" w:rsidRPr="00C95B1A">
        <w:rPr>
          <w:color w:val="000000" w:themeColor="text1"/>
        </w:rPr>
        <w:t>shortage of cable</w:t>
      </w:r>
      <w:r w:rsidR="00A86D1C" w:rsidRPr="00C95B1A">
        <w:rPr>
          <w:color w:val="000000" w:themeColor="text1"/>
        </w:rPr>
        <w:noBreakHyphen/>
      </w:r>
      <w:r w:rsidR="00A87B9B" w:rsidRPr="00C95B1A">
        <w:rPr>
          <w:color w:val="000000" w:themeColor="text1"/>
        </w:rPr>
        <w:t xml:space="preserve">harvesting contractors above, under </w:t>
      </w:r>
      <w:r w:rsidR="00DB07F8">
        <w:rPr>
          <w:color w:val="000000" w:themeColor="text1"/>
        </w:rPr>
        <w:t>‘</w:t>
      </w:r>
      <w:r w:rsidR="00A87B9B" w:rsidRPr="00C95B1A">
        <w:rPr>
          <w:color w:val="000000" w:themeColor="text1"/>
        </w:rPr>
        <w:t xml:space="preserve">Mountain Pine Beetle </w:t>
      </w:r>
      <w:r w:rsidR="00A86D1C" w:rsidRPr="00C95B1A">
        <w:rPr>
          <w:color w:val="000000" w:themeColor="text1"/>
        </w:rPr>
        <w:t>e</w:t>
      </w:r>
      <w:r w:rsidR="00A87B9B" w:rsidRPr="00C95B1A">
        <w:rPr>
          <w:color w:val="000000" w:themeColor="text1"/>
        </w:rPr>
        <w:t>pidemic</w:t>
      </w:r>
      <w:r w:rsidR="00DB07F8">
        <w:rPr>
          <w:color w:val="000000" w:themeColor="text1"/>
        </w:rPr>
        <w:t>’</w:t>
      </w:r>
      <w:r w:rsidR="00A87B9B" w:rsidRPr="00C95B1A">
        <w:rPr>
          <w:color w:val="000000" w:themeColor="text1"/>
        </w:rPr>
        <w:t>.</w:t>
      </w:r>
    </w:p>
    <w:p w:rsidR="00BB0804" w:rsidRDefault="00BB0804" w:rsidP="00BB0804">
      <w:pPr>
        <w:rPr>
          <w:color w:val="000000" w:themeColor="text1"/>
        </w:rPr>
      </w:pPr>
      <w:r w:rsidRPr="00C95B1A">
        <w:rPr>
          <w:color w:val="000000" w:themeColor="text1"/>
        </w:rPr>
        <w:t xml:space="preserve">I will discuss the inclusion of </w:t>
      </w:r>
      <w:r w:rsidR="00D27BCB" w:rsidRPr="00C95B1A">
        <w:rPr>
          <w:color w:val="000000" w:themeColor="text1"/>
        </w:rPr>
        <w:t>deciduous</w:t>
      </w:r>
      <w:r w:rsidR="00C413A2" w:rsidRPr="00C95B1A">
        <w:rPr>
          <w:color w:val="000000" w:themeColor="text1"/>
        </w:rPr>
        <w:noBreakHyphen/>
      </w:r>
      <w:r w:rsidR="00D27BCB" w:rsidRPr="00C95B1A">
        <w:rPr>
          <w:color w:val="000000" w:themeColor="text1"/>
        </w:rPr>
        <w:t xml:space="preserve">leading stands </w:t>
      </w:r>
      <w:r w:rsidRPr="00C95B1A">
        <w:rPr>
          <w:color w:val="000000" w:themeColor="text1"/>
        </w:rPr>
        <w:t xml:space="preserve">in the </w:t>
      </w:r>
      <w:r w:rsidR="00D27BCB" w:rsidRPr="00C95B1A">
        <w:rPr>
          <w:color w:val="000000" w:themeColor="text1"/>
        </w:rPr>
        <w:t>conventional</w:t>
      </w:r>
      <w:r w:rsidRPr="00C95B1A">
        <w:rPr>
          <w:color w:val="000000" w:themeColor="text1"/>
        </w:rPr>
        <w:t xml:space="preserve">ly operable land base </w:t>
      </w:r>
      <w:r w:rsidR="00785FEE" w:rsidRPr="00C95B1A">
        <w:rPr>
          <w:color w:val="000000" w:themeColor="text1"/>
        </w:rPr>
        <w:t xml:space="preserve">further under </w:t>
      </w:r>
      <w:r w:rsidR="00866BF7">
        <w:rPr>
          <w:color w:val="000000" w:themeColor="text1"/>
        </w:rPr>
        <w:t>‘</w:t>
      </w:r>
      <w:r w:rsidR="00E9784D" w:rsidRPr="00C95B1A">
        <w:rPr>
          <w:color w:val="000000" w:themeColor="text1"/>
        </w:rPr>
        <w:t xml:space="preserve">Pulpwood </w:t>
      </w:r>
      <w:r w:rsidR="00C413A2" w:rsidRPr="00C95B1A">
        <w:rPr>
          <w:color w:val="000000" w:themeColor="text1"/>
        </w:rPr>
        <w:t>a</w:t>
      </w:r>
      <w:r w:rsidR="00E9784D" w:rsidRPr="00C95B1A">
        <w:rPr>
          <w:color w:val="000000" w:themeColor="text1"/>
        </w:rPr>
        <w:t>greements, deciduous harvest and p</w:t>
      </w:r>
      <w:r w:rsidR="00785FEE" w:rsidRPr="00C95B1A">
        <w:rPr>
          <w:color w:val="000000" w:themeColor="text1"/>
        </w:rPr>
        <w:t xml:space="preserve">artitioned </w:t>
      </w:r>
      <w:r w:rsidR="00E9784D" w:rsidRPr="00C95B1A">
        <w:rPr>
          <w:color w:val="000000" w:themeColor="text1"/>
        </w:rPr>
        <w:t>c</w:t>
      </w:r>
      <w:r w:rsidR="00785FEE" w:rsidRPr="00C95B1A">
        <w:rPr>
          <w:color w:val="000000" w:themeColor="text1"/>
        </w:rPr>
        <w:t>omponent</w:t>
      </w:r>
      <w:r w:rsidR="00E9784D" w:rsidRPr="00C95B1A">
        <w:rPr>
          <w:color w:val="000000" w:themeColor="text1"/>
        </w:rPr>
        <w:t xml:space="preserve"> of the harvest</w:t>
      </w:r>
      <w:r w:rsidR="00866BF7">
        <w:rPr>
          <w:i/>
          <w:color w:val="000000" w:themeColor="text1"/>
        </w:rPr>
        <w:t>’</w:t>
      </w:r>
      <w:r w:rsidR="00E9784D" w:rsidRPr="00C95B1A">
        <w:rPr>
          <w:color w:val="000000" w:themeColor="text1"/>
        </w:rPr>
        <w:t xml:space="preserve">. </w:t>
      </w:r>
      <w:r w:rsidRPr="00C95B1A">
        <w:rPr>
          <w:color w:val="000000" w:themeColor="text1"/>
        </w:rPr>
        <w:t xml:space="preserve"> Having considered the information regarding operability for TFL</w:t>
      </w:r>
      <w:r w:rsidR="00C413A2" w:rsidRPr="00C95B1A">
        <w:rPr>
          <w:color w:val="000000" w:themeColor="text1"/>
        </w:rPr>
        <w:t> </w:t>
      </w:r>
      <w:r w:rsidRPr="00C95B1A">
        <w:rPr>
          <w:color w:val="000000" w:themeColor="text1"/>
        </w:rPr>
        <w:t>48, I accept that the information is a reasonable reflection of current practice and suitable for use in this</w:t>
      </w:r>
      <w:r>
        <w:rPr>
          <w:color w:val="000000" w:themeColor="text1"/>
        </w:rPr>
        <w:t xml:space="preserve"> determination.</w:t>
      </w:r>
    </w:p>
    <w:p w:rsidR="00416A48" w:rsidRDefault="00747ACC" w:rsidP="004052C9">
      <w:pPr>
        <w:pStyle w:val="Heading3"/>
      </w:pPr>
      <w:bookmarkStart w:id="250" w:name="_Toc432658634"/>
      <w:bookmarkStart w:id="251" w:name="_Toc317667253"/>
      <w:r w:rsidRPr="006550BB">
        <w:t xml:space="preserve">- </w:t>
      </w:r>
      <w:proofErr w:type="gramStart"/>
      <w:r w:rsidRPr="006550BB">
        <w:t>cultural</w:t>
      </w:r>
      <w:proofErr w:type="gramEnd"/>
      <w:r w:rsidRPr="006550BB">
        <w:t xml:space="preserve"> heritage resource reductions</w:t>
      </w:r>
      <w:bookmarkEnd w:id="250"/>
    </w:p>
    <w:p w:rsidR="00747ACC" w:rsidRDefault="006550BB" w:rsidP="00747ACC">
      <w:pPr>
        <w:rPr>
          <w:lang w:val="en-US"/>
        </w:rPr>
      </w:pPr>
      <w:r>
        <w:rPr>
          <w:lang w:val="en-US"/>
        </w:rPr>
        <w:t>There are 20 known cultural heritage sites on TFL</w:t>
      </w:r>
      <w:r w:rsidR="00C413A2">
        <w:rPr>
          <w:lang w:val="en-US"/>
        </w:rPr>
        <w:t> </w:t>
      </w:r>
      <w:r>
        <w:rPr>
          <w:lang w:val="en-US"/>
        </w:rPr>
        <w:t>48, a</w:t>
      </w:r>
      <w:r w:rsidR="001A44D8">
        <w:rPr>
          <w:lang w:val="en-US"/>
        </w:rPr>
        <w:t>ccording to information</w:t>
      </w:r>
      <w:r>
        <w:rPr>
          <w:lang w:val="en-US"/>
        </w:rPr>
        <w:t xml:space="preserve"> provided by the Archaeology Branch of FLNR.  Each site </w:t>
      </w:r>
      <w:r w:rsidR="001A44D8">
        <w:rPr>
          <w:lang w:val="en-US"/>
        </w:rPr>
        <w:t xml:space="preserve">is required to have </w:t>
      </w:r>
      <w:proofErr w:type="gramStart"/>
      <w:r>
        <w:rPr>
          <w:lang w:val="en-US"/>
        </w:rPr>
        <w:t>a</w:t>
      </w:r>
      <w:proofErr w:type="gramEnd"/>
      <w:r>
        <w:rPr>
          <w:lang w:val="en-US"/>
        </w:rPr>
        <w:t xml:space="preserve"> </w:t>
      </w:r>
      <w:r w:rsidR="00641598">
        <w:rPr>
          <w:lang w:val="en-US"/>
        </w:rPr>
        <w:t>one</w:t>
      </w:r>
      <w:r w:rsidR="00C413A2">
        <w:rPr>
          <w:lang w:val="en-US"/>
        </w:rPr>
        <w:noBreakHyphen/>
      </w:r>
      <w:proofErr w:type="spellStart"/>
      <w:r>
        <w:rPr>
          <w:lang w:val="en-US"/>
        </w:rPr>
        <w:t>metre</w:t>
      </w:r>
      <w:proofErr w:type="spellEnd"/>
      <w:r>
        <w:rPr>
          <w:lang w:val="en-US"/>
        </w:rPr>
        <w:t xml:space="preserve"> buffer to provide for a measure of protection at the strategic level.  The licensee indicates that site specific buffers are applied to these areas operational</w:t>
      </w:r>
      <w:r w:rsidR="00EF20B5">
        <w:rPr>
          <w:lang w:val="en-US"/>
        </w:rPr>
        <w:t>ly</w:t>
      </w:r>
      <w:r>
        <w:rPr>
          <w:lang w:val="en-US"/>
        </w:rPr>
        <w:t xml:space="preserve"> when planning harvesting activities.</w:t>
      </w:r>
    </w:p>
    <w:p w:rsidR="006550BB" w:rsidRDefault="00EF20B5" w:rsidP="00747ACC">
      <w:pPr>
        <w:rPr>
          <w:lang w:val="en-US"/>
        </w:rPr>
      </w:pPr>
      <w:r>
        <w:rPr>
          <w:lang w:val="en-US"/>
        </w:rPr>
        <w:t>To account for these areas i</w:t>
      </w:r>
      <w:r w:rsidR="006550BB">
        <w:rPr>
          <w:lang w:val="en-US"/>
        </w:rPr>
        <w:t xml:space="preserve">n the analysis, </w:t>
      </w:r>
      <w:proofErr w:type="gramStart"/>
      <w:r w:rsidR="001A44D8">
        <w:rPr>
          <w:lang w:val="en-US"/>
        </w:rPr>
        <w:t>a</w:t>
      </w:r>
      <w:proofErr w:type="gramEnd"/>
      <w:r w:rsidR="001A44D8">
        <w:rPr>
          <w:lang w:val="en-US"/>
        </w:rPr>
        <w:t xml:space="preserve"> </w:t>
      </w:r>
      <w:r w:rsidR="00641598">
        <w:rPr>
          <w:lang w:val="en-US"/>
        </w:rPr>
        <w:t>one</w:t>
      </w:r>
      <w:r w:rsidR="00C413A2">
        <w:rPr>
          <w:lang w:val="en-US"/>
        </w:rPr>
        <w:noBreakHyphen/>
      </w:r>
      <w:proofErr w:type="spellStart"/>
      <w:r w:rsidR="001A44D8">
        <w:rPr>
          <w:lang w:val="en-US"/>
        </w:rPr>
        <w:t>metre</w:t>
      </w:r>
      <w:proofErr w:type="spellEnd"/>
      <w:r w:rsidR="001A44D8">
        <w:rPr>
          <w:lang w:val="en-US"/>
        </w:rPr>
        <w:t xml:space="preserve"> buffer was applied to </w:t>
      </w:r>
      <w:r>
        <w:rPr>
          <w:lang w:val="en-US"/>
        </w:rPr>
        <w:t>each</w:t>
      </w:r>
      <w:r w:rsidR="001A44D8">
        <w:rPr>
          <w:lang w:val="en-US"/>
        </w:rPr>
        <w:t xml:space="preserve"> area and they were</w:t>
      </w:r>
      <w:r w:rsidR="006550BB">
        <w:rPr>
          <w:lang w:val="en-US"/>
        </w:rPr>
        <w:t xml:space="preserve"> excluded in the derivation of the timber harvesting land base.</w:t>
      </w:r>
    </w:p>
    <w:p w:rsidR="006550BB" w:rsidRDefault="006550BB" w:rsidP="00747ACC">
      <w:pPr>
        <w:rPr>
          <w:lang w:val="en-US"/>
        </w:rPr>
      </w:pPr>
      <w:r>
        <w:rPr>
          <w:lang w:val="en-US"/>
        </w:rPr>
        <w:t>The Halfway River First Nation asked the licensee during consultation if the locations of cultural heritage sites are only</w:t>
      </w:r>
      <w:r w:rsidR="00567EBC">
        <w:rPr>
          <w:lang w:val="en-US"/>
        </w:rPr>
        <w:t xml:space="preserve"> those</w:t>
      </w:r>
      <w:r>
        <w:rPr>
          <w:lang w:val="en-US"/>
        </w:rPr>
        <w:t xml:space="preserve"> provided by Archaeology Branch and if they are not specific to First</w:t>
      </w:r>
      <w:r w:rsidR="00C413A2">
        <w:rPr>
          <w:lang w:val="en-US"/>
        </w:rPr>
        <w:t> </w:t>
      </w:r>
      <w:r>
        <w:rPr>
          <w:lang w:val="en-US"/>
        </w:rPr>
        <w:t>Nations.  The licensee notes t</w:t>
      </w:r>
      <w:r w:rsidR="00567EBC">
        <w:rPr>
          <w:lang w:val="en-US"/>
        </w:rPr>
        <w:t>hat no additional information was</w:t>
      </w:r>
      <w:r>
        <w:rPr>
          <w:lang w:val="en-US"/>
        </w:rPr>
        <w:t xml:space="preserve"> provided by public or First</w:t>
      </w:r>
      <w:r w:rsidR="00AA45D4">
        <w:rPr>
          <w:lang w:val="en-US"/>
        </w:rPr>
        <w:t> </w:t>
      </w:r>
      <w:r>
        <w:rPr>
          <w:lang w:val="en-US"/>
        </w:rPr>
        <w:t>Nations about cultural heritage sites on TFL</w:t>
      </w:r>
      <w:r w:rsidR="00AA45D4">
        <w:rPr>
          <w:lang w:val="en-US"/>
        </w:rPr>
        <w:t> </w:t>
      </w:r>
      <w:r>
        <w:rPr>
          <w:lang w:val="en-US"/>
        </w:rPr>
        <w:t>48 other than the information provided by Archaeology Branch.</w:t>
      </w:r>
    </w:p>
    <w:p w:rsidR="006550BB" w:rsidRPr="00C95B1A" w:rsidRDefault="00825443" w:rsidP="00747ACC">
      <w:pPr>
        <w:rPr>
          <w:lang w:val="en-US"/>
        </w:rPr>
      </w:pPr>
      <w:r w:rsidRPr="00BB0804">
        <w:rPr>
          <w:lang w:val="en-US"/>
        </w:rPr>
        <w:t>I have considered the deductions applied to account for cultural heritage resources on TFL</w:t>
      </w:r>
      <w:r w:rsidR="007E39FA">
        <w:rPr>
          <w:lang w:val="en-US"/>
        </w:rPr>
        <w:t> </w:t>
      </w:r>
      <w:r w:rsidRPr="00BB0804">
        <w:rPr>
          <w:lang w:val="en-US"/>
        </w:rPr>
        <w:t xml:space="preserve">48, and </w:t>
      </w:r>
      <w:r w:rsidR="006550BB" w:rsidRPr="00BB0804">
        <w:rPr>
          <w:lang w:val="en-US"/>
        </w:rPr>
        <w:t>I accept th</w:t>
      </w:r>
      <w:r w:rsidRPr="00BB0804">
        <w:rPr>
          <w:lang w:val="en-US"/>
        </w:rPr>
        <w:t>at</w:t>
      </w:r>
      <w:r w:rsidR="006550BB" w:rsidRPr="00BB0804">
        <w:rPr>
          <w:lang w:val="en-US"/>
        </w:rPr>
        <w:t xml:space="preserve"> know</w:t>
      </w:r>
      <w:r w:rsidR="00567EBC" w:rsidRPr="00BB0804">
        <w:rPr>
          <w:lang w:val="en-US"/>
        </w:rPr>
        <w:t>n</w:t>
      </w:r>
      <w:r w:rsidR="006550BB" w:rsidRPr="00BB0804">
        <w:rPr>
          <w:lang w:val="en-US"/>
        </w:rPr>
        <w:t xml:space="preserve"> resources</w:t>
      </w:r>
      <w:r w:rsidRPr="00BB0804">
        <w:rPr>
          <w:lang w:val="en-US"/>
        </w:rPr>
        <w:t xml:space="preserve"> were appropriately accounted for in the base case. </w:t>
      </w:r>
      <w:r w:rsidR="00BB0804">
        <w:rPr>
          <w:lang w:val="en-US"/>
        </w:rPr>
        <w:t xml:space="preserve"> </w:t>
      </w:r>
      <w:r w:rsidRPr="00BB0804">
        <w:rPr>
          <w:lang w:val="en-US"/>
        </w:rPr>
        <w:t xml:space="preserve">Other land base deductions applied </w:t>
      </w:r>
      <w:r w:rsidR="00051071" w:rsidRPr="00BB0804">
        <w:rPr>
          <w:lang w:val="en-US"/>
        </w:rPr>
        <w:t xml:space="preserve">may </w:t>
      </w:r>
      <w:r w:rsidRPr="00BB0804">
        <w:rPr>
          <w:lang w:val="en-US"/>
        </w:rPr>
        <w:t xml:space="preserve">provide protection for resources that have not yet been identified, and information that becomes available over this determination can be incorporated into the </w:t>
      </w:r>
      <w:r w:rsidRPr="00C95B1A">
        <w:rPr>
          <w:lang w:val="en-US"/>
        </w:rPr>
        <w:t>assumptions for the next timber supply review.</w:t>
      </w:r>
      <w:r w:rsidR="002F08DA" w:rsidRPr="00C95B1A">
        <w:rPr>
          <w:lang w:val="en-US"/>
        </w:rPr>
        <w:t xml:space="preserve"> </w:t>
      </w:r>
      <w:r w:rsidR="00051071" w:rsidRPr="00C95B1A">
        <w:rPr>
          <w:lang w:val="en-US"/>
        </w:rPr>
        <w:t xml:space="preserve"> I encourage the licensee to </w:t>
      </w:r>
      <w:r w:rsidR="00D23B1F" w:rsidRPr="00C95B1A">
        <w:rPr>
          <w:lang w:val="en-US"/>
        </w:rPr>
        <w:t xml:space="preserve">continue to </w:t>
      </w:r>
      <w:r w:rsidR="00051071" w:rsidRPr="00C95B1A">
        <w:rPr>
          <w:lang w:val="en-US"/>
        </w:rPr>
        <w:t>work with the Halfway River First Nation</w:t>
      </w:r>
      <w:r w:rsidR="00F6653D" w:rsidRPr="00C95B1A">
        <w:rPr>
          <w:lang w:val="en-US"/>
        </w:rPr>
        <w:t xml:space="preserve"> and the other First Nations with traditional territory on TFL</w:t>
      </w:r>
      <w:r w:rsidR="007E39FA">
        <w:rPr>
          <w:lang w:val="en-US"/>
        </w:rPr>
        <w:t> </w:t>
      </w:r>
      <w:r w:rsidR="00F6653D" w:rsidRPr="00C95B1A">
        <w:rPr>
          <w:lang w:val="en-US"/>
        </w:rPr>
        <w:t>48</w:t>
      </w:r>
      <w:r w:rsidR="00051071" w:rsidRPr="00C95B1A">
        <w:rPr>
          <w:lang w:val="en-US"/>
        </w:rPr>
        <w:t xml:space="preserve"> to identify </w:t>
      </w:r>
      <w:r w:rsidR="00BB0804" w:rsidRPr="00C95B1A">
        <w:rPr>
          <w:lang w:val="en-US"/>
        </w:rPr>
        <w:t xml:space="preserve">and manage for their cultural heritage </w:t>
      </w:r>
      <w:r w:rsidR="00051071" w:rsidRPr="00C95B1A">
        <w:rPr>
          <w:lang w:val="en-US"/>
        </w:rPr>
        <w:t>resources</w:t>
      </w:r>
      <w:r w:rsidR="00BB0804" w:rsidRPr="00C95B1A">
        <w:rPr>
          <w:lang w:val="en-US"/>
        </w:rPr>
        <w:t xml:space="preserve"> at the operational level.</w:t>
      </w:r>
    </w:p>
    <w:p w:rsidR="00D3693B" w:rsidRPr="00213A9A" w:rsidRDefault="00D3693B" w:rsidP="00D3693B">
      <w:pPr>
        <w:pStyle w:val="Heading3"/>
      </w:pPr>
      <w:bookmarkStart w:id="252" w:name="_Toc432658635"/>
      <w:r w:rsidRPr="00C95B1A">
        <w:t xml:space="preserve">- </w:t>
      </w:r>
      <w:proofErr w:type="gramStart"/>
      <w:r w:rsidRPr="00C95B1A">
        <w:t>recreation</w:t>
      </w:r>
      <w:bookmarkEnd w:id="252"/>
      <w:proofErr w:type="gramEnd"/>
    </w:p>
    <w:p w:rsidR="00567EBC" w:rsidRDefault="00B251EB" w:rsidP="00D3693B">
      <w:pPr>
        <w:spacing w:after="0"/>
        <w:rPr>
          <w:color w:val="000000" w:themeColor="text1"/>
        </w:rPr>
      </w:pPr>
      <w:r>
        <w:rPr>
          <w:color w:val="000000" w:themeColor="text1"/>
        </w:rPr>
        <w:t>I</w:t>
      </w:r>
      <w:r w:rsidR="00213A9A">
        <w:rPr>
          <w:color w:val="000000" w:themeColor="text1"/>
        </w:rPr>
        <w:t>n</w:t>
      </w:r>
      <w:r>
        <w:rPr>
          <w:color w:val="000000" w:themeColor="text1"/>
        </w:rPr>
        <w:t xml:space="preserve"> the </w:t>
      </w:r>
      <w:r w:rsidR="00567EBC">
        <w:rPr>
          <w:color w:val="000000" w:themeColor="text1"/>
        </w:rPr>
        <w:t xml:space="preserve">timber supply </w:t>
      </w:r>
      <w:r>
        <w:rPr>
          <w:color w:val="000000" w:themeColor="text1"/>
        </w:rPr>
        <w:t>analysis, a recreation inventory completed in 1994 and updated in 2001 was used to determine the exclu</w:t>
      </w:r>
      <w:r w:rsidR="00213A9A">
        <w:rPr>
          <w:color w:val="000000" w:themeColor="text1"/>
        </w:rPr>
        <w:t>sions to apply to account for recreation resources.</w:t>
      </w:r>
    </w:p>
    <w:p w:rsidR="00D3693B" w:rsidRDefault="00213A9A" w:rsidP="00D3693B">
      <w:pPr>
        <w:spacing w:after="0"/>
        <w:rPr>
          <w:color w:val="000000" w:themeColor="text1"/>
        </w:rPr>
      </w:pPr>
      <w:r>
        <w:rPr>
          <w:color w:val="000000" w:themeColor="text1"/>
        </w:rPr>
        <w:t xml:space="preserve">All areas with a recreation management class of </w:t>
      </w:r>
      <w:r w:rsidR="007E39FA">
        <w:rPr>
          <w:color w:val="000000" w:themeColor="text1"/>
        </w:rPr>
        <w:t>zero</w:t>
      </w:r>
      <w:r>
        <w:rPr>
          <w:color w:val="000000" w:themeColor="text1"/>
        </w:rPr>
        <w:t xml:space="preserve"> were excluded in the derivation of the timber harvesting land base.  The licensee indicates that in previous </w:t>
      </w:r>
      <w:r w:rsidR="00567EBC">
        <w:rPr>
          <w:color w:val="000000" w:themeColor="text1"/>
        </w:rPr>
        <w:t xml:space="preserve">timber supply </w:t>
      </w:r>
      <w:r>
        <w:rPr>
          <w:color w:val="000000" w:themeColor="text1"/>
        </w:rPr>
        <w:t xml:space="preserve">analyses, recreation class B1 areas </w:t>
      </w:r>
      <w:r w:rsidR="00567EBC">
        <w:rPr>
          <w:color w:val="000000" w:themeColor="text1"/>
        </w:rPr>
        <w:t>were</w:t>
      </w:r>
      <w:r>
        <w:rPr>
          <w:color w:val="000000" w:themeColor="text1"/>
        </w:rPr>
        <w:t xml:space="preserve"> 80 percent inclu</w:t>
      </w:r>
      <w:r w:rsidR="00567EBC">
        <w:rPr>
          <w:color w:val="000000" w:themeColor="text1"/>
        </w:rPr>
        <w:t>ded</w:t>
      </w:r>
      <w:r w:rsidR="00171C7E">
        <w:rPr>
          <w:color w:val="000000" w:themeColor="text1"/>
        </w:rPr>
        <w:t xml:space="preserve"> in the timber harvesting land base, as this </w:t>
      </w:r>
      <w:r>
        <w:rPr>
          <w:color w:val="000000" w:themeColor="text1"/>
        </w:rPr>
        <w:t>reflect</w:t>
      </w:r>
      <w:r w:rsidR="00171C7E">
        <w:rPr>
          <w:color w:val="000000" w:themeColor="text1"/>
        </w:rPr>
        <w:t>ed</w:t>
      </w:r>
      <w:r>
        <w:rPr>
          <w:color w:val="000000" w:themeColor="text1"/>
        </w:rPr>
        <w:t xml:space="preserve"> current managem</w:t>
      </w:r>
      <w:r w:rsidR="00567EBC">
        <w:rPr>
          <w:color w:val="000000" w:themeColor="text1"/>
        </w:rPr>
        <w:t xml:space="preserve">ent practice.  However, </w:t>
      </w:r>
      <w:r w:rsidR="00171C7E">
        <w:rPr>
          <w:color w:val="000000" w:themeColor="text1"/>
        </w:rPr>
        <w:t xml:space="preserve">they note that </w:t>
      </w:r>
      <w:r w:rsidR="00567EBC">
        <w:rPr>
          <w:color w:val="000000" w:themeColor="text1"/>
        </w:rPr>
        <w:t xml:space="preserve">in the </w:t>
      </w:r>
      <w:r w:rsidR="00171C7E">
        <w:rPr>
          <w:color w:val="000000" w:themeColor="text1"/>
        </w:rPr>
        <w:t xml:space="preserve">2006 and </w:t>
      </w:r>
      <w:r w:rsidR="00567EBC">
        <w:rPr>
          <w:color w:val="000000" w:themeColor="text1"/>
        </w:rPr>
        <w:t>20</w:t>
      </w:r>
      <w:r w:rsidR="00171C7E">
        <w:rPr>
          <w:color w:val="000000" w:themeColor="text1"/>
        </w:rPr>
        <w:t>14</w:t>
      </w:r>
      <w:r w:rsidR="00567EBC">
        <w:rPr>
          <w:color w:val="000000" w:themeColor="text1"/>
        </w:rPr>
        <w:t xml:space="preserve"> </w:t>
      </w:r>
      <w:r>
        <w:rPr>
          <w:color w:val="000000" w:themeColor="text1"/>
        </w:rPr>
        <w:t>analys</w:t>
      </w:r>
      <w:r w:rsidR="00171C7E">
        <w:rPr>
          <w:color w:val="000000" w:themeColor="text1"/>
        </w:rPr>
        <w:t>e</w:t>
      </w:r>
      <w:r>
        <w:rPr>
          <w:color w:val="000000" w:themeColor="text1"/>
        </w:rPr>
        <w:t xml:space="preserve">s, </w:t>
      </w:r>
      <w:r w:rsidR="002C10C8">
        <w:rPr>
          <w:color w:val="000000" w:themeColor="text1"/>
        </w:rPr>
        <w:t xml:space="preserve">all the area classified as </w:t>
      </w:r>
      <w:r w:rsidR="00567EBC">
        <w:rPr>
          <w:color w:val="000000" w:themeColor="text1"/>
        </w:rPr>
        <w:t>B1</w:t>
      </w:r>
      <w:r>
        <w:rPr>
          <w:color w:val="000000" w:themeColor="text1"/>
        </w:rPr>
        <w:t xml:space="preserve"> </w:t>
      </w:r>
      <w:r w:rsidR="002C10C8">
        <w:rPr>
          <w:color w:val="000000" w:themeColor="text1"/>
        </w:rPr>
        <w:t>was in</w:t>
      </w:r>
      <w:r w:rsidR="00171C7E">
        <w:rPr>
          <w:color w:val="000000" w:themeColor="text1"/>
        </w:rPr>
        <w:t xml:space="preserve">cluded in the derivation of the timber harvesting land base, </w:t>
      </w:r>
      <w:r>
        <w:rPr>
          <w:color w:val="000000" w:themeColor="text1"/>
        </w:rPr>
        <w:t>because 45</w:t>
      </w:r>
      <w:r w:rsidR="00171C7E">
        <w:rPr>
          <w:color w:val="000000" w:themeColor="text1"/>
        </w:rPr>
        <w:t> </w:t>
      </w:r>
      <w:r>
        <w:rPr>
          <w:color w:val="000000" w:themeColor="text1"/>
        </w:rPr>
        <w:t>percent of the</w:t>
      </w:r>
      <w:r w:rsidR="00567EBC">
        <w:rPr>
          <w:color w:val="000000" w:themeColor="text1"/>
        </w:rPr>
        <w:t xml:space="preserve"> </w:t>
      </w:r>
      <w:r>
        <w:rPr>
          <w:color w:val="000000" w:themeColor="text1"/>
        </w:rPr>
        <w:t xml:space="preserve">area </w:t>
      </w:r>
      <w:r w:rsidR="002C10C8">
        <w:rPr>
          <w:color w:val="000000" w:themeColor="text1"/>
        </w:rPr>
        <w:t xml:space="preserve">was </w:t>
      </w:r>
      <w:r>
        <w:rPr>
          <w:color w:val="000000" w:themeColor="text1"/>
        </w:rPr>
        <w:t xml:space="preserve">already excluded </w:t>
      </w:r>
      <w:r w:rsidR="00171C7E">
        <w:rPr>
          <w:color w:val="000000" w:themeColor="text1"/>
        </w:rPr>
        <w:t>through other</w:t>
      </w:r>
      <w:r w:rsidR="002C10C8">
        <w:rPr>
          <w:color w:val="000000" w:themeColor="text1"/>
        </w:rPr>
        <w:t>, overlapping</w:t>
      </w:r>
      <w:r w:rsidR="00171C7E">
        <w:rPr>
          <w:color w:val="000000" w:themeColor="text1"/>
        </w:rPr>
        <w:t xml:space="preserve"> reductions</w:t>
      </w:r>
      <w:r>
        <w:rPr>
          <w:color w:val="000000" w:themeColor="text1"/>
        </w:rPr>
        <w:t>.</w:t>
      </w:r>
    </w:p>
    <w:p w:rsidR="00213A9A" w:rsidRDefault="00EB499D" w:rsidP="00D3693B">
      <w:pPr>
        <w:spacing w:after="0"/>
        <w:rPr>
          <w:color w:val="000000" w:themeColor="text1"/>
        </w:rPr>
      </w:pPr>
      <w:r>
        <w:rPr>
          <w:color w:val="000000" w:themeColor="text1"/>
        </w:rPr>
        <w:t xml:space="preserve">FLNR operations </w:t>
      </w:r>
      <w:proofErr w:type="gramStart"/>
      <w:r w:rsidR="00213A9A">
        <w:rPr>
          <w:color w:val="000000" w:themeColor="text1"/>
        </w:rPr>
        <w:t xml:space="preserve">staff </w:t>
      </w:r>
      <w:r w:rsidR="00171C7E">
        <w:rPr>
          <w:color w:val="000000" w:themeColor="text1"/>
        </w:rPr>
        <w:t>have</w:t>
      </w:r>
      <w:proofErr w:type="gramEnd"/>
      <w:r w:rsidR="00171C7E">
        <w:rPr>
          <w:color w:val="000000" w:themeColor="text1"/>
        </w:rPr>
        <w:t xml:space="preserve"> reviewed the assumptions and </w:t>
      </w:r>
      <w:r w:rsidR="00213A9A">
        <w:rPr>
          <w:color w:val="000000" w:themeColor="text1"/>
        </w:rPr>
        <w:t>indicate that the approach used to reflect management for recreation resources was acceptable and reflective of current practices.</w:t>
      </w:r>
    </w:p>
    <w:p w:rsidR="00213A9A" w:rsidRDefault="00213A9A" w:rsidP="00D3693B">
      <w:pPr>
        <w:spacing w:after="0"/>
        <w:rPr>
          <w:color w:val="000000" w:themeColor="text1"/>
        </w:rPr>
      </w:pPr>
      <w:r>
        <w:rPr>
          <w:color w:val="000000" w:themeColor="text1"/>
        </w:rPr>
        <w:t xml:space="preserve">Having considered the information, I accept the assumptions used in the </w:t>
      </w:r>
      <w:r w:rsidR="002C10C8">
        <w:rPr>
          <w:color w:val="000000" w:themeColor="text1"/>
        </w:rPr>
        <w:t xml:space="preserve">base case </w:t>
      </w:r>
      <w:r>
        <w:rPr>
          <w:color w:val="000000" w:themeColor="text1"/>
        </w:rPr>
        <w:t xml:space="preserve">to account for </w:t>
      </w:r>
      <w:r w:rsidR="00567EBC">
        <w:rPr>
          <w:color w:val="000000" w:themeColor="text1"/>
        </w:rPr>
        <w:t xml:space="preserve">management of </w:t>
      </w:r>
      <w:r>
        <w:rPr>
          <w:color w:val="000000" w:themeColor="text1"/>
        </w:rPr>
        <w:t xml:space="preserve">recreation resources.  However, given the importance of managing B1 areas </w:t>
      </w:r>
      <w:r w:rsidR="00567EBC">
        <w:rPr>
          <w:color w:val="000000" w:themeColor="text1"/>
        </w:rPr>
        <w:t xml:space="preserve">on the TFL </w:t>
      </w:r>
      <w:r>
        <w:rPr>
          <w:color w:val="000000" w:themeColor="text1"/>
        </w:rPr>
        <w:t>and reflecting this management to the best extent possible in timber s</w:t>
      </w:r>
      <w:r w:rsidR="00567EBC">
        <w:rPr>
          <w:color w:val="000000" w:themeColor="text1"/>
        </w:rPr>
        <w:t>upply analyses, I</w:t>
      </w:r>
      <w:r w:rsidR="007E39FA">
        <w:rPr>
          <w:color w:val="000000" w:themeColor="text1"/>
        </w:rPr>
        <w:t> </w:t>
      </w:r>
      <w:r w:rsidR="00567EBC">
        <w:rPr>
          <w:color w:val="000000" w:themeColor="text1"/>
        </w:rPr>
        <w:t>request that t</w:t>
      </w:r>
      <w:r>
        <w:rPr>
          <w:color w:val="000000" w:themeColor="text1"/>
        </w:rPr>
        <w:t xml:space="preserve">he licensee </w:t>
      </w:r>
      <w:r w:rsidR="000C028A">
        <w:rPr>
          <w:color w:val="000000" w:themeColor="text1"/>
        </w:rPr>
        <w:t>r</w:t>
      </w:r>
      <w:r w:rsidR="000C028A">
        <w:rPr>
          <w:szCs w:val="22"/>
        </w:rPr>
        <w:t xml:space="preserve">eview areas classified as B1 that are not otherwise excluded in the derivation of the timber harvesting land base and ensure these are appropriately accounted for in the next timber supply </w:t>
      </w:r>
      <w:r w:rsidR="00197434">
        <w:rPr>
          <w:szCs w:val="22"/>
        </w:rPr>
        <w:t>review</w:t>
      </w:r>
      <w:r>
        <w:rPr>
          <w:color w:val="000000" w:themeColor="text1"/>
        </w:rPr>
        <w:t>.</w:t>
      </w:r>
    </w:p>
    <w:p w:rsidR="00D3693B" w:rsidRPr="00590499" w:rsidRDefault="00D3693B" w:rsidP="00D3693B">
      <w:pPr>
        <w:pStyle w:val="Heading3"/>
      </w:pPr>
      <w:bookmarkStart w:id="253" w:name="_Toc432658636"/>
      <w:r w:rsidRPr="00C254E4">
        <w:t xml:space="preserve">- </w:t>
      </w:r>
      <w:proofErr w:type="gramStart"/>
      <w:r w:rsidRPr="00C254E4">
        <w:t>low</w:t>
      </w:r>
      <w:proofErr w:type="gramEnd"/>
      <w:r w:rsidRPr="00C254E4">
        <w:t xml:space="preserve"> productivity sites</w:t>
      </w:r>
      <w:r w:rsidR="00E62F16" w:rsidRPr="00C254E4">
        <w:t xml:space="preserve"> identified for immature stands</w:t>
      </w:r>
      <w:bookmarkEnd w:id="253"/>
    </w:p>
    <w:p w:rsidR="00D3693B" w:rsidRDefault="00290AC9" w:rsidP="00D3693B">
      <w:pPr>
        <w:spacing w:after="0"/>
        <w:rPr>
          <w:color w:val="000000" w:themeColor="text1"/>
        </w:rPr>
      </w:pPr>
      <w:r>
        <w:rPr>
          <w:color w:val="000000" w:themeColor="text1"/>
        </w:rPr>
        <w:t>Some immature stands on TFL</w:t>
      </w:r>
      <w:r w:rsidR="007E39FA">
        <w:rPr>
          <w:color w:val="000000" w:themeColor="text1"/>
        </w:rPr>
        <w:t> </w:t>
      </w:r>
      <w:r>
        <w:rPr>
          <w:color w:val="000000" w:themeColor="text1"/>
        </w:rPr>
        <w:t>48 are not suitable for harvest given the low timber growing potential of the sites.</w:t>
      </w:r>
    </w:p>
    <w:p w:rsidR="00A82670" w:rsidRDefault="00A82670" w:rsidP="00D3693B">
      <w:pPr>
        <w:spacing w:after="0"/>
        <w:rPr>
          <w:color w:val="000000" w:themeColor="text1"/>
        </w:rPr>
      </w:pPr>
      <w:r>
        <w:rPr>
          <w:color w:val="000000" w:themeColor="text1"/>
        </w:rPr>
        <w:t xml:space="preserve">For the 2006 analysis, </w:t>
      </w:r>
      <w:r w:rsidR="007403A6">
        <w:rPr>
          <w:color w:val="000000" w:themeColor="text1"/>
        </w:rPr>
        <w:t xml:space="preserve">the licensee developed </w:t>
      </w:r>
      <w:r w:rsidR="00290AC9">
        <w:rPr>
          <w:color w:val="000000" w:themeColor="text1"/>
        </w:rPr>
        <w:t>minimum site indices for stands by leading species and operability class</w:t>
      </w:r>
      <w:r>
        <w:rPr>
          <w:color w:val="000000" w:themeColor="text1"/>
        </w:rPr>
        <w:t xml:space="preserve">, and used these to identify low productivity sites.  </w:t>
      </w:r>
      <w:r w:rsidR="008B423D">
        <w:rPr>
          <w:color w:val="000000" w:themeColor="text1"/>
        </w:rPr>
        <w:t>The site indices</w:t>
      </w:r>
      <w:r>
        <w:rPr>
          <w:color w:val="000000" w:themeColor="text1"/>
        </w:rPr>
        <w:t xml:space="preserve"> used were those</w:t>
      </w:r>
      <w:r w:rsidR="008B423D">
        <w:rPr>
          <w:color w:val="000000" w:themeColor="text1"/>
        </w:rPr>
        <w:t xml:space="preserve"> </w:t>
      </w:r>
      <w:r w:rsidR="00A82F1C">
        <w:rPr>
          <w:color w:val="000000" w:themeColor="text1"/>
        </w:rPr>
        <w:t xml:space="preserve">at which a stand could achieve a certain minimum volume by a </w:t>
      </w:r>
      <w:r w:rsidR="00795D53">
        <w:rPr>
          <w:color w:val="000000" w:themeColor="text1"/>
        </w:rPr>
        <w:t>defined age of maturity for each species</w:t>
      </w:r>
      <w:r w:rsidR="00A82F1C">
        <w:rPr>
          <w:color w:val="000000" w:themeColor="text1"/>
        </w:rPr>
        <w:t xml:space="preserve">; the minimum volumes were 120, 140 and 150 cubic metres per hectare for stands in the conventional, mixed and cable operability classes respectively.  </w:t>
      </w:r>
      <w:r w:rsidR="007403A6">
        <w:rPr>
          <w:color w:val="000000" w:themeColor="text1"/>
        </w:rPr>
        <w:t>Stands that did not meet the minimum site index criteria were excluded in the derivation of the timber harvesting land base</w:t>
      </w:r>
      <w:r w:rsidR="00C93838">
        <w:rPr>
          <w:color w:val="000000" w:themeColor="text1"/>
        </w:rPr>
        <w:t xml:space="preserve">, </w:t>
      </w:r>
      <w:r w:rsidR="00E62F16">
        <w:rPr>
          <w:color w:val="000000" w:themeColor="text1"/>
        </w:rPr>
        <w:t xml:space="preserve">for a total of </w:t>
      </w:r>
      <w:r w:rsidR="00E62F16" w:rsidRPr="00A82F1C">
        <w:t>55</w:t>
      </w:r>
      <w:r w:rsidR="00A82F1C">
        <w:t> </w:t>
      </w:r>
      <w:r w:rsidR="00E62F16" w:rsidRPr="00A82F1C">
        <w:t>710</w:t>
      </w:r>
      <w:r>
        <w:t> </w:t>
      </w:r>
      <w:r w:rsidR="00E62F16">
        <w:rPr>
          <w:color w:val="000000" w:themeColor="text1"/>
        </w:rPr>
        <w:t>hectares.</w:t>
      </w:r>
    </w:p>
    <w:p w:rsidR="00290AC9" w:rsidRDefault="0093160F" w:rsidP="00D3693B">
      <w:pPr>
        <w:spacing w:after="0"/>
        <w:rPr>
          <w:color w:val="000000" w:themeColor="text1"/>
        </w:rPr>
      </w:pPr>
      <w:r>
        <w:rPr>
          <w:color w:val="000000" w:themeColor="text1"/>
        </w:rPr>
        <w:t xml:space="preserve">In the 2014 </w:t>
      </w:r>
      <w:r w:rsidR="00795D53">
        <w:rPr>
          <w:color w:val="000000" w:themeColor="text1"/>
        </w:rPr>
        <w:t>base case</w:t>
      </w:r>
      <w:r>
        <w:rPr>
          <w:color w:val="000000" w:themeColor="text1"/>
        </w:rPr>
        <w:t xml:space="preserve">, the same areas as in the 2006 analysis were </w:t>
      </w:r>
      <w:r w:rsidR="00A82F1C">
        <w:rPr>
          <w:color w:val="000000" w:themeColor="text1"/>
        </w:rPr>
        <w:t xml:space="preserve">excluded </w:t>
      </w:r>
      <w:r>
        <w:rPr>
          <w:color w:val="000000" w:themeColor="text1"/>
        </w:rPr>
        <w:t>to account for low productivity sites.</w:t>
      </w:r>
    </w:p>
    <w:p w:rsidR="00C254E4" w:rsidRDefault="00E23D17" w:rsidP="00D3693B">
      <w:pPr>
        <w:spacing w:after="0"/>
        <w:rPr>
          <w:color w:val="000000" w:themeColor="text1"/>
        </w:rPr>
      </w:pPr>
      <w:r>
        <w:rPr>
          <w:color w:val="000000" w:themeColor="text1"/>
        </w:rPr>
        <w:t xml:space="preserve">I have considered the information regarding </w:t>
      </w:r>
      <w:r w:rsidR="00A82670">
        <w:rPr>
          <w:color w:val="000000" w:themeColor="text1"/>
        </w:rPr>
        <w:t xml:space="preserve">the </w:t>
      </w:r>
      <w:r w:rsidR="00C254E4">
        <w:rPr>
          <w:color w:val="000000" w:themeColor="text1"/>
        </w:rPr>
        <w:t>exclusions</w:t>
      </w:r>
      <w:r w:rsidR="00A82670">
        <w:rPr>
          <w:color w:val="000000" w:themeColor="text1"/>
        </w:rPr>
        <w:t xml:space="preserve"> </w:t>
      </w:r>
      <w:r w:rsidR="0093160F">
        <w:rPr>
          <w:color w:val="000000" w:themeColor="text1"/>
        </w:rPr>
        <w:t>for</w:t>
      </w:r>
      <w:r w:rsidR="00A82670">
        <w:rPr>
          <w:color w:val="000000" w:themeColor="text1"/>
        </w:rPr>
        <w:t xml:space="preserve"> </w:t>
      </w:r>
      <w:r>
        <w:rPr>
          <w:color w:val="000000" w:themeColor="text1"/>
        </w:rPr>
        <w:t>low productivity sit</w:t>
      </w:r>
      <w:r w:rsidR="00C254E4">
        <w:rPr>
          <w:color w:val="000000" w:themeColor="text1"/>
        </w:rPr>
        <w:t>e</w:t>
      </w:r>
      <w:r w:rsidR="0093160F">
        <w:rPr>
          <w:color w:val="000000" w:themeColor="text1"/>
        </w:rPr>
        <w:t>s.  I am aware that t</w:t>
      </w:r>
      <w:r w:rsidR="00A82F1C">
        <w:rPr>
          <w:color w:val="000000" w:themeColor="text1"/>
        </w:rPr>
        <w:t xml:space="preserve">he </w:t>
      </w:r>
      <w:r w:rsidR="007E39FA">
        <w:rPr>
          <w:color w:val="000000" w:themeColor="text1"/>
        </w:rPr>
        <w:t>P</w:t>
      </w:r>
      <w:r w:rsidR="00A82F1C">
        <w:rPr>
          <w:color w:val="000000" w:themeColor="text1"/>
        </w:rPr>
        <w:t>hase</w:t>
      </w:r>
      <w:r w:rsidR="00DB07F8">
        <w:rPr>
          <w:color w:val="000000" w:themeColor="text1"/>
        </w:rPr>
        <w:t> </w:t>
      </w:r>
      <w:r w:rsidR="00A82F1C">
        <w:rPr>
          <w:color w:val="000000" w:themeColor="text1"/>
        </w:rPr>
        <w:t xml:space="preserve">II inventory adjustments were applied </w:t>
      </w:r>
      <w:r w:rsidR="0093160F">
        <w:rPr>
          <w:color w:val="000000" w:themeColor="text1"/>
        </w:rPr>
        <w:t>in</w:t>
      </w:r>
      <w:r w:rsidR="00A82F1C">
        <w:rPr>
          <w:color w:val="000000" w:themeColor="text1"/>
        </w:rPr>
        <w:t xml:space="preserve"> the 2006 analysis</w:t>
      </w:r>
      <w:r w:rsidR="00BC0AC1">
        <w:rPr>
          <w:color w:val="000000" w:themeColor="text1"/>
        </w:rPr>
        <w:t xml:space="preserve">, and </w:t>
      </w:r>
      <w:r w:rsidR="0093160F">
        <w:rPr>
          <w:color w:val="000000" w:themeColor="text1"/>
        </w:rPr>
        <w:t>as a result</w:t>
      </w:r>
      <w:r w:rsidR="003F7C50">
        <w:rPr>
          <w:color w:val="000000" w:themeColor="text1"/>
        </w:rPr>
        <w:t xml:space="preserve"> the site indices </w:t>
      </w:r>
      <w:r w:rsidR="0081405B">
        <w:rPr>
          <w:color w:val="000000" w:themeColor="text1"/>
        </w:rPr>
        <w:t xml:space="preserve">used to </w:t>
      </w:r>
      <w:r w:rsidR="00C254E4">
        <w:rPr>
          <w:color w:val="000000" w:themeColor="text1"/>
        </w:rPr>
        <w:t xml:space="preserve">determine and </w:t>
      </w:r>
      <w:r w:rsidR="0081405B">
        <w:rPr>
          <w:color w:val="000000" w:themeColor="text1"/>
        </w:rPr>
        <w:t xml:space="preserve">exclude </w:t>
      </w:r>
      <w:r w:rsidR="00C254E4">
        <w:rPr>
          <w:color w:val="000000" w:themeColor="text1"/>
        </w:rPr>
        <w:t xml:space="preserve">low productivity </w:t>
      </w:r>
      <w:r w:rsidR="0081405B">
        <w:rPr>
          <w:color w:val="000000" w:themeColor="text1"/>
        </w:rPr>
        <w:t>s</w:t>
      </w:r>
      <w:r w:rsidR="00C254E4">
        <w:rPr>
          <w:color w:val="000000" w:themeColor="text1"/>
        </w:rPr>
        <w:t>ites</w:t>
      </w:r>
      <w:r w:rsidR="0081405B">
        <w:rPr>
          <w:color w:val="000000" w:themeColor="text1"/>
        </w:rPr>
        <w:t xml:space="preserve"> </w:t>
      </w:r>
      <w:r w:rsidR="003F7C50">
        <w:rPr>
          <w:color w:val="000000" w:themeColor="text1"/>
        </w:rPr>
        <w:t xml:space="preserve">were </w:t>
      </w:r>
      <w:r w:rsidR="00466404">
        <w:rPr>
          <w:color w:val="000000" w:themeColor="text1"/>
        </w:rPr>
        <w:t>adjusted site indices</w:t>
      </w:r>
      <w:r w:rsidR="007D3B43">
        <w:rPr>
          <w:color w:val="000000" w:themeColor="text1"/>
        </w:rPr>
        <w:t xml:space="preserve"> based on the best available information</w:t>
      </w:r>
      <w:r w:rsidR="00466404">
        <w:rPr>
          <w:color w:val="000000" w:themeColor="text1"/>
        </w:rPr>
        <w:t xml:space="preserve">.  </w:t>
      </w:r>
      <w:r w:rsidR="00795D53">
        <w:rPr>
          <w:color w:val="000000" w:themeColor="text1"/>
        </w:rPr>
        <w:t>I have concluded that application of the Phase</w:t>
      </w:r>
      <w:r w:rsidR="00DB07F8">
        <w:rPr>
          <w:color w:val="000000" w:themeColor="text1"/>
        </w:rPr>
        <w:t> </w:t>
      </w:r>
      <w:r w:rsidR="00795D53">
        <w:rPr>
          <w:color w:val="000000" w:themeColor="text1"/>
        </w:rPr>
        <w:t xml:space="preserve">II adjustments is </w:t>
      </w:r>
      <w:r w:rsidR="00560703">
        <w:rPr>
          <w:color w:val="000000" w:themeColor="text1"/>
        </w:rPr>
        <w:t xml:space="preserve">also </w:t>
      </w:r>
      <w:r w:rsidR="00795D53">
        <w:rPr>
          <w:color w:val="000000" w:themeColor="text1"/>
        </w:rPr>
        <w:t xml:space="preserve">appropriate for this determination, and therefore </w:t>
      </w:r>
      <w:r w:rsidR="00A02629">
        <w:rPr>
          <w:color w:val="000000" w:themeColor="text1"/>
        </w:rPr>
        <w:t xml:space="preserve">I am satisfied that the exclusions to account for low productivity immature stands </w:t>
      </w:r>
      <w:r w:rsidR="00795D53">
        <w:rPr>
          <w:color w:val="000000" w:themeColor="text1"/>
        </w:rPr>
        <w:t xml:space="preserve">in the base case </w:t>
      </w:r>
      <w:r w:rsidR="00A02629">
        <w:rPr>
          <w:color w:val="000000" w:themeColor="text1"/>
        </w:rPr>
        <w:t>were appropriate, and I make no adjustments on this account.</w:t>
      </w:r>
    </w:p>
    <w:p w:rsidR="00D3693B" w:rsidRPr="00085341" w:rsidRDefault="00D3693B" w:rsidP="00D3693B">
      <w:pPr>
        <w:pStyle w:val="Heading3"/>
      </w:pPr>
      <w:bookmarkStart w:id="254" w:name="_Toc432658637"/>
      <w:r w:rsidRPr="007162A4">
        <w:t xml:space="preserve">- </w:t>
      </w:r>
      <w:proofErr w:type="gramStart"/>
      <w:r w:rsidR="00085341" w:rsidRPr="007162A4">
        <w:t>mature</w:t>
      </w:r>
      <w:proofErr w:type="gramEnd"/>
      <w:r w:rsidR="00085341" w:rsidRPr="007162A4">
        <w:t xml:space="preserve"> stand </w:t>
      </w:r>
      <w:r w:rsidRPr="007162A4">
        <w:t>problem forest types</w:t>
      </w:r>
      <w:bookmarkEnd w:id="254"/>
    </w:p>
    <w:p w:rsidR="00AB1185" w:rsidRDefault="00085341" w:rsidP="00747ACC">
      <w:pPr>
        <w:rPr>
          <w:color w:val="000000" w:themeColor="text1"/>
        </w:rPr>
      </w:pPr>
      <w:r w:rsidRPr="00F961C0">
        <w:rPr>
          <w:color w:val="000000" w:themeColor="text1"/>
        </w:rPr>
        <w:t xml:space="preserve">Mature </w:t>
      </w:r>
      <w:r w:rsidR="00215C05">
        <w:rPr>
          <w:color w:val="000000" w:themeColor="text1"/>
        </w:rPr>
        <w:t xml:space="preserve">stand </w:t>
      </w:r>
      <w:r w:rsidRPr="00F961C0">
        <w:rPr>
          <w:color w:val="000000" w:themeColor="text1"/>
        </w:rPr>
        <w:t xml:space="preserve">problem forest types are stands that exceed the minimum </w:t>
      </w:r>
      <w:r w:rsidR="00AB1185">
        <w:rPr>
          <w:color w:val="000000" w:themeColor="text1"/>
        </w:rPr>
        <w:t>harvest</w:t>
      </w:r>
      <w:r w:rsidRPr="00F961C0">
        <w:rPr>
          <w:color w:val="000000" w:themeColor="text1"/>
        </w:rPr>
        <w:t xml:space="preserve"> age</w:t>
      </w:r>
      <w:r w:rsidR="00AB1185">
        <w:rPr>
          <w:color w:val="000000" w:themeColor="text1"/>
        </w:rPr>
        <w:t xml:space="preserve"> and</w:t>
      </w:r>
      <w:r w:rsidRPr="00F961C0">
        <w:rPr>
          <w:color w:val="000000" w:themeColor="text1"/>
        </w:rPr>
        <w:t xml:space="preserve"> are physically operable but are excluded from the timber harvesting land base due to being too old, </w:t>
      </w:r>
      <w:r>
        <w:rPr>
          <w:color w:val="000000" w:themeColor="text1"/>
        </w:rPr>
        <w:t>or of insufficient height</w:t>
      </w:r>
      <w:r w:rsidRPr="00F961C0">
        <w:rPr>
          <w:color w:val="000000" w:themeColor="text1"/>
        </w:rPr>
        <w:t>, diameter or volume</w:t>
      </w:r>
      <w:r w:rsidR="00F8503E">
        <w:rPr>
          <w:color w:val="000000" w:themeColor="text1"/>
        </w:rPr>
        <w:t xml:space="preserve"> to be considered by Canfor for harvesting at this time</w:t>
      </w:r>
      <w:r w:rsidRPr="00F961C0">
        <w:rPr>
          <w:color w:val="000000" w:themeColor="text1"/>
        </w:rPr>
        <w:t>.</w:t>
      </w:r>
      <w:r w:rsidR="00AB1185">
        <w:rPr>
          <w:color w:val="000000" w:themeColor="text1"/>
        </w:rPr>
        <w:t xml:space="preserve">  </w:t>
      </w:r>
      <w:r w:rsidR="00090E4D">
        <w:rPr>
          <w:color w:val="000000" w:themeColor="text1"/>
        </w:rPr>
        <w:t>In the 2006 analysis, m</w:t>
      </w:r>
      <w:r w:rsidR="00AB1185">
        <w:rPr>
          <w:color w:val="000000" w:themeColor="text1"/>
        </w:rPr>
        <w:t xml:space="preserve">ature stands that did not meet </w:t>
      </w:r>
      <w:r w:rsidR="00523C4B">
        <w:rPr>
          <w:color w:val="000000" w:themeColor="text1"/>
        </w:rPr>
        <w:t>minimum criteria were excluded in the derivation of the timber harvesting land base</w:t>
      </w:r>
      <w:r w:rsidR="00090E4D">
        <w:rPr>
          <w:color w:val="000000" w:themeColor="text1"/>
        </w:rPr>
        <w:t xml:space="preserve">, using </w:t>
      </w:r>
      <w:r w:rsidR="00523C4B">
        <w:rPr>
          <w:color w:val="000000" w:themeColor="text1"/>
        </w:rPr>
        <w:t xml:space="preserve">site indices </w:t>
      </w:r>
      <w:r w:rsidR="00090E4D">
        <w:rPr>
          <w:color w:val="000000" w:themeColor="text1"/>
        </w:rPr>
        <w:t>that</w:t>
      </w:r>
      <w:r w:rsidR="00523C4B">
        <w:rPr>
          <w:color w:val="000000" w:themeColor="text1"/>
        </w:rPr>
        <w:t xml:space="preserve"> included the Phase</w:t>
      </w:r>
      <w:r w:rsidR="007E39FA">
        <w:rPr>
          <w:color w:val="000000" w:themeColor="text1"/>
        </w:rPr>
        <w:t> </w:t>
      </w:r>
      <w:r w:rsidR="00523C4B">
        <w:rPr>
          <w:color w:val="000000" w:themeColor="text1"/>
        </w:rPr>
        <w:t>II inventory adjustments.</w:t>
      </w:r>
      <w:r w:rsidR="00AB1185">
        <w:rPr>
          <w:color w:val="000000" w:themeColor="text1"/>
        </w:rPr>
        <w:t xml:space="preserve"> </w:t>
      </w:r>
      <w:r w:rsidR="00090E4D">
        <w:rPr>
          <w:color w:val="000000" w:themeColor="text1"/>
        </w:rPr>
        <w:t xml:space="preserve"> The same exclusions were applied in the 2014 analysis.</w:t>
      </w:r>
    </w:p>
    <w:p w:rsidR="00085341" w:rsidRDefault="00EB499D" w:rsidP="00747ACC">
      <w:pPr>
        <w:rPr>
          <w:color w:val="000000" w:themeColor="text1"/>
        </w:rPr>
      </w:pPr>
      <w:r>
        <w:rPr>
          <w:color w:val="000000" w:themeColor="text1"/>
        </w:rPr>
        <w:t xml:space="preserve">FLNR operations </w:t>
      </w:r>
      <w:proofErr w:type="gramStart"/>
      <w:r w:rsidR="00085341">
        <w:rPr>
          <w:color w:val="000000" w:themeColor="text1"/>
        </w:rPr>
        <w:t xml:space="preserve">staff </w:t>
      </w:r>
      <w:r w:rsidR="00523C4B">
        <w:rPr>
          <w:color w:val="000000" w:themeColor="text1"/>
        </w:rPr>
        <w:t>have</w:t>
      </w:r>
      <w:proofErr w:type="gramEnd"/>
      <w:r w:rsidR="00523C4B">
        <w:rPr>
          <w:color w:val="000000" w:themeColor="text1"/>
        </w:rPr>
        <w:t xml:space="preserve"> reviewed the assumptions used </w:t>
      </w:r>
      <w:r w:rsidR="00090E4D">
        <w:rPr>
          <w:color w:val="000000" w:themeColor="text1"/>
        </w:rPr>
        <w:t xml:space="preserve">to account </w:t>
      </w:r>
      <w:r w:rsidR="00523C4B">
        <w:rPr>
          <w:color w:val="000000" w:themeColor="text1"/>
        </w:rPr>
        <w:t xml:space="preserve">for mature stand problem forest types in the </w:t>
      </w:r>
      <w:r w:rsidR="00F8503E">
        <w:rPr>
          <w:color w:val="000000" w:themeColor="text1"/>
        </w:rPr>
        <w:t>base case</w:t>
      </w:r>
      <w:r w:rsidR="00090E4D">
        <w:rPr>
          <w:color w:val="000000" w:themeColor="text1"/>
        </w:rPr>
        <w:t>,</w:t>
      </w:r>
      <w:r w:rsidR="00523C4B">
        <w:rPr>
          <w:color w:val="000000" w:themeColor="text1"/>
        </w:rPr>
        <w:t xml:space="preserve"> and </w:t>
      </w:r>
      <w:r w:rsidR="00085341">
        <w:rPr>
          <w:color w:val="000000" w:themeColor="text1"/>
        </w:rPr>
        <w:t>indicate the</w:t>
      </w:r>
      <w:r w:rsidR="00523C4B">
        <w:rPr>
          <w:color w:val="000000" w:themeColor="text1"/>
        </w:rPr>
        <w:t>y</w:t>
      </w:r>
      <w:r w:rsidR="00085341">
        <w:rPr>
          <w:color w:val="000000" w:themeColor="text1"/>
        </w:rPr>
        <w:t xml:space="preserve"> reflect current </w:t>
      </w:r>
      <w:r w:rsidR="004E0A3B">
        <w:rPr>
          <w:color w:val="000000" w:themeColor="text1"/>
        </w:rPr>
        <w:t>harvesting</w:t>
      </w:r>
      <w:r w:rsidR="00090E4D">
        <w:rPr>
          <w:color w:val="000000" w:themeColor="text1"/>
        </w:rPr>
        <w:t xml:space="preserve"> </w:t>
      </w:r>
      <w:r w:rsidR="00085341">
        <w:rPr>
          <w:color w:val="000000" w:themeColor="text1"/>
        </w:rPr>
        <w:t>practice</w:t>
      </w:r>
      <w:r w:rsidR="004E0A3B">
        <w:rPr>
          <w:color w:val="000000" w:themeColor="text1"/>
        </w:rPr>
        <w:t>s</w:t>
      </w:r>
      <w:r w:rsidR="00085341">
        <w:rPr>
          <w:color w:val="000000" w:themeColor="text1"/>
        </w:rPr>
        <w:t>.</w:t>
      </w:r>
    </w:p>
    <w:p w:rsidR="00D029C2" w:rsidRDefault="00523C4B" w:rsidP="00747ACC">
      <w:pPr>
        <w:rPr>
          <w:color w:val="000000" w:themeColor="text1"/>
        </w:rPr>
      </w:pPr>
      <w:r>
        <w:rPr>
          <w:color w:val="000000" w:themeColor="text1"/>
        </w:rPr>
        <w:t>I have considered the information regarding mature stand problem forest types</w:t>
      </w:r>
      <w:r w:rsidR="007162A4">
        <w:rPr>
          <w:color w:val="000000" w:themeColor="text1"/>
        </w:rPr>
        <w:t xml:space="preserve">, and </w:t>
      </w:r>
      <w:r w:rsidR="000C028A">
        <w:rPr>
          <w:color w:val="000000" w:themeColor="text1"/>
        </w:rPr>
        <w:t xml:space="preserve">I </w:t>
      </w:r>
      <w:r w:rsidR="007162A4">
        <w:rPr>
          <w:color w:val="000000" w:themeColor="text1"/>
        </w:rPr>
        <w:t xml:space="preserve">am satisfied that the exclusions </w:t>
      </w:r>
      <w:r w:rsidR="00085341">
        <w:rPr>
          <w:color w:val="000000" w:themeColor="text1"/>
        </w:rPr>
        <w:t>represent the best available informatio</w:t>
      </w:r>
      <w:r w:rsidR="007162A4">
        <w:rPr>
          <w:color w:val="000000" w:themeColor="text1"/>
        </w:rPr>
        <w:t xml:space="preserve">n and </w:t>
      </w:r>
      <w:r w:rsidR="004E0A3B">
        <w:rPr>
          <w:color w:val="000000" w:themeColor="text1"/>
        </w:rPr>
        <w:t>a</w:t>
      </w:r>
      <w:r w:rsidR="007162A4">
        <w:rPr>
          <w:color w:val="000000" w:themeColor="text1"/>
        </w:rPr>
        <w:t xml:space="preserve">re appropriate for this determination.  </w:t>
      </w:r>
      <w:r w:rsidR="006F6FA1">
        <w:rPr>
          <w:color w:val="000000" w:themeColor="text1"/>
        </w:rPr>
        <w:t>I make no adjustments on this account.</w:t>
      </w:r>
    </w:p>
    <w:p w:rsidR="008273A5" w:rsidRPr="00463753" w:rsidRDefault="008273A5" w:rsidP="008273A5">
      <w:pPr>
        <w:pStyle w:val="NormalIndent"/>
        <w:keepNext/>
        <w:tabs>
          <w:tab w:val="clear" w:pos="360"/>
        </w:tabs>
        <w:spacing w:before="240" w:line="240" w:lineRule="atLeast"/>
        <w:ind w:left="850" w:hanging="562"/>
        <w:rPr>
          <w:rFonts w:ascii="Times New Roman" w:hAnsi="Times New Roman"/>
          <w:color w:val="000000" w:themeColor="text1"/>
          <w:sz w:val="20"/>
          <w:lang w:val="en-CA"/>
        </w:rPr>
      </w:pPr>
      <w:bookmarkStart w:id="255" w:name="_Toc317667254"/>
      <w:bookmarkEnd w:id="251"/>
      <w:r w:rsidRPr="00634EC4">
        <w:rPr>
          <w:rFonts w:ascii="Times New Roman" w:hAnsi="Times New Roman"/>
          <w:b/>
          <w:color w:val="000000" w:themeColor="text1"/>
          <w:sz w:val="20"/>
          <w:lang w:val="en-CA"/>
        </w:rPr>
        <w:t>Section 8 (8) (a) (ii) tim</w:t>
      </w:r>
      <w:r w:rsidRPr="00FC005F">
        <w:rPr>
          <w:rFonts w:ascii="Times New Roman" w:hAnsi="Times New Roman"/>
          <w:b/>
          <w:color w:val="000000" w:themeColor="text1"/>
          <w:sz w:val="20"/>
          <w:lang w:val="en-CA"/>
        </w:rPr>
        <w:t>e for re-establishment:</w:t>
      </w:r>
    </w:p>
    <w:p w:rsidR="00922763" w:rsidRPr="00382B4B" w:rsidRDefault="00D3693B" w:rsidP="00E829B1">
      <w:pPr>
        <w:pStyle w:val="Heading3"/>
        <w:rPr>
          <w:lang w:val="en-CA"/>
        </w:rPr>
      </w:pPr>
      <w:bookmarkStart w:id="256" w:name="_Toc432658638"/>
      <w:r w:rsidRPr="00382B4B">
        <w:rPr>
          <w:lang w:val="en-CA"/>
        </w:rPr>
        <w:t xml:space="preserve">- </w:t>
      </w:r>
      <w:proofErr w:type="gramStart"/>
      <w:r w:rsidRPr="00382B4B">
        <w:rPr>
          <w:lang w:val="en-CA"/>
        </w:rPr>
        <w:t>r</w:t>
      </w:r>
      <w:r w:rsidR="00E829B1" w:rsidRPr="00382B4B">
        <w:rPr>
          <w:lang w:val="en-CA"/>
        </w:rPr>
        <w:t>egeneration</w:t>
      </w:r>
      <w:proofErr w:type="gramEnd"/>
      <w:r w:rsidR="00E829B1" w:rsidRPr="00382B4B">
        <w:rPr>
          <w:lang w:val="en-CA"/>
        </w:rPr>
        <w:t xml:space="preserve"> delay</w:t>
      </w:r>
      <w:bookmarkEnd w:id="256"/>
    </w:p>
    <w:p w:rsidR="00CE4B76" w:rsidRDefault="00810A36" w:rsidP="00810A36">
      <w:pPr>
        <w:spacing w:after="0"/>
        <w:rPr>
          <w:color w:val="000000" w:themeColor="text1"/>
        </w:rPr>
      </w:pPr>
      <w:r>
        <w:rPr>
          <w:color w:val="000000" w:themeColor="text1"/>
        </w:rPr>
        <w:t>In the base case,</w:t>
      </w:r>
      <w:r w:rsidR="00CE4B76">
        <w:rPr>
          <w:color w:val="000000" w:themeColor="text1"/>
        </w:rPr>
        <w:t xml:space="preserve"> stands were grouped into separate </w:t>
      </w:r>
      <w:r w:rsidR="009F471E">
        <w:rPr>
          <w:color w:val="000000" w:themeColor="text1"/>
        </w:rPr>
        <w:t>regeneration eras reflecting regeneration practices of the day</w:t>
      </w:r>
      <w:r w:rsidR="008A217B">
        <w:rPr>
          <w:color w:val="000000" w:themeColor="text1"/>
        </w:rPr>
        <w:t>, as follows:  stands</w:t>
      </w:r>
      <w:r w:rsidR="00CE4B76">
        <w:rPr>
          <w:color w:val="000000" w:themeColor="text1"/>
        </w:rPr>
        <w:t xml:space="preserve"> harvested prior to 1995</w:t>
      </w:r>
      <w:r w:rsidR="00010D0F">
        <w:rPr>
          <w:color w:val="000000" w:themeColor="text1"/>
        </w:rPr>
        <w:t>;</w:t>
      </w:r>
      <w:r w:rsidR="00CE4B76">
        <w:rPr>
          <w:color w:val="000000" w:themeColor="text1"/>
        </w:rPr>
        <w:t xml:space="preserve"> stands harvested between 1995 and 2008</w:t>
      </w:r>
      <w:r w:rsidR="00010D0F">
        <w:rPr>
          <w:color w:val="000000" w:themeColor="text1"/>
        </w:rPr>
        <w:t>;</w:t>
      </w:r>
      <w:r w:rsidR="00CE4B76">
        <w:rPr>
          <w:color w:val="000000" w:themeColor="text1"/>
        </w:rPr>
        <w:t xml:space="preserve"> and stands harvested from 2008 onward including future regenerated stands.</w:t>
      </w:r>
    </w:p>
    <w:p w:rsidR="00810A36" w:rsidRDefault="00CE4B76" w:rsidP="00810A36">
      <w:pPr>
        <w:spacing w:after="0"/>
        <w:rPr>
          <w:color w:val="000000" w:themeColor="text1"/>
        </w:rPr>
      </w:pPr>
      <w:r>
        <w:rPr>
          <w:color w:val="000000" w:themeColor="text1"/>
        </w:rPr>
        <w:t>T</w:t>
      </w:r>
      <w:r w:rsidR="00810A36">
        <w:rPr>
          <w:color w:val="000000" w:themeColor="text1"/>
        </w:rPr>
        <w:t>he licensee used the establishment date on the inventory for generating the stand yi</w:t>
      </w:r>
      <w:r w:rsidR="00E50AF3">
        <w:rPr>
          <w:color w:val="000000" w:themeColor="text1"/>
        </w:rPr>
        <w:t>e</w:t>
      </w:r>
      <w:r w:rsidR="00810A36">
        <w:rPr>
          <w:color w:val="000000" w:themeColor="text1"/>
        </w:rPr>
        <w:t>ld tables</w:t>
      </w:r>
      <w:r w:rsidR="00810A36" w:rsidRPr="00810A36">
        <w:rPr>
          <w:color w:val="000000" w:themeColor="text1"/>
        </w:rPr>
        <w:t xml:space="preserve"> </w:t>
      </w:r>
      <w:r w:rsidR="00810A36">
        <w:rPr>
          <w:color w:val="000000" w:themeColor="text1"/>
        </w:rPr>
        <w:t>for</w:t>
      </w:r>
      <w:r w:rsidR="00D902D3">
        <w:rPr>
          <w:color w:val="000000" w:themeColor="text1"/>
        </w:rPr>
        <w:t xml:space="preserve"> the</w:t>
      </w:r>
      <w:r w:rsidR="00810A36">
        <w:rPr>
          <w:color w:val="000000" w:themeColor="text1"/>
        </w:rPr>
        <w:t xml:space="preserve"> managed stands harvested prior to 1995.  These stands totalled 19</w:t>
      </w:r>
      <w:r w:rsidR="007E39FA">
        <w:rPr>
          <w:color w:val="000000" w:themeColor="text1"/>
        </w:rPr>
        <w:t> </w:t>
      </w:r>
      <w:r w:rsidR="00810A36">
        <w:rPr>
          <w:color w:val="000000" w:themeColor="text1"/>
        </w:rPr>
        <w:t>005 hectares.</w:t>
      </w:r>
    </w:p>
    <w:p w:rsidR="00CE4B76" w:rsidRDefault="00810A36" w:rsidP="00C747D3">
      <w:pPr>
        <w:spacing w:after="0"/>
        <w:rPr>
          <w:color w:val="000000" w:themeColor="text1"/>
        </w:rPr>
      </w:pPr>
      <w:r>
        <w:rPr>
          <w:color w:val="000000" w:themeColor="text1"/>
        </w:rPr>
        <w:t>F</w:t>
      </w:r>
      <w:r w:rsidR="00894C03" w:rsidRPr="00C747D3">
        <w:rPr>
          <w:color w:val="000000" w:themeColor="text1"/>
        </w:rPr>
        <w:t xml:space="preserve">or all </w:t>
      </w:r>
      <w:r w:rsidR="00C747D3">
        <w:rPr>
          <w:color w:val="000000" w:themeColor="text1"/>
        </w:rPr>
        <w:t xml:space="preserve">managed </w:t>
      </w:r>
      <w:r w:rsidR="00894C03" w:rsidRPr="00C747D3">
        <w:rPr>
          <w:color w:val="000000" w:themeColor="text1"/>
        </w:rPr>
        <w:t xml:space="preserve">stands harvested after 1995 except for stands </w:t>
      </w:r>
      <w:r w:rsidR="00CE4B76">
        <w:rPr>
          <w:color w:val="000000" w:themeColor="text1"/>
        </w:rPr>
        <w:t xml:space="preserve">managed </w:t>
      </w:r>
      <w:r w:rsidR="00C747D3">
        <w:rPr>
          <w:color w:val="000000" w:themeColor="text1"/>
        </w:rPr>
        <w:t xml:space="preserve">using the </w:t>
      </w:r>
      <w:proofErr w:type="spellStart"/>
      <w:r w:rsidR="00C747D3">
        <w:rPr>
          <w:color w:val="000000" w:themeColor="text1"/>
        </w:rPr>
        <w:t>shelterwood</w:t>
      </w:r>
      <w:proofErr w:type="spellEnd"/>
      <w:r w:rsidR="00C747D3">
        <w:rPr>
          <w:color w:val="000000" w:themeColor="text1"/>
        </w:rPr>
        <w:t xml:space="preserve"> system</w:t>
      </w:r>
      <w:r>
        <w:rPr>
          <w:color w:val="000000" w:themeColor="text1"/>
        </w:rPr>
        <w:t>, a two</w:t>
      </w:r>
      <w:r w:rsidR="007E39FA">
        <w:rPr>
          <w:color w:val="000000" w:themeColor="text1"/>
        </w:rPr>
        <w:noBreakHyphen/>
      </w:r>
      <w:r>
        <w:rPr>
          <w:color w:val="000000" w:themeColor="text1"/>
        </w:rPr>
        <w:t>year regeneration delay was assumed</w:t>
      </w:r>
      <w:r w:rsidR="00C747D3">
        <w:rPr>
          <w:color w:val="000000" w:themeColor="text1"/>
        </w:rPr>
        <w:t xml:space="preserve">.  </w:t>
      </w:r>
      <w:r w:rsidR="00CE4B76">
        <w:rPr>
          <w:color w:val="000000" w:themeColor="text1"/>
        </w:rPr>
        <w:t>For t</w:t>
      </w:r>
      <w:r>
        <w:rPr>
          <w:color w:val="000000" w:themeColor="text1"/>
        </w:rPr>
        <w:t xml:space="preserve">he spruce and balsam stands slated for </w:t>
      </w:r>
      <w:proofErr w:type="spellStart"/>
      <w:r>
        <w:rPr>
          <w:color w:val="000000" w:themeColor="text1"/>
        </w:rPr>
        <w:t>shelterwood</w:t>
      </w:r>
      <w:proofErr w:type="spellEnd"/>
      <w:r>
        <w:rPr>
          <w:color w:val="000000" w:themeColor="text1"/>
        </w:rPr>
        <w:t xml:space="preserve"> harvest</w:t>
      </w:r>
      <w:r w:rsidR="008A217B">
        <w:rPr>
          <w:color w:val="000000" w:themeColor="text1"/>
        </w:rPr>
        <w:t>,</w:t>
      </w:r>
      <w:r>
        <w:rPr>
          <w:color w:val="000000" w:themeColor="text1"/>
        </w:rPr>
        <w:t xml:space="preserve"> </w:t>
      </w:r>
      <w:r w:rsidR="00C747D3">
        <w:rPr>
          <w:color w:val="000000" w:themeColor="text1"/>
        </w:rPr>
        <w:t>the reg</w:t>
      </w:r>
      <w:r>
        <w:rPr>
          <w:color w:val="000000" w:themeColor="text1"/>
        </w:rPr>
        <w:t>e</w:t>
      </w:r>
      <w:r w:rsidR="00C747D3">
        <w:rPr>
          <w:color w:val="000000" w:themeColor="text1"/>
        </w:rPr>
        <w:t xml:space="preserve">neration delay was assumed to be </w:t>
      </w:r>
      <w:r w:rsidR="007E39FA">
        <w:rPr>
          <w:color w:val="000000" w:themeColor="text1"/>
        </w:rPr>
        <w:t>zero </w:t>
      </w:r>
      <w:r w:rsidR="00C747D3">
        <w:rPr>
          <w:color w:val="000000" w:themeColor="text1"/>
        </w:rPr>
        <w:t>years.</w:t>
      </w:r>
    </w:p>
    <w:p w:rsidR="0051605A" w:rsidRDefault="0051605A" w:rsidP="00C747D3">
      <w:pPr>
        <w:spacing w:after="0"/>
        <w:rPr>
          <w:color w:val="000000" w:themeColor="text1"/>
        </w:rPr>
      </w:pPr>
      <w:r>
        <w:rPr>
          <w:color w:val="000000" w:themeColor="text1"/>
        </w:rPr>
        <w:t>T</w:t>
      </w:r>
      <w:r w:rsidR="00C747D3">
        <w:rPr>
          <w:color w:val="000000" w:themeColor="text1"/>
        </w:rPr>
        <w:t xml:space="preserve">he licensee no longer uses the </w:t>
      </w:r>
      <w:proofErr w:type="spellStart"/>
      <w:r w:rsidR="00C747D3">
        <w:rPr>
          <w:color w:val="000000" w:themeColor="text1"/>
        </w:rPr>
        <w:t>shelterwood</w:t>
      </w:r>
      <w:proofErr w:type="spellEnd"/>
      <w:r w:rsidR="00C747D3">
        <w:rPr>
          <w:color w:val="000000" w:themeColor="text1"/>
        </w:rPr>
        <w:t xml:space="preserve"> </w:t>
      </w:r>
      <w:proofErr w:type="spellStart"/>
      <w:r w:rsidR="00CE4B76">
        <w:rPr>
          <w:color w:val="000000" w:themeColor="text1"/>
        </w:rPr>
        <w:t>silvicultural</w:t>
      </w:r>
      <w:proofErr w:type="spellEnd"/>
      <w:r w:rsidR="00CE4B76">
        <w:rPr>
          <w:color w:val="000000" w:themeColor="text1"/>
        </w:rPr>
        <w:t xml:space="preserve"> </w:t>
      </w:r>
      <w:r w:rsidR="00C747D3">
        <w:rPr>
          <w:color w:val="000000" w:themeColor="text1"/>
        </w:rPr>
        <w:t>system on TFL 48, as discussed under ‘</w:t>
      </w:r>
      <w:proofErr w:type="spellStart"/>
      <w:r w:rsidR="00C747D3">
        <w:rPr>
          <w:color w:val="000000" w:themeColor="text1"/>
        </w:rPr>
        <w:t>silvicultural</w:t>
      </w:r>
      <w:proofErr w:type="spellEnd"/>
      <w:r w:rsidR="00C747D3">
        <w:rPr>
          <w:color w:val="000000" w:themeColor="text1"/>
        </w:rPr>
        <w:t xml:space="preserve"> systems’</w:t>
      </w:r>
      <w:r w:rsidR="00810A36">
        <w:rPr>
          <w:color w:val="000000" w:themeColor="text1"/>
        </w:rPr>
        <w:t xml:space="preserve">.  </w:t>
      </w:r>
      <w:r w:rsidR="00EB499D">
        <w:rPr>
          <w:color w:val="000000" w:themeColor="text1"/>
        </w:rPr>
        <w:t xml:space="preserve">FLNR operations </w:t>
      </w:r>
      <w:proofErr w:type="gramStart"/>
      <w:r>
        <w:rPr>
          <w:color w:val="000000" w:themeColor="text1"/>
        </w:rPr>
        <w:t>staff</w:t>
      </w:r>
      <w:r w:rsidR="00E50AF3">
        <w:rPr>
          <w:color w:val="000000" w:themeColor="text1"/>
        </w:rPr>
        <w:t xml:space="preserve"> </w:t>
      </w:r>
      <w:r>
        <w:rPr>
          <w:color w:val="000000" w:themeColor="text1"/>
        </w:rPr>
        <w:t>indicate</w:t>
      </w:r>
      <w:proofErr w:type="gramEnd"/>
      <w:r>
        <w:rPr>
          <w:color w:val="000000" w:themeColor="text1"/>
        </w:rPr>
        <w:t xml:space="preserve"> that the </w:t>
      </w:r>
      <w:r w:rsidR="00C91713">
        <w:rPr>
          <w:color w:val="000000" w:themeColor="text1"/>
        </w:rPr>
        <w:t>two</w:t>
      </w:r>
      <w:r w:rsidR="007E39FA">
        <w:rPr>
          <w:color w:val="000000" w:themeColor="text1"/>
        </w:rPr>
        <w:noBreakHyphen/>
      </w:r>
      <w:r>
        <w:rPr>
          <w:color w:val="000000" w:themeColor="text1"/>
        </w:rPr>
        <w:t>year regeneration delay assumptions reflect current practice on the TFL.</w:t>
      </w:r>
    </w:p>
    <w:p w:rsidR="00C747D3" w:rsidRDefault="00E50AF3" w:rsidP="00C747D3">
      <w:pPr>
        <w:spacing w:after="0"/>
        <w:rPr>
          <w:color w:val="000000" w:themeColor="text1"/>
        </w:rPr>
      </w:pPr>
      <w:r>
        <w:rPr>
          <w:color w:val="000000" w:themeColor="text1"/>
        </w:rPr>
        <w:t xml:space="preserve">Of the stands to which the </w:t>
      </w:r>
      <w:r w:rsidR="007E39FA">
        <w:rPr>
          <w:color w:val="000000" w:themeColor="text1"/>
        </w:rPr>
        <w:t>zero</w:t>
      </w:r>
      <w:r w:rsidR="007E39FA">
        <w:rPr>
          <w:color w:val="000000" w:themeColor="text1"/>
        </w:rPr>
        <w:noBreakHyphen/>
      </w:r>
      <w:r>
        <w:rPr>
          <w:color w:val="000000" w:themeColor="text1"/>
        </w:rPr>
        <w:t>year regeneration delay was applied, a</w:t>
      </w:r>
      <w:r w:rsidR="00CE4B76">
        <w:rPr>
          <w:color w:val="000000" w:themeColor="text1"/>
        </w:rPr>
        <w:t>pproximately 2834</w:t>
      </w:r>
      <w:r w:rsidR="007E39FA">
        <w:rPr>
          <w:color w:val="000000" w:themeColor="text1"/>
        </w:rPr>
        <w:t> </w:t>
      </w:r>
      <w:r w:rsidR="00CE4B76">
        <w:rPr>
          <w:color w:val="000000" w:themeColor="text1"/>
        </w:rPr>
        <w:t>hectares were harvested between 1995 and 2008</w:t>
      </w:r>
      <w:r w:rsidR="00D902D3">
        <w:rPr>
          <w:color w:val="000000" w:themeColor="text1"/>
        </w:rPr>
        <w:t xml:space="preserve">.  An </w:t>
      </w:r>
      <w:r w:rsidR="00CE4B76">
        <w:rPr>
          <w:color w:val="000000" w:themeColor="text1"/>
        </w:rPr>
        <w:t xml:space="preserve">additional 18 483 hectares </w:t>
      </w:r>
      <w:r w:rsidR="00D902D3">
        <w:rPr>
          <w:color w:val="000000" w:themeColor="text1"/>
        </w:rPr>
        <w:t xml:space="preserve">of managed stands </w:t>
      </w:r>
      <w:r w:rsidR="00CE4B76">
        <w:rPr>
          <w:color w:val="000000" w:themeColor="text1"/>
        </w:rPr>
        <w:t xml:space="preserve">assumed harvested after 2008 also had </w:t>
      </w:r>
      <w:r w:rsidR="00D902D3">
        <w:rPr>
          <w:color w:val="000000" w:themeColor="text1"/>
        </w:rPr>
        <w:t>a</w:t>
      </w:r>
      <w:r w:rsidR="00CE4B76">
        <w:rPr>
          <w:color w:val="000000" w:themeColor="text1"/>
        </w:rPr>
        <w:t xml:space="preserve"> </w:t>
      </w:r>
      <w:r w:rsidR="007E39FA">
        <w:rPr>
          <w:color w:val="000000" w:themeColor="text1"/>
        </w:rPr>
        <w:t>zero</w:t>
      </w:r>
      <w:r w:rsidR="007E39FA">
        <w:rPr>
          <w:color w:val="000000" w:themeColor="text1"/>
        </w:rPr>
        <w:noBreakHyphen/>
      </w:r>
      <w:r w:rsidR="00CE4B76">
        <w:rPr>
          <w:color w:val="000000" w:themeColor="text1"/>
        </w:rPr>
        <w:t>year regeneration delay applied.</w:t>
      </w:r>
    </w:p>
    <w:p w:rsidR="00C747D3" w:rsidRPr="00C95B1A" w:rsidRDefault="005F30CC" w:rsidP="00C747D3">
      <w:pPr>
        <w:spacing w:after="0"/>
        <w:rPr>
          <w:color w:val="000000" w:themeColor="text1"/>
        </w:rPr>
      </w:pPr>
      <w:r>
        <w:rPr>
          <w:color w:val="000000" w:themeColor="text1"/>
        </w:rPr>
        <w:t>I have</w:t>
      </w:r>
      <w:r w:rsidR="0051605A">
        <w:rPr>
          <w:color w:val="000000" w:themeColor="text1"/>
        </w:rPr>
        <w:t xml:space="preserve"> </w:t>
      </w:r>
      <w:r w:rsidR="00C747D3">
        <w:rPr>
          <w:color w:val="000000" w:themeColor="text1"/>
        </w:rPr>
        <w:t>reviewed the information regarding the regeneration delay a</w:t>
      </w:r>
      <w:r w:rsidR="00C91713">
        <w:rPr>
          <w:color w:val="000000" w:themeColor="text1"/>
        </w:rPr>
        <w:t xml:space="preserve">ssumptions used in the base case and discussed </w:t>
      </w:r>
      <w:r>
        <w:rPr>
          <w:color w:val="000000" w:themeColor="text1"/>
        </w:rPr>
        <w:t xml:space="preserve">it </w:t>
      </w:r>
      <w:r w:rsidR="00C91713">
        <w:rPr>
          <w:color w:val="000000" w:themeColor="text1"/>
        </w:rPr>
        <w:t>w</w:t>
      </w:r>
      <w:r>
        <w:rPr>
          <w:color w:val="000000" w:themeColor="text1"/>
        </w:rPr>
        <w:t xml:space="preserve">ith </w:t>
      </w:r>
      <w:r w:rsidR="00EB499D">
        <w:rPr>
          <w:color w:val="000000" w:themeColor="text1"/>
        </w:rPr>
        <w:t>FLNR operations</w:t>
      </w:r>
      <w:r>
        <w:rPr>
          <w:color w:val="000000" w:themeColor="text1"/>
        </w:rPr>
        <w:t xml:space="preserve"> staff</w:t>
      </w:r>
      <w:r w:rsidR="00C747D3">
        <w:rPr>
          <w:color w:val="000000" w:themeColor="text1"/>
        </w:rPr>
        <w:t>.</w:t>
      </w:r>
      <w:r w:rsidR="0051605A">
        <w:rPr>
          <w:color w:val="000000" w:themeColor="text1"/>
        </w:rPr>
        <w:t xml:space="preserve">  </w:t>
      </w:r>
      <w:r w:rsidR="00C721F8">
        <w:rPr>
          <w:color w:val="000000" w:themeColor="text1"/>
        </w:rPr>
        <w:t xml:space="preserve">I accept that the regeneration delay applied to </w:t>
      </w:r>
      <w:proofErr w:type="spellStart"/>
      <w:r w:rsidR="00C721F8">
        <w:rPr>
          <w:color w:val="000000" w:themeColor="text1"/>
        </w:rPr>
        <w:t>shelterwood</w:t>
      </w:r>
      <w:proofErr w:type="spellEnd"/>
      <w:r w:rsidR="00C721F8">
        <w:rPr>
          <w:color w:val="000000" w:themeColor="text1"/>
        </w:rPr>
        <w:t xml:space="preserve"> stands </w:t>
      </w:r>
      <w:r>
        <w:rPr>
          <w:color w:val="000000" w:themeColor="text1"/>
        </w:rPr>
        <w:t xml:space="preserve">harvested </w:t>
      </w:r>
      <w:proofErr w:type="gramStart"/>
      <w:r>
        <w:rPr>
          <w:color w:val="000000" w:themeColor="text1"/>
        </w:rPr>
        <w:t>between</w:t>
      </w:r>
      <w:r w:rsidR="00C721F8">
        <w:rPr>
          <w:color w:val="000000" w:themeColor="text1"/>
        </w:rPr>
        <w:t xml:space="preserve"> 1995 to 2008</w:t>
      </w:r>
      <w:proofErr w:type="gramEnd"/>
      <w:r w:rsidR="00C721F8">
        <w:rPr>
          <w:color w:val="000000" w:themeColor="text1"/>
        </w:rPr>
        <w:t xml:space="preserve"> was appropriate.  </w:t>
      </w:r>
      <w:r w:rsidR="0051605A">
        <w:rPr>
          <w:color w:val="000000" w:themeColor="text1"/>
        </w:rPr>
        <w:t xml:space="preserve">However, </w:t>
      </w:r>
      <w:r>
        <w:rPr>
          <w:color w:val="000000" w:themeColor="text1"/>
        </w:rPr>
        <w:t xml:space="preserve">for the stands </w:t>
      </w:r>
      <w:r w:rsidRPr="00C95B1A">
        <w:rPr>
          <w:color w:val="000000" w:themeColor="text1"/>
        </w:rPr>
        <w:t>harvested after 2008, a two</w:t>
      </w:r>
      <w:r w:rsidR="007E39FA">
        <w:rPr>
          <w:color w:val="000000" w:themeColor="text1"/>
        </w:rPr>
        <w:noBreakHyphen/>
      </w:r>
      <w:r w:rsidRPr="00C95B1A">
        <w:rPr>
          <w:color w:val="000000" w:themeColor="text1"/>
        </w:rPr>
        <w:t xml:space="preserve">year regeneration delay should have been applied </w:t>
      </w:r>
      <w:r w:rsidR="0051605A" w:rsidRPr="00C95B1A">
        <w:rPr>
          <w:color w:val="000000" w:themeColor="text1"/>
        </w:rPr>
        <w:t xml:space="preserve">given that </w:t>
      </w:r>
      <w:proofErr w:type="spellStart"/>
      <w:r w:rsidR="0051605A" w:rsidRPr="00C95B1A">
        <w:rPr>
          <w:color w:val="000000" w:themeColor="text1"/>
        </w:rPr>
        <w:t>shelterwood</w:t>
      </w:r>
      <w:proofErr w:type="spellEnd"/>
      <w:r w:rsidR="0051605A" w:rsidRPr="00C95B1A">
        <w:rPr>
          <w:color w:val="000000" w:themeColor="text1"/>
        </w:rPr>
        <w:t xml:space="preserve"> is no longer used on TFL</w:t>
      </w:r>
      <w:r w:rsidR="007E39FA">
        <w:rPr>
          <w:color w:val="000000" w:themeColor="text1"/>
        </w:rPr>
        <w:t> </w:t>
      </w:r>
      <w:r w:rsidR="0051605A" w:rsidRPr="00C95B1A">
        <w:rPr>
          <w:color w:val="000000" w:themeColor="text1"/>
        </w:rPr>
        <w:t xml:space="preserve">48. </w:t>
      </w:r>
      <w:r w:rsidR="00D902D3" w:rsidRPr="00C95B1A">
        <w:rPr>
          <w:color w:val="000000" w:themeColor="text1"/>
        </w:rPr>
        <w:t xml:space="preserve"> I note that </w:t>
      </w:r>
      <w:r w:rsidR="009F471E" w:rsidRPr="00C95B1A">
        <w:rPr>
          <w:color w:val="000000" w:themeColor="text1"/>
        </w:rPr>
        <w:t xml:space="preserve">the </w:t>
      </w:r>
      <w:r w:rsidR="00D902D3" w:rsidRPr="00C95B1A">
        <w:rPr>
          <w:color w:val="000000" w:themeColor="text1"/>
        </w:rPr>
        <w:t>discrepancy between what was modelled and current practice has a negligible impact to timber supply</w:t>
      </w:r>
      <w:r w:rsidRPr="00C95B1A">
        <w:rPr>
          <w:color w:val="000000" w:themeColor="text1"/>
        </w:rPr>
        <w:t xml:space="preserve">, and I make no adjustments on this account.  However, </w:t>
      </w:r>
      <w:r w:rsidR="0074426F" w:rsidRPr="00C95B1A">
        <w:rPr>
          <w:color w:val="000000" w:themeColor="text1"/>
        </w:rPr>
        <w:t xml:space="preserve">it is my </w:t>
      </w:r>
      <w:proofErr w:type="gramStart"/>
      <w:r w:rsidR="0074426F" w:rsidRPr="00C95B1A">
        <w:rPr>
          <w:color w:val="000000" w:themeColor="text1"/>
        </w:rPr>
        <w:t>expectation</w:t>
      </w:r>
      <w:r w:rsidR="00D902D3" w:rsidRPr="00C95B1A">
        <w:rPr>
          <w:color w:val="000000" w:themeColor="text1"/>
        </w:rPr>
        <w:t xml:space="preserve"> that the licensee </w:t>
      </w:r>
      <w:r w:rsidR="001A4812" w:rsidRPr="00C95B1A">
        <w:rPr>
          <w:color w:val="000000" w:themeColor="text1"/>
        </w:rPr>
        <w:t xml:space="preserve">will </w:t>
      </w:r>
      <w:r w:rsidR="00D902D3" w:rsidRPr="00C95B1A">
        <w:rPr>
          <w:color w:val="000000" w:themeColor="text1"/>
        </w:rPr>
        <w:t xml:space="preserve">ensure the modelling assumptions for regeneration delay </w:t>
      </w:r>
      <w:r w:rsidRPr="00C95B1A">
        <w:rPr>
          <w:color w:val="000000" w:themeColor="text1"/>
        </w:rPr>
        <w:t xml:space="preserve">accurately </w:t>
      </w:r>
      <w:r w:rsidR="00D902D3" w:rsidRPr="00C95B1A">
        <w:rPr>
          <w:color w:val="000000" w:themeColor="text1"/>
        </w:rPr>
        <w:t>reflect</w:t>
      </w:r>
      <w:proofErr w:type="gramEnd"/>
      <w:r w:rsidR="00D902D3" w:rsidRPr="00C95B1A">
        <w:rPr>
          <w:color w:val="000000" w:themeColor="text1"/>
        </w:rPr>
        <w:t xml:space="preserve"> current </w:t>
      </w:r>
      <w:r w:rsidRPr="00C95B1A">
        <w:rPr>
          <w:color w:val="000000" w:themeColor="text1"/>
        </w:rPr>
        <w:t xml:space="preserve">operational </w:t>
      </w:r>
      <w:r w:rsidR="00D902D3" w:rsidRPr="00C95B1A">
        <w:rPr>
          <w:color w:val="000000" w:themeColor="text1"/>
        </w:rPr>
        <w:t>practice</w:t>
      </w:r>
      <w:r w:rsidRPr="00C95B1A">
        <w:rPr>
          <w:color w:val="000000" w:themeColor="text1"/>
        </w:rPr>
        <w:t xml:space="preserve">s </w:t>
      </w:r>
      <w:r w:rsidR="009F471E" w:rsidRPr="00C95B1A">
        <w:rPr>
          <w:color w:val="000000" w:themeColor="text1"/>
        </w:rPr>
        <w:t>for the next determination.</w:t>
      </w:r>
    </w:p>
    <w:p w:rsidR="00D3693B" w:rsidRPr="00C95B1A" w:rsidRDefault="00D3693B" w:rsidP="00D3693B">
      <w:pPr>
        <w:pStyle w:val="Heading3"/>
        <w:rPr>
          <w:lang w:val="en-CA"/>
        </w:rPr>
      </w:pPr>
      <w:bookmarkStart w:id="257" w:name="_Toc432658639"/>
      <w:r w:rsidRPr="00C95B1A">
        <w:rPr>
          <w:lang w:val="en-CA"/>
        </w:rPr>
        <w:t xml:space="preserve">- </w:t>
      </w:r>
      <w:proofErr w:type="gramStart"/>
      <w:r w:rsidRPr="00C95B1A">
        <w:rPr>
          <w:lang w:val="en-CA"/>
        </w:rPr>
        <w:t>not</w:t>
      </w:r>
      <w:proofErr w:type="gramEnd"/>
      <w:r w:rsidRPr="00C95B1A">
        <w:rPr>
          <w:lang w:val="en-CA"/>
        </w:rPr>
        <w:t xml:space="preserve"> s</w:t>
      </w:r>
      <w:r w:rsidR="00D56846" w:rsidRPr="00C95B1A">
        <w:rPr>
          <w:lang w:val="en-CA"/>
        </w:rPr>
        <w:t>ufficient</w:t>
      </w:r>
      <w:r w:rsidRPr="00C95B1A">
        <w:rPr>
          <w:lang w:val="en-CA"/>
        </w:rPr>
        <w:t>ly restocked</w:t>
      </w:r>
      <w:bookmarkEnd w:id="257"/>
    </w:p>
    <w:p w:rsidR="00D56846" w:rsidRPr="00C95B1A" w:rsidRDefault="00D56846" w:rsidP="00D3693B">
      <w:r w:rsidRPr="00C95B1A">
        <w:t>The licensee indicates</w:t>
      </w:r>
      <w:r w:rsidR="008B1853" w:rsidRPr="00C95B1A">
        <w:t xml:space="preserve"> </w:t>
      </w:r>
      <w:r w:rsidR="008C5852" w:rsidRPr="00C95B1A">
        <w:t xml:space="preserve">there are </w:t>
      </w:r>
      <w:r w:rsidRPr="00C95B1A">
        <w:t xml:space="preserve">709 hectares of low stocking sites </w:t>
      </w:r>
      <w:r w:rsidR="00290B5E" w:rsidRPr="00C95B1A">
        <w:t xml:space="preserve">on the TFL </w:t>
      </w:r>
      <w:r w:rsidRPr="00C95B1A">
        <w:t>that were previously considered to be backlog not</w:t>
      </w:r>
      <w:r w:rsidR="007E39FA">
        <w:noBreakHyphen/>
      </w:r>
      <w:r w:rsidRPr="00C95B1A">
        <w:t>satisfactorily</w:t>
      </w:r>
      <w:r w:rsidR="007E39FA">
        <w:noBreakHyphen/>
      </w:r>
      <w:r w:rsidRPr="00C95B1A">
        <w:t>restocked area.  These areas</w:t>
      </w:r>
      <w:r w:rsidR="008C5852" w:rsidRPr="00C95B1A">
        <w:t xml:space="preserve">, harvested prior to 1987, were grouped into analysis units and </w:t>
      </w:r>
      <w:r w:rsidR="00924715" w:rsidRPr="00C95B1A">
        <w:t>assigned</w:t>
      </w:r>
      <w:r w:rsidR="008C5852" w:rsidRPr="00C95B1A">
        <w:t xml:space="preserve"> low stocking densities for generation of the yield curves</w:t>
      </w:r>
      <w:r w:rsidR="008B1853" w:rsidRPr="00C95B1A">
        <w:t xml:space="preserve"> in the base case</w:t>
      </w:r>
      <w:r w:rsidR="008C5852" w:rsidRPr="00C95B1A">
        <w:t>.</w:t>
      </w:r>
    </w:p>
    <w:p w:rsidR="00503C48" w:rsidRPr="00C95B1A" w:rsidRDefault="00EB499D" w:rsidP="00D3693B">
      <w:r w:rsidRPr="00C95B1A">
        <w:t xml:space="preserve">FLNR operations </w:t>
      </w:r>
      <w:proofErr w:type="gramStart"/>
      <w:r w:rsidR="00D15C57" w:rsidRPr="00C95B1A">
        <w:t xml:space="preserve">staff </w:t>
      </w:r>
      <w:r w:rsidR="00185B7F" w:rsidRPr="00C95B1A">
        <w:t>confirm</w:t>
      </w:r>
      <w:proofErr w:type="gramEnd"/>
      <w:r w:rsidR="00185B7F" w:rsidRPr="00C95B1A">
        <w:t xml:space="preserve"> </w:t>
      </w:r>
      <w:r w:rsidR="00D15C57" w:rsidRPr="00C95B1A">
        <w:t xml:space="preserve">that the approach used in the analysis was reflective of current </w:t>
      </w:r>
      <w:r w:rsidR="008B1853" w:rsidRPr="00C95B1A">
        <w:t>conditions on the TFL</w:t>
      </w:r>
      <w:r w:rsidR="00D15C57" w:rsidRPr="00C95B1A">
        <w:t xml:space="preserve">.  </w:t>
      </w:r>
      <w:r w:rsidR="008B1853" w:rsidRPr="00C95B1A">
        <w:t xml:space="preserve">However, </w:t>
      </w:r>
      <w:r w:rsidR="00D56846" w:rsidRPr="00C95B1A">
        <w:t xml:space="preserve">Forest Analysis and Inventory Branch </w:t>
      </w:r>
      <w:r w:rsidR="00503C48" w:rsidRPr="00C95B1A">
        <w:t xml:space="preserve">(FAIB) </w:t>
      </w:r>
      <w:proofErr w:type="gramStart"/>
      <w:r w:rsidR="00D56846" w:rsidRPr="00C95B1A">
        <w:t>staff note</w:t>
      </w:r>
      <w:proofErr w:type="gramEnd"/>
      <w:r w:rsidR="00D56846" w:rsidRPr="00C95B1A">
        <w:t xml:space="preserve"> that</w:t>
      </w:r>
      <w:r w:rsidR="008C5852" w:rsidRPr="00C95B1A">
        <w:t xml:space="preserve"> review of the </w:t>
      </w:r>
      <w:r w:rsidR="00246A41" w:rsidRPr="00C95B1A">
        <w:t xml:space="preserve">analysis </w:t>
      </w:r>
      <w:r w:rsidR="008C5852" w:rsidRPr="00C95B1A">
        <w:t>information suggests</w:t>
      </w:r>
      <w:r w:rsidR="00D56846" w:rsidRPr="00C95B1A">
        <w:t xml:space="preserve"> only </w:t>
      </w:r>
      <w:r w:rsidR="00290B5E" w:rsidRPr="00C95B1A">
        <w:t>470 </w:t>
      </w:r>
      <w:r w:rsidR="00D56846" w:rsidRPr="00C95B1A">
        <w:t>hectares were modelled with low stocking</w:t>
      </w:r>
      <w:r w:rsidR="00D15C57" w:rsidRPr="00C95B1A">
        <w:t xml:space="preserve"> assumptions</w:t>
      </w:r>
      <w:r w:rsidR="00503C48" w:rsidRPr="00C95B1A">
        <w:t>.</w:t>
      </w:r>
    </w:p>
    <w:p w:rsidR="008C5852" w:rsidRPr="00D56846" w:rsidRDefault="00503C48" w:rsidP="00D3693B">
      <w:r w:rsidRPr="00C95B1A">
        <w:t xml:space="preserve">In considering this information, I accept that the discrepancy in these two areas is small and has a negligible impact on timber supply.  For this determination, </w:t>
      </w:r>
      <w:r w:rsidR="008C5852" w:rsidRPr="00C95B1A">
        <w:t xml:space="preserve">I accept the assumptions </w:t>
      </w:r>
      <w:r w:rsidRPr="00C95B1A">
        <w:t>as</w:t>
      </w:r>
      <w:r w:rsidR="008C5852" w:rsidRPr="00C95B1A">
        <w:t xml:space="preserve"> modelled; however, I </w:t>
      </w:r>
      <w:r w:rsidR="00A87B9B" w:rsidRPr="00C95B1A">
        <w:t>expect</w:t>
      </w:r>
      <w:r w:rsidRPr="00C95B1A">
        <w:t xml:space="preserve"> the licensee </w:t>
      </w:r>
      <w:r w:rsidR="00A87B9B" w:rsidRPr="00C95B1A">
        <w:t xml:space="preserve">will </w:t>
      </w:r>
      <w:r w:rsidRPr="00C95B1A">
        <w:t>ensure</w:t>
      </w:r>
      <w:r w:rsidR="008C5852" w:rsidRPr="00C95B1A">
        <w:t xml:space="preserve"> low stocking sites are reflected accurately </w:t>
      </w:r>
      <w:r w:rsidR="00290B5E" w:rsidRPr="00C95B1A">
        <w:t xml:space="preserve">for </w:t>
      </w:r>
      <w:r w:rsidR="008C5852" w:rsidRPr="00C95B1A">
        <w:t>the next</w:t>
      </w:r>
      <w:r w:rsidR="008C5852">
        <w:t xml:space="preserve"> </w:t>
      </w:r>
      <w:r w:rsidR="00290B5E">
        <w:t>determination</w:t>
      </w:r>
      <w:r w:rsidR="008C5852">
        <w:t>.</w:t>
      </w:r>
    </w:p>
    <w:p w:rsidR="008273A5" w:rsidRPr="00463753" w:rsidRDefault="008273A5" w:rsidP="008273A5">
      <w:pPr>
        <w:pStyle w:val="NormalIndent"/>
        <w:keepNext/>
        <w:tabs>
          <w:tab w:val="clear" w:pos="360"/>
        </w:tabs>
        <w:spacing w:before="240" w:line="240" w:lineRule="atLeast"/>
        <w:ind w:left="850" w:hanging="562"/>
        <w:rPr>
          <w:rFonts w:ascii="Times New Roman" w:hAnsi="Times New Roman"/>
          <w:color w:val="000000" w:themeColor="text1"/>
          <w:sz w:val="20"/>
          <w:lang w:val="en-CA"/>
        </w:rPr>
      </w:pPr>
      <w:r w:rsidRPr="00634EC4">
        <w:rPr>
          <w:rFonts w:ascii="Times New Roman" w:hAnsi="Times New Roman"/>
          <w:b/>
          <w:color w:val="000000" w:themeColor="text1"/>
          <w:sz w:val="20"/>
          <w:lang w:val="en-CA"/>
        </w:rPr>
        <w:t xml:space="preserve">Section 8 (8) (a) (iii) </w:t>
      </w:r>
      <w:proofErr w:type="spellStart"/>
      <w:r w:rsidRPr="00634EC4">
        <w:rPr>
          <w:rFonts w:ascii="Times New Roman" w:hAnsi="Times New Roman"/>
          <w:b/>
          <w:color w:val="000000" w:themeColor="text1"/>
          <w:sz w:val="20"/>
          <w:lang w:val="en-CA"/>
        </w:rPr>
        <w:t>silvicultural</w:t>
      </w:r>
      <w:proofErr w:type="spellEnd"/>
      <w:r w:rsidRPr="00634EC4">
        <w:rPr>
          <w:rFonts w:ascii="Times New Roman" w:hAnsi="Times New Roman"/>
          <w:b/>
          <w:color w:val="000000" w:themeColor="text1"/>
          <w:sz w:val="20"/>
          <w:lang w:val="en-CA"/>
        </w:rPr>
        <w:t xml:space="preserve"> treatments to be applied to the area:</w:t>
      </w:r>
    </w:p>
    <w:p w:rsidR="00747ACC" w:rsidRPr="00747ACC" w:rsidRDefault="00747ACC" w:rsidP="00747ACC">
      <w:pPr>
        <w:pStyle w:val="Heading3"/>
        <w:rPr>
          <w:lang w:val="en-CA"/>
        </w:rPr>
      </w:pPr>
      <w:bookmarkStart w:id="258" w:name="_Toc432658640"/>
      <w:r w:rsidRPr="00004ABD">
        <w:rPr>
          <w:lang w:val="en-CA"/>
        </w:rPr>
        <w:t xml:space="preserve">- </w:t>
      </w:r>
      <w:proofErr w:type="spellStart"/>
      <w:proofErr w:type="gramStart"/>
      <w:r w:rsidRPr="00004ABD">
        <w:rPr>
          <w:lang w:val="en-CA"/>
        </w:rPr>
        <w:t>silvicultural</w:t>
      </w:r>
      <w:proofErr w:type="spellEnd"/>
      <w:proofErr w:type="gramEnd"/>
      <w:r w:rsidRPr="00004ABD">
        <w:rPr>
          <w:lang w:val="en-CA"/>
        </w:rPr>
        <w:t xml:space="preserve"> systems</w:t>
      </w:r>
      <w:bookmarkEnd w:id="258"/>
    </w:p>
    <w:p w:rsidR="00C721F8" w:rsidRDefault="00B53577" w:rsidP="00922763">
      <w:pPr>
        <w:rPr>
          <w:lang w:val="en-US"/>
        </w:rPr>
      </w:pPr>
      <w:r>
        <w:rPr>
          <w:lang w:val="en-US"/>
        </w:rPr>
        <w:t xml:space="preserve">The current </w:t>
      </w:r>
      <w:proofErr w:type="spellStart"/>
      <w:r>
        <w:rPr>
          <w:lang w:val="en-US"/>
        </w:rPr>
        <w:t>silvicultural</w:t>
      </w:r>
      <w:proofErr w:type="spellEnd"/>
      <w:r>
        <w:rPr>
          <w:lang w:val="en-US"/>
        </w:rPr>
        <w:t xml:space="preserve"> system </w:t>
      </w:r>
      <w:r w:rsidR="002C07B0">
        <w:rPr>
          <w:lang w:val="en-US"/>
        </w:rPr>
        <w:t xml:space="preserve">in </w:t>
      </w:r>
      <w:r>
        <w:rPr>
          <w:lang w:val="en-US"/>
        </w:rPr>
        <w:t>use on TFL</w:t>
      </w:r>
      <w:r w:rsidR="00DB07F8">
        <w:rPr>
          <w:lang w:val="en-US"/>
        </w:rPr>
        <w:t> </w:t>
      </w:r>
      <w:r>
        <w:rPr>
          <w:lang w:val="en-US"/>
        </w:rPr>
        <w:t xml:space="preserve">48 is </w:t>
      </w:r>
      <w:proofErr w:type="spellStart"/>
      <w:r>
        <w:rPr>
          <w:lang w:val="en-US"/>
        </w:rPr>
        <w:t>clearcut</w:t>
      </w:r>
      <w:proofErr w:type="spellEnd"/>
      <w:r>
        <w:rPr>
          <w:lang w:val="en-US"/>
        </w:rPr>
        <w:t xml:space="preserve"> harvesting.</w:t>
      </w:r>
    </w:p>
    <w:p w:rsidR="00C721F8" w:rsidRDefault="00503C48" w:rsidP="00922763">
      <w:pPr>
        <w:rPr>
          <w:lang w:val="en-US"/>
        </w:rPr>
      </w:pPr>
      <w:r>
        <w:rPr>
          <w:lang w:val="en-US"/>
        </w:rPr>
        <w:t>T</w:t>
      </w:r>
      <w:r w:rsidR="002C07B0">
        <w:rPr>
          <w:lang w:val="en-US"/>
        </w:rPr>
        <w:t xml:space="preserve">he </w:t>
      </w:r>
      <w:r w:rsidR="00B81857">
        <w:rPr>
          <w:lang w:val="en-US"/>
        </w:rPr>
        <w:t xml:space="preserve">licensee used the </w:t>
      </w:r>
      <w:proofErr w:type="spellStart"/>
      <w:r w:rsidR="002C07B0">
        <w:rPr>
          <w:lang w:val="en-US"/>
        </w:rPr>
        <w:t>shelterwood</w:t>
      </w:r>
      <w:proofErr w:type="spellEnd"/>
      <w:r w:rsidR="002C07B0">
        <w:rPr>
          <w:lang w:val="en-US"/>
        </w:rPr>
        <w:t xml:space="preserve"> system </w:t>
      </w:r>
      <w:r>
        <w:rPr>
          <w:lang w:val="en-US"/>
        </w:rPr>
        <w:t xml:space="preserve">until 2008 </w:t>
      </w:r>
      <w:r w:rsidR="002C07B0">
        <w:rPr>
          <w:lang w:val="en-US"/>
        </w:rPr>
        <w:t xml:space="preserve">to harvest </w:t>
      </w:r>
      <w:r w:rsidR="00B53577">
        <w:rPr>
          <w:lang w:val="en-US"/>
        </w:rPr>
        <w:t>mature and over</w:t>
      </w:r>
      <w:r w:rsidR="007E39FA">
        <w:rPr>
          <w:lang w:val="en-US"/>
        </w:rPr>
        <w:noBreakHyphen/>
      </w:r>
      <w:r w:rsidR="00B53577">
        <w:rPr>
          <w:lang w:val="en-US"/>
        </w:rPr>
        <w:t>mature</w:t>
      </w:r>
      <w:r w:rsidR="00B81857">
        <w:rPr>
          <w:lang w:val="en-US"/>
        </w:rPr>
        <w:t xml:space="preserve"> uneven</w:t>
      </w:r>
      <w:r w:rsidR="007E39FA">
        <w:rPr>
          <w:lang w:val="en-US"/>
        </w:rPr>
        <w:noBreakHyphen/>
      </w:r>
      <w:r w:rsidR="00B81857">
        <w:rPr>
          <w:lang w:val="en-US"/>
        </w:rPr>
        <w:t>aged two</w:t>
      </w:r>
      <w:r w:rsidR="007E39FA">
        <w:rPr>
          <w:lang w:val="en-US"/>
        </w:rPr>
        <w:noBreakHyphen/>
      </w:r>
      <w:r w:rsidR="00B81857">
        <w:rPr>
          <w:lang w:val="en-US"/>
        </w:rPr>
        <w:t>layered stands on the TFL</w:t>
      </w:r>
      <w:r>
        <w:rPr>
          <w:lang w:val="en-US"/>
        </w:rPr>
        <w:t>; these stands were</w:t>
      </w:r>
      <w:r w:rsidR="00B81857">
        <w:rPr>
          <w:lang w:val="en-US"/>
        </w:rPr>
        <w:t xml:space="preserve"> primarily balsam </w:t>
      </w:r>
      <w:r w:rsidR="004E5352">
        <w:rPr>
          <w:lang w:val="en-US"/>
        </w:rPr>
        <w:t xml:space="preserve">stands </w:t>
      </w:r>
      <w:r w:rsidR="00B81857">
        <w:rPr>
          <w:lang w:val="en-US"/>
        </w:rPr>
        <w:t xml:space="preserve">with spruce </w:t>
      </w:r>
      <w:proofErr w:type="spellStart"/>
      <w:r w:rsidR="00B81857">
        <w:rPr>
          <w:lang w:val="en-US"/>
        </w:rPr>
        <w:t>understor</w:t>
      </w:r>
      <w:r w:rsidR="00F6233D">
        <w:rPr>
          <w:lang w:val="en-US"/>
        </w:rPr>
        <w:t>e</w:t>
      </w:r>
      <w:r w:rsidR="00B81857">
        <w:rPr>
          <w:lang w:val="en-US"/>
        </w:rPr>
        <w:t>y</w:t>
      </w:r>
      <w:proofErr w:type="spellEnd"/>
      <w:r w:rsidR="00B81857">
        <w:rPr>
          <w:lang w:val="en-US"/>
        </w:rPr>
        <w:t xml:space="preserve"> or spruce with a balsam </w:t>
      </w:r>
      <w:proofErr w:type="spellStart"/>
      <w:r w:rsidR="00B81857">
        <w:rPr>
          <w:lang w:val="en-US"/>
        </w:rPr>
        <w:t>understor</w:t>
      </w:r>
      <w:r w:rsidR="00F6233D">
        <w:rPr>
          <w:lang w:val="en-US"/>
        </w:rPr>
        <w:t>e</w:t>
      </w:r>
      <w:r w:rsidR="00B81857">
        <w:rPr>
          <w:lang w:val="en-US"/>
        </w:rPr>
        <w:t>y</w:t>
      </w:r>
      <w:proofErr w:type="spellEnd"/>
      <w:r w:rsidR="00B53577">
        <w:rPr>
          <w:lang w:val="en-US"/>
        </w:rPr>
        <w:t xml:space="preserve">.  In the 2006 analysis, </w:t>
      </w:r>
      <w:r w:rsidR="002C07B0">
        <w:rPr>
          <w:lang w:val="en-US"/>
        </w:rPr>
        <w:t xml:space="preserve">the </w:t>
      </w:r>
      <w:r w:rsidR="00B81857">
        <w:rPr>
          <w:lang w:val="en-US"/>
        </w:rPr>
        <w:t xml:space="preserve">use of </w:t>
      </w:r>
      <w:r w:rsidR="00C721F8">
        <w:rPr>
          <w:lang w:val="en-US"/>
        </w:rPr>
        <w:t xml:space="preserve">this </w:t>
      </w:r>
      <w:proofErr w:type="spellStart"/>
      <w:r w:rsidR="00C721F8">
        <w:rPr>
          <w:lang w:val="en-US"/>
        </w:rPr>
        <w:t>silvicultural</w:t>
      </w:r>
      <w:proofErr w:type="spellEnd"/>
      <w:r w:rsidR="00C721F8">
        <w:rPr>
          <w:lang w:val="en-US"/>
        </w:rPr>
        <w:t xml:space="preserve"> system</w:t>
      </w:r>
      <w:r w:rsidR="002C07B0">
        <w:rPr>
          <w:lang w:val="en-US"/>
        </w:rPr>
        <w:t xml:space="preserve"> </w:t>
      </w:r>
      <w:r w:rsidR="00C721F8">
        <w:rPr>
          <w:lang w:val="en-US"/>
        </w:rPr>
        <w:t xml:space="preserve">was reflected by the application of an extra </w:t>
      </w:r>
      <w:r w:rsidR="005448EC">
        <w:rPr>
          <w:lang w:val="en-US"/>
        </w:rPr>
        <w:t>five</w:t>
      </w:r>
      <w:r w:rsidR="002C07B0">
        <w:rPr>
          <w:lang w:val="en-US"/>
        </w:rPr>
        <w:t xml:space="preserve"> percent</w:t>
      </w:r>
      <w:r w:rsidR="00C721F8">
        <w:rPr>
          <w:lang w:val="en-US"/>
        </w:rPr>
        <w:t xml:space="preserve"> operational adjustment factor </w:t>
      </w:r>
      <w:r w:rsidR="00065816">
        <w:rPr>
          <w:lang w:val="en-US"/>
        </w:rPr>
        <w:t xml:space="preserve">(OAF) </w:t>
      </w:r>
      <w:r w:rsidR="0084492D">
        <w:rPr>
          <w:lang w:val="en-US"/>
        </w:rPr>
        <w:t xml:space="preserve">to account for shading </w:t>
      </w:r>
      <w:r w:rsidR="00C721F8">
        <w:rPr>
          <w:lang w:val="en-US"/>
        </w:rPr>
        <w:t xml:space="preserve">and a regeneration delay of </w:t>
      </w:r>
      <w:r w:rsidR="005448EC">
        <w:rPr>
          <w:lang w:val="en-US"/>
        </w:rPr>
        <w:t>zero</w:t>
      </w:r>
      <w:r w:rsidR="00C721F8">
        <w:rPr>
          <w:lang w:val="en-US"/>
        </w:rPr>
        <w:t xml:space="preserve"> years</w:t>
      </w:r>
      <w:r w:rsidR="00B81857">
        <w:rPr>
          <w:lang w:val="en-US"/>
        </w:rPr>
        <w:t xml:space="preserve"> following harvest,</w:t>
      </w:r>
      <w:r w:rsidR="00C721F8">
        <w:rPr>
          <w:lang w:val="en-US"/>
        </w:rPr>
        <w:t xml:space="preserve"> as discussed above.</w:t>
      </w:r>
    </w:p>
    <w:p w:rsidR="00B81857" w:rsidRDefault="0084492D" w:rsidP="00922763">
      <w:pPr>
        <w:rPr>
          <w:lang w:val="en-US"/>
        </w:rPr>
      </w:pPr>
      <w:r>
        <w:rPr>
          <w:lang w:val="en-US"/>
        </w:rPr>
        <w:t>T</w:t>
      </w:r>
      <w:r w:rsidR="002C07B0">
        <w:rPr>
          <w:lang w:val="en-US"/>
        </w:rPr>
        <w:t xml:space="preserve">he additional </w:t>
      </w:r>
      <w:r w:rsidR="00065816">
        <w:rPr>
          <w:lang w:val="en-US"/>
        </w:rPr>
        <w:t>OAF</w:t>
      </w:r>
      <w:r w:rsidR="002C07B0">
        <w:rPr>
          <w:lang w:val="en-US"/>
        </w:rPr>
        <w:t xml:space="preserve"> was not applied</w:t>
      </w:r>
      <w:r>
        <w:rPr>
          <w:lang w:val="en-US"/>
        </w:rPr>
        <w:t xml:space="preserve"> in the 2014 base case</w:t>
      </w:r>
      <w:r w:rsidR="0080542F">
        <w:rPr>
          <w:lang w:val="en-US"/>
        </w:rPr>
        <w:t>,</w:t>
      </w:r>
      <w:r w:rsidR="002C07B0">
        <w:rPr>
          <w:lang w:val="en-US"/>
        </w:rPr>
        <w:t xml:space="preserve"> </w:t>
      </w:r>
      <w:r w:rsidR="00E8139A">
        <w:rPr>
          <w:lang w:val="en-US"/>
        </w:rPr>
        <w:t xml:space="preserve">as the </w:t>
      </w:r>
      <w:proofErr w:type="spellStart"/>
      <w:r w:rsidR="00E8139A">
        <w:rPr>
          <w:lang w:val="en-US"/>
        </w:rPr>
        <w:t>shelterwood</w:t>
      </w:r>
      <w:proofErr w:type="spellEnd"/>
      <w:r w:rsidR="00E8139A">
        <w:rPr>
          <w:lang w:val="en-US"/>
        </w:rPr>
        <w:t xml:space="preserve"> system is not currently used on the TFL</w:t>
      </w:r>
      <w:r w:rsidR="002C07B0">
        <w:rPr>
          <w:lang w:val="en-US"/>
        </w:rPr>
        <w:t>.</w:t>
      </w:r>
    </w:p>
    <w:p w:rsidR="002C07B0" w:rsidRPr="00C95B1A" w:rsidRDefault="00B81857" w:rsidP="00922763">
      <w:pPr>
        <w:rPr>
          <w:lang w:val="en-US"/>
        </w:rPr>
      </w:pPr>
      <w:r>
        <w:rPr>
          <w:lang w:val="en-US"/>
        </w:rPr>
        <w:t xml:space="preserve">I have reviewed the information regarding </w:t>
      </w:r>
      <w:r w:rsidR="00E8139A">
        <w:rPr>
          <w:lang w:val="en-US"/>
        </w:rPr>
        <w:t xml:space="preserve">the reflection of </w:t>
      </w:r>
      <w:proofErr w:type="spellStart"/>
      <w:r>
        <w:rPr>
          <w:lang w:val="en-US"/>
        </w:rPr>
        <w:t>silviculture</w:t>
      </w:r>
      <w:proofErr w:type="spellEnd"/>
      <w:r>
        <w:rPr>
          <w:lang w:val="en-US"/>
        </w:rPr>
        <w:t xml:space="preserve"> systems in the analysis.  I</w:t>
      </w:r>
      <w:r w:rsidR="005448EC">
        <w:rPr>
          <w:lang w:val="en-US"/>
        </w:rPr>
        <w:t> </w:t>
      </w:r>
      <w:r>
        <w:rPr>
          <w:lang w:val="en-US"/>
        </w:rPr>
        <w:t xml:space="preserve">note that </w:t>
      </w:r>
      <w:r w:rsidR="002C07B0">
        <w:rPr>
          <w:lang w:val="en-US"/>
        </w:rPr>
        <w:t xml:space="preserve">it would have been appropriate to apply the additional </w:t>
      </w:r>
      <w:r w:rsidR="0080542F">
        <w:rPr>
          <w:lang w:val="en-US"/>
        </w:rPr>
        <w:t xml:space="preserve">OAF </w:t>
      </w:r>
      <w:r>
        <w:rPr>
          <w:lang w:val="en-US"/>
        </w:rPr>
        <w:t>in the base case</w:t>
      </w:r>
      <w:r w:rsidR="0080542F" w:rsidRPr="0080542F">
        <w:rPr>
          <w:lang w:val="en-US"/>
        </w:rPr>
        <w:t xml:space="preserve"> </w:t>
      </w:r>
      <w:r w:rsidR="0080542F">
        <w:rPr>
          <w:lang w:val="en-US"/>
        </w:rPr>
        <w:t xml:space="preserve">for the approximately 2834 hectares of stands that were harvested using </w:t>
      </w:r>
      <w:proofErr w:type="spellStart"/>
      <w:r w:rsidR="0080542F">
        <w:rPr>
          <w:lang w:val="en-US"/>
        </w:rPr>
        <w:t>shelterwood</w:t>
      </w:r>
      <w:proofErr w:type="spellEnd"/>
      <w:r w:rsidR="0080542F">
        <w:rPr>
          <w:lang w:val="en-US"/>
        </w:rPr>
        <w:t xml:space="preserve"> prior to 2008</w:t>
      </w:r>
      <w:r>
        <w:rPr>
          <w:lang w:val="en-US"/>
        </w:rPr>
        <w:t xml:space="preserve">.  However, due to small size of this area </w:t>
      </w:r>
      <w:r w:rsidR="00065816">
        <w:rPr>
          <w:lang w:val="en-US"/>
        </w:rPr>
        <w:t xml:space="preserve">to which this additional </w:t>
      </w:r>
      <w:r w:rsidR="0080542F">
        <w:rPr>
          <w:lang w:val="en-US"/>
        </w:rPr>
        <w:t xml:space="preserve">OAF applies, I accept that </w:t>
      </w:r>
      <w:r>
        <w:rPr>
          <w:lang w:val="en-US"/>
        </w:rPr>
        <w:t>the impact to timber supply is negligible and I make no adjustments on this account.</w:t>
      </w:r>
      <w:r w:rsidR="00E13A37">
        <w:rPr>
          <w:lang w:val="en-US"/>
        </w:rPr>
        <w:t xml:space="preserve">  I encourage the licensee to review the yield projections for the </w:t>
      </w:r>
      <w:proofErr w:type="spellStart"/>
      <w:r w:rsidR="00E13A37">
        <w:rPr>
          <w:lang w:val="en-US"/>
        </w:rPr>
        <w:t>shelterwood</w:t>
      </w:r>
      <w:proofErr w:type="spellEnd"/>
      <w:r w:rsidR="00E13A37">
        <w:rPr>
          <w:lang w:val="en-US"/>
        </w:rPr>
        <w:t xml:space="preserve"> harvested stands to ensure the </w:t>
      </w:r>
      <w:r w:rsidR="00E13A37" w:rsidRPr="00C95B1A">
        <w:rPr>
          <w:lang w:val="en-US"/>
        </w:rPr>
        <w:t>expected yields are accurately reflected in the next timber supply review for TFL</w:t>
      </w:r>
      <w:r w:rsidR="005448EC">
        <w:rPr>
          <w:lang w:val="en-US"/>
        </w:rPr>
        <w:t> </w:t>
      </w:r>
      <w:r w:rsidR="00E13A37" w:rsidRPr="00C95B1A">
        <w:rPr>
          <w:lang w:val="en-US"/>
        </w:rPr>
        <w:t>48.</w:t>
      </w:r>
    </w:p>
    <w:p w:rsidR="00E13A37" w:rsidRPr="00C95B1A" w:rsidRDefault="00EB499D" w:rsidP="00E13A37">
      <w:pPr>
        <w:spacing w:after="0"/>
        <w:rPr>
          <w:color w:val="000000" w:themeColor="text1"/>
        </w:rPr>
      </w:pPr>
      <w:r w:rsidRPr="00C95B1A">
        <w:rPr>
          <w:lang w:val="en-US"/>
        </w:rPr>
        <w:t xml:space="preserve">FLNR operations </w:t>
      </w:r>
      <w:r w:rsidR="00B81857" w:rsidRPr="00C95B1A">
        <w:rPr>
          <w:lang w:val="en-US"/>
        </w:rPr>
        <w:t xml:space="preserve">staff indicate that </w:t>
      </w:r>
      <w:r w:rsidR="004E5352" w:rsidRPr="00C95B1A">
        <w:rPr>
          <w:lang w:val="en-US"/>
        </w:rPr>
        <w:t xml:space="preserve">experience </w:t>
      </w:r>
      <w:r w:rsidR="0080542F" w:rsidRPr="00C95B1A">
        <w:rPr>
          <w:lang w:val="en-US"/>
        </w:rPr>
        <w:t>suggests</w:t>
      </w:r>
      <w:r w:rsidR="00B81857" w:rsidRPr="00C95B1A">
        <w:rPr>
          <w:lang w:val="en-US"/>
        </w:rPr>
        <w:t xml:space="preserve"> stands previously </w:t>
      </w:r>
      <w:r w:rsidR="00003B5C" w:rsidRPr="00C95B1A">
        <w:rPr>
          <w:lang w:val="en-US"/>
        </w:rPr>
        <w:t>targeted</w:t>
      </w:r>
      <w:r w:rsidR="00B81857" w:rsidRPr="00C95B1A">
        <w:rPr>
          <w:lang w:val="en-US"/>
        </w:rPr>
        <w:t xml:space="preserve"> for </w:t>
      </w:r>
      <w:proofErr w:type="spellStart"/>
      <w:r w:rsidR="00B81857" w:rsidRPr="00C95B1A">
        <w:rPr>
          <w:lang w:val="en-US"/>
        </w:rPr>
        <w:t>shelterwood</w:t>
      </w:r>
      <w:proofErr w:type="spellEnd"/>
      <w:r w:rsidR="00B81857" w:rsidRPr="00C95B1A">
        <w:rPr>
          <w:lang w:val="en-US"/>
        </w:rPr>
        <w:t xml:space="preserve"> harvest can be difficult to regenerate following harvest</w:t>
      </w:r>
      <w:r w:rsidR="004E5352" w:rsidRPr="00C95B1A">
        <w:rPr>
          <w:lang w:val="en-US"/>
        </w:rPr>
        <w:t xml:space="preserve"> </w:t>
      </w:r>
      <w:r w:rsidR="0080542F" w:rsidRPr="00C95B1A">
        <w:rPr>
          <w:lang w:val="en-US"/>
        </w:rPr>
        <w:t>if</w:t>
      </w:r>
      <w:r w:rsidR="004E5352" w:rsidRPr="00C95B1A">
        <w:rPr>
          <w:lang w:val="en-US"/>
        </w:rPr>
        <w:t xml:space="preserve"> </w:t>
      </w:r>
      <w:proofErr w:type="spellStart"/>
      <w:r w:rsidR="004E5352" w:rsidRPr="00C95B1A">
        <w:rPr>
          <w:lang w:val="en-US"/>
        </w:rPr>
        <w:t>clearcut</w:t>
      </w:r>
      <w:proofErr w:type="spellEnd"/>
      <w:r w:rsidR="00B81857" w:rsidRPr="00C95B1A">
        <w:rPr>
          <w:lang w:val="en-US"/>
        </w:rPr>
        <w:t xml:space="preserve">.  I </w:t>
      </w:r>
      <w:r w:rsidR="00A87B9B" w:rsidRPr="00C95B1A">
        <w:rPr>
          <w:lang w:val="en-US"/>
        </w:rPr>
        <w:t xml:space="preserve">expect </w:t>
      </w:r>
      <w:r w:rsidR="00B81857" w:rsidRPr="00C95B1A">
        <w:rPr>
          <w:lang w:val="en-US"/>
        </w:rPr>
        <w:t xml:space="preserve">the licensee </w:t>
      </w:r>
      <w:r w:rsidR="00A87B9B" w:rsidRPr="00C95B1A">
        <w:rPr>
          <w:lang w:val="en-US"/>
        </w:rPr>
        <w:t xml:space="preserve">to </w:t>
      </w:r>
      <w:r w:rsidR="006E6145" w:rsidRPr="00C95B1A">
        <w:rPr>
          <w:lang w:val="en-US"/>
        </w:rPr>
        <w:t>ensure</w:t>
      </w:r>
      <w:r w:rsidR="006E6145" w:rsidRPr="00C95B1A">
        <w:rPr>
          <w:color w:val="000000" w:themeColor="text1"/>
        </w:rPr>
        <w:t xml:space="preserve"> </w:t>
      </w:r>
      <w:r w:rsidR="00E13A37" w:rsidRPr="00C95B1A">
        <w:rPr>
          <w:color w:val="000000" w:themeColor="text1"/>
        </w:rPr>
        <w:t xml:space="preserve">that stands previously slated for harvest under the </w:t>
      </w:r>
      <w:proofErr w:type="spellStart"/>
      <w:r w:rsidR="00E13A37" w:rsidRPr="00C95B1A">
        <w:rPr>
          <w:color w:val="000000" w:themeColor="text1"/>
        </w:rPr>
        <w:t>shelterwood</w:t>
      </w:r>
      <w:proofErr w:type="spellEnd"/>
      <w:r w:rsidR="00E13A37" w:rsidRPr="00C95B1A">
        <w:rPr>
          <w:color w:val="000000" w:themeColor="text1"/>
        </w:rPr>
        <w:t xml:space="preserve"> </w:t>
      </w:r>
      <w:proofErr w:type="spellStart"/>
      <w:r w:rsidR="00E13A37" w:rsidRPr="00C95B1A">
        <w:rPr>
          <w:color w:val="000000" w:themeColor="text1"/>
        </w:rPr>
        <w:t>silvicultural</w:t>
      </w:r>
      <w:proofErr w:type="spellEnd"/>
      <w:r w:rsidR="00E13A37" w:rsidRPr="00C95B1A">
        <w:rPr>
          <w:color w:val="000000" w:themeColor="text1"/>
        </w:rPr>
        <w:t xml:space="preserve"> system are being harvested and managed in such a way as to ensure successful stand regeneration.</w:t>
      </w:r>
    </w:p>
    <w:p w:rsidR="00747ACC" w:rsidRPr="00C95B1A" w:rsidRDefault="00747ACC" w:rsidP="00747ACC">
      <w:pPr>
        <w:pStyle w:val="Heading3"/>
        <w:rPr>
          <w:lang w:val="en-CA"/>
        </w:rPr>
      </w:pPr>
      <w:bookmarkStart w:id="259" w:name="_Toc432658641"/>
      <w:r w:rsidRPr="00C95B1A">
        <w:rPr>
          <w:lang w:val="en-CA"/>
        </w:rPr>
        <w:t xml:space="preserve">- </w:t>
      </w:r>
      <w:proofErr w:type="gramStart"/>
      <w:r w:rsidRPr="00C95B1A">
        <w:rPr>
          <w:lang w:val="en-CA"/>
        </w:rPr>
        <w:t>genetic</w:t>
      </w:r>
      <w:proofErr w:type="gramEnd"/>
      <w:r w:rsidRPr="00C95B1A">
        <w:rPr>
          <w:lang w:val="en-CA"/>
        </w:rPr>
        <w:t xml:space="preserve"> improvement</w:t>
      </w:r>
      <w:bookmarkEnd w:id="259"/>
    </w:p>
    <w:p w:rsidR="00A21478" w:rsidRDefault="004312DE" w:rsidP="00922763">
      <w:pPr>
        <w:rPr>
          <w:lang w:val="en-US"/>
        </w:rPr>
      </w:pPr>
      <w:r w:rsidRPr="00C95B1A">
        <w:rPr>
          <w:lang w:val="en-US"/>
        </w:rPr>
        <w:t>Select spruce seed was first used on TFL</w:t>
      </w:r>
      <w:r w:rsidR="005448EC">
        <w:rPr>
          <w:lang w:val="en-US"/>
        </w:rPr>
        <w:t> </w:t>
      </w:r>
      <w:r w:rsidRPr="00C95B1A">
        <w:rPr>
          <w:lang w:val="en-US"/>
        </w:rPr>
        <w:t xml:space="preserve">48 in 2003.  Between 2003 and 2008, approximately 2747 hectares or 18 percent of the area </w:t>
      </w:r>
      <w:r w:rsidR="006E6145" w:rsidRPr="00C95B1A">
        <w:rPr>
          <w:lang w:val="en-US"/>
        </w:rPr>
        <w:t xml:space="preserve">planted </w:t>
      </w:r>
      <w:r w:rsidR="0080542F" w:rsidRPr="00C95B1A">
        <w:rPr>
          <w:lang w:val="en-US"/>
        </w:rPr>
        <w:t xml:space="preserve">over that time </w:t>
      </w:r>
      <w:r w:rsidRPr="00C95B1A">
        <w:rPr>
          <w:lang w:val="en-US"/>
        </w:rPr>
        <w:t>was planted with select spruce</w:t>
      </w:r>
      <w:r>
        <w:rPr>
          <w:lang w:val="en-US"/>
        </w:rPr>
        <w:t xml:space="preserve"> seedlings with a genetic gain of 3.7 percent.  </w:t>
      </w:r>
      <w:r w:rsidR="00A21478">
        <w:rPr>
          <w:lang w:val="en-US"/>
        </w:rPr>
        <w:t xml:space="preserve">Between 1995 and 2003, approximately </w:t>
      </w:r>
      <w:r w:rsidR="007F409C">
        <w:rPr>
          <w:lang w:val="en-US"/>
        </w:rPr>
        <w:t>12 144 </w:t>
      </w:r>
      <w:r w:rsidR="00A21478">
        <w:rPr>
          <w:lang w:val="en-US"/>
        </w:rPr>
        <w:t>hectares were planted with spruce seed without a genetic gain.</w:t>
      </w:r>
    </w:p>
    <w:p w:rsidR="004312DE" w:rsidRDefault="004312DE" w:rsidP="00922763">
      <w:pPr>
        <w:rPr>
          <w:lang w:val="en-US"/>
        </w:rPr>
      </w:pPr>
      <w:r>
        <w:rPr>
          <w:lang w:val="en-US"/>
        </w:rPr>
        <w:t xml:space="preserve">The licensee </w:t>
      </w:r>
      <w:r w:rsidR="0080542F">
        <w:rPr>
          <w:lang w:val="en-US"/>
        </w:rPr>
        <w:t>states</w:t>
      </w:r>
      <w:r>
        <w:rPr>
          <w:lang w:val="en-US"/>
        </w:rPr>
        <w:t xml:space="preserve"> that since 2008, </w:t>
      </w:r>
      <w:r w:rsidR="003B4000">
        <w:rPr>
          <w:lang w:val="en-US"/>
        </w:rPr>
        <w:t xml:space="preserve">they have used select seed wherever available on the TFL, and </w:t>
      </w:r>
      <w:r>
        <w:rPr>
          <w:lang w:val="en-US"/>
        </w:rPr>
        <w:t xml:space="preserve">about 55.5 percent of planted spruce stock has been from select seed with an average genetic gain of 11.4 percent.  The licensee indicates that select pine stock is very limited and for the most part </w:t>
      </w:r>
      <w:r w:rsidR="0080542F">
        <w:rPr>
          <w:lang w:val="en-US"/>
        </w:rPr>
        <w:t xml:space="preserve">is </w:t>
      </w:r>
      <w:r>
        <w:rPr>
          <w:lang w:val="en-US"/>
        </w:rPr>
        <w:t>not available for use on the TFL.</w:t>
      </w:r>
    </w:p>
    <w:p w:rsidR="004312DE" w:rsidRDefault="00290F34" w:rsidP="00922763">
      <w:pPr>
        <w:rPr>
          <w:lang w:val="en-US"/>
        </w:rPr>
      </w:pPr>
      <w:r>
        <w:rPr>
          <w:lang w:val="en-US"/>
        </w:rPr>
        <w:t xml:space="preserve">For </w:t>
      </w:r>
      <w:r w:rsidR="004312DE">
        <w:rPr>
          <w:lang w:val="en-US"/>
        </w:rPr>
        <w:t xml:space="preserve">the base case, the licensee </w:t>
      </w:r>
      <w:r w:rsidR="00A21478">
        <w:rPr>
          <w:lang w:val="en-US"/>
        </w:rPr>
        <w:t xml:space="preserve">calculated a weighted genetic gain value based on a </w:t>
      </w:r>
      <w:r w:rsidR="005448EC">
        <w:rPr>
          <w:lang w:val="en-US"/>
        </w:rPr>
        <w:t>zero</w:t>
      </w:r>
      <w:r w:rsidR="00A21478">
        <w:rPr>
          <w:lang w:val="en-US"/>
        </w:rPr>
        <w:t xml:space="preserve"> percent genetic gain from 1995 to 2003, and a 3.7 percent gain from 2003 to 2008.  This </w:t>
      </w:r>
      <w:r w:rsidR="004312DE">
        <w:rPr>
          <w:lang w:val="en-US"/>
        </w:rPr>
        <w:t>weighted value of .7</w:t>
      </w:r>
      <w:r w:rsidR="00DB07F8">
        <w:rPr>
          <w:lang w:val="en-US"/>
        </w:rPr>
        <w:t> </w:t>
      </w:r>
      <w:r w:rsidR="004312DE">
        <w:rPr>
          <w:lang w:val="en-US"/>
        </w:rPr>
        <w:t xml:space="preserve">percent </w:t>
      </w:r>
      <w:r w:rsidR="00A21478">
        <w:rPr>
          <w:lang w:val="en-US"/>
        </w:rPr>
        <w:t xml:space="preserve">was applied </w:t>
      </w:r>
      <w:r w:rsidR="004312DE">
        <w:rPr>
          <w:lang w:val="en-US"/>
        </w:rPr>
        <w:t xml:space="preserve">to </w:t>
      </w:r>
      <w:r w:rsidR="00A21478">
        <w:rPr>
          <w:lang w:val="en-US"/>
        </w:rPr>
        <w:t xml:space="preserve">yield curves for </w:t>
      </w:r>
      <w:r w:rsidR="004312DE">
        <w:rPr>
          <w:lang w:val="en-US"/>
        </w:rPr>
        <w:t xml:space="preserve">the stands </w:t>
      </w:r>
      <w:r>
        <w:rPr>
          <w:lang w:val="en-US"/>
        </w:rPr>
        <w:t xml:space="preserve">planted </w:t>
      </w:r>
      <w:r w:rsidR="004312DE">
        <w:rPr>
          <w:lang w:val="en-US"/>
        </w:rPr>
        <w:t>between 1995 and 2008</w:t>
      </w:r>
      <w:r w:rsidR="0080542F">
        <w:rPr>
          <w:lang w:val="en-US"/>
        </w:rPr>
        <w:t xml:space="preserve"> to account for select seed use</w:t>
      </w:r>
      <w:r w:rsidR="004312DE">
        <w:rPr>
          <w:lang w:val="en-US"/>
        </w:rPr>
        <w:t xml:space="preserve">.  </w:t>
      </w:r>
      <w:r w:rsidR="003B4000">
        <w:rPr>
          <w:lang w:val="en-US"/>
        </w:rPr>
        <w:t>For s</w:t>
      </w:r>
      <w:r w:rsidR="004312DE">
        <w:rPr>
          <w:lang w:val="en-US"/>
        </w:rPr>
        <w:t xml:space="preserve">tands </w:t>
      </w:r>
      <w:r>
        <w:rPr>
          <w:lang w:val="en-US"/>
        </w:rPr>
        <w:t xml:space="preserve">planted </w:t>
      </w:r>
      <w:r w:rsidR="004312DE">
        <w:rPr>
          <w:lang w:val="en-US"/>
        </w:rPr>
        <w:t>after 2008</w:t>
      </w:r>
      <w:r w:rsidR="003B4000">
        <w:rPr>
          <w:lang w:val="en-US"/>
        </w:rPr>
        <w:t>, it was assumed that the spruce component</w:t>
      </w:r>
      <w:r w:rsidR="00D97E3F">
        <w:rPr>
          <w:lang w:val="en-US"/>
        </w:rPr>
        <w:t xml:space="preserve"> was regenerated using</w:t>
      </w:r>
      <w:r w:rsidR="004312DE">
        <w:rPr>
          <w:lang w:val="en-US"/>
        </w:rPr>
        <w:t xml:space="preserve"> </w:t>
      </w:r>
      <w:r w:rsidR="003B4000">
        <w:rPr>
          <w:lang w:val="en-US"/>
        </w:rPr>
        <w:t xml:space="preserve">100 percent </w:t>
      </w:r>
      <w:r w:rsidR="004312DE">
        <w:rPr>
          <w:lang w:val="en-US"/>
        </w:rPr>
        <w:t xml:space="preserve">class </w:t>
      </w:r>
      <w:proofErr w:type="gramStart"/>
      <w:r w:rsidR="004312DE">
        <w:rPr>
          <w:lang w:val="en-US"/>
        </w:rPr>
        <w:t>A</w:t>
      </w:r>
      <w:proofErr w:type="gramEnd"/>
      <w:r w:rsidR="004312DE">
        <w:rPr>
          <w:lang w:val="en-US"/>
        </w:rPr>
        <w:t xml:space="preserve"> spruce seed</w:t>
      </w:r>
      <w:r w:rsidR="0080542F">
        <w:rPr>
          <w:lang w:val="en-US"/>
        </w:rPr>
        <w:t>,</w:t>
      </w:r>
      <w:r w:rsidR="004312DE">
        <w:rPr>
          <w:lang w:val="en-US"/>
        </w:rPr>
        <w:t xml:space="preserve"> and an 11.4 percent genetic gain was applied.</w:t>
      </w:r>
    </w:p>
    <w:p w:rsidR="00D97E3F" w:rsidRDefault="003B4000" w:rsidP="00922763">
      <w:pPr>
        <w:rPr>
          <w:lang w:val="en-US"/>
        </w:rPr>
      </w:pPr>
      <w:r>
        <w:rPr>
          <w:lang w:val="en-US"/>
        </w:rPr>
        <w:t xml:space="preserve">I am aware that the analysis assumptions include use of select seed for all spruce planted </w:t>
      </w:r>
      <w:r w:rsidR="00A21478">
        <w:rPr>
          <w:lang w:val="en-US"/>
        </w:rPr>
        <w:t xml:space="preserve">since 2008 </w:t>
      </w:r>
      <w:r>
        <w:rPr>
          <w:lang w:val="en-US"/>
        </w:rPr>
        <w:t>on the TFL</w:t>
      </w:r>
      <w:r w:rsidR="0080542F">
        <w:rPr>
          <w:lang w:val="en-US"/>
        </w:rPr>
        <w:t>, which is greater than the 55 percent use in current practice</w:t>
      </w:r>
      <w:r w:rsidR="00D97E3F">
        <w:rPr>
          <w:lang w:val="en-US"/>
        </w:rPr>
        <w:t xml:space="preserve">.  </w:t>
      </w:r>
      <w:r w:rsidR="0080542F">
        <w:rPr>
          <w:lang w:val="en-US"/>
        </w:rPr>
        <w:t>If</w:t>
      </w:r>
      <w:r w:rsidR="00D97E3F">
        <w:rPr>
          <w:lang w:val="en-US"/>
        </w:rPr>
        <w:t xml:space="preserve"> the discrepancy continues, </w:t>
      </w:r>
      <w:r w:rsidR="0080542F">
        <w:rPr>
          <w:lang w:val="en-US"/>
        </w:rPr>
        <w:t xml:space="preserve">this could </w:t>
      </w:r>
      <w:r w:rsidR="00D97E3F">
        <w:rPr>
          <w:lang w:val="en-US"/>
        </w:rPr>
        <w:t xml:space="preserve">result in an overestimation of </w:t>
      </w:r>
      <w:r w:rsidR="00397702">
        <w:rPr>
          <w:lang w:val="en-US"/>
        </w:rPr>
        <w:t xml:space="preserve">the yield from managed spruce, and correspondingly of </w:t>
      </w:r>
      <w:r w:rsidR="00D97E3F">
        <w:rPr>
          <w:lang w:val="en-US"/>
        </w:rPr>
        <w:t xml:space="preserve">timber supply in the </w:t>
      </w:r>
      <w:proofErr w:type="spellStart"/>
      <w:r w:rsidR="00D97E3F">
        <w:rPr>
          <w:lang w:val="en-US"/>
        </w:rPr>
        <w:t>mid</w:t>
      </w:r>
      <w:proofErr w:type="spellEnd"/>
      <w:r w:rsidR="005448EC">
        <w:rPr>
          <w:lang w:val="en-US"/>
        </w:rPr>
        <w:noBreakHyphen/>
      </w:r>
      <w:r w:rsidR="00D97E3F">
        <w:rPr>
          <w:lang w:val="en-US"/>
        </w:rPr>
        <w:t xml:space="preserve"> to long</w:t>
      </w:r>
      <w:r w:rsidR="005448EC">
        <w:rPr>
          <w:lang w:val="en-US"/>
        </w:rPr>
        <w:noBreakHyphen/>
      </w:r>
      <w:r w:rsidR="00D97E3F">
        <w:rPr>
          <w:lang w:val="en-US"/>
        </w:rPr>
        <w:t xml:space="preserve">term </w:t>
      </w:r>
      <w:r w:rsidR="0080542F">
        <w:rPr>
          <w:lang w:val="en-US"/>
        </w:rPr>
        <w:t xml:space="preserve">on this account. </w:t>
      </w:r>
      <w:r w:rsidR="00DF3E5A">
        <w:rPr>
          <w:lang w:val="en-US"/>
        </w:rPr>
        <w:t xml:space="preserve"> </w:t>
      </w:r>
      <w:r w:rsidR="0080542F">
        <w:rPr>
          <w:lang w:val="en-US"/>
        </w:rPr>
        <w:t>The licensee indicates that it intends to use select seed whenever possible in the regeneration of stands on TFL</w:t>
      </w:r>
      <w:r w:rsidR="005448EC">
        <w:rPr>
          <w:lang w:val="en-US"/>
        </w:rPr>
        <w:t> </w:t>
      </w:r>
      <w:r w:rsidR="0080542F">
        <w:rPr>
          <w:lang w:val="en-US"/>
        </w:rPr>
        <w:t>48.</w:t>
      </w:r>
    </w:p>
    <w:p w:rsidR="00747ACC" w:rsidRPr="00C95B1A" w:rsidRDefault="00D97E3F" w:rsidP="00922763">
      <w:pPr>
        <w:rPr>
          <w:lang w:val="en-US"/>
        </w:rPr>
      </w:pPr>
      <w:r w:rsidRPr="00C95B1A">
        <w:rPr>
          <w:lang w:val="en-US"/>
        </w:rPr>
        <w:t xml:space="preserve">While I accept the assumptions around the use of select seed for this determination, I </w:t>
      </w:r>
      <w:r w:rsidR="00A87B9B" w:rsidRPr="00C95B1A">
        <w:rPr>
          <w:lang w:val="en-US"/>
        </w:rPr>
        <w:t xml:space="preserve">expect </w:t>
      </w:r>
      <w:r w:rsidR="0024401C" w:rsidRPr="00C95B1A">
        <w:rPr>
          <w:lang w:val="en-US"/>
        </w:rPr>
        <w:t xml:space="preserve">the licensee </w:t>
      </w:r>
      <w:r w:rsidR="00A87B9B" w:rsidRPr="00C95B1A">
        <w:rPr>
          <w:lang w:val="en-US"/>
        </w:rPr>
        <w:t xml:space="preserve">to </w:t>
      </w:r>
      <w:r w:rsidR="0024401C" w:rsidRPr="00C95B1A">
        <w:rPr>
          <w:lang w:val="en-US"/>
        </w:rPr>
        <w:t>track and report on its use so that current practice can be reflected appropriately in the next determination for TFL</w:t>
      </w:r>
      <w:r w:rsidR="005448EC">
        <w:rPr>
          <w:lang w:val="en-US"/>
        </w:rPr>
        <w:t> </w:t>
      </w:r>
      <w:r w:rsidR="0024401C" w:rsidRPr="00C95B1A">
        <w:rPr>
          <w:lang w:val="en-US"/>
        </w:rPr>
        <w:t>48.</w:t>
      </w:r>
    </w:p>
    <w:p w:rsidR="00385F64" w:rsidRPr="00463753" w:rsidRDefault="00385F64" w:rsidP="00385F64">
      <w:pPr>
        <w:pStyle w:val="NormalIndent"/>
        <w:keepNext/>
        <w:spacing w:before="240" w:line="240" w:lineRule="atLeast"/>
        <w:ind w:left="850" w:hanging="562"/>
        <w:rPr>
          <w:color w:val="000000" w:themeColor="text1"/>
          <w:lang w:val="en-CA"/>
        </w:rPr>
      </w:pPr>
      <w:r w:rsidRPr="00C95B1A">
        <w:rPr>
          <w:rFonts w:ascii="Times New Roman" w:hAnsi="Times New Roman"/>
          <w:b/>
          <w:color w:val="000000" w:themeColor="text1"/>
          <w:sz w:val="20"/>
          <w:lang w:val="en-CA"/>
        </w:rPr>
        <w:t>Section 8 (8) (a) (iv) the standard of timber utilization and the allowance for decay, waste and breakage expected to be applied with respect to timber harvesting on the area:</w:t>
      </w:r>
    </w:p>
    <w:p w:rsidR="008273A5" w:rsidRDefault="00922763" w:rsidP="00385F64">
      <w:pPr>
        <w:pStyle w:val="BodyText"/>
        <w:overflowPunct/>
        <w:autoSpaceDE/>
        <w:autoSpaceDN/>
        <w:adjustRightInd/>
        <w:spacing w:before="0" w:after="120"/>
        <w:textAlignment w:val="auto"/>
        <w:rPr>
          <w:color w:val="000000" w:themeColor="text1"/>
        </w:rPr>
      </w:pPr>
      <w:r w:rsidRPr="005A69E7">
        <w:rPr>
          <w:color w:val="000000" w:themeColor="text1"/>
        </w:rPr>
        <w:t>No factors considered under this section require additional comment.</w:t>
      </w:r>
    </w:p>
    <w:p w:rsidR="008C011A" w:rsidRDefault="008C011A">
      <w:pPr>
        <w:overflowPunct/>
        <w:autoSpaceDE/>
        <w:autoSpaceDN/>
        <w:adjustRightInd/>
        <w:spacing w:before="0" w:after="0"/>
        <w:textAlignment w:val="auto"/>
        <w:rPr>
          <w:color w:val="000000" w:themeColor="text1"/>
        </w:rPr>
      </w:pPr>
    </w:p>
    <w:p w:rsidR="00922763" w:rsidRPr="00463753" w:rsidRDefault="00922763" w:rsidP="00922763">
      <w:pPr>
        <w:pStyle w:val="NormalIndent"/>
        <w:keepNext/>
        <w:tabs>
          <w:tab w:val="clear" w:pos="360"/>
        </w:tabs>
        <w:spacing w:before="240"/>
        <w:ind w:left="850" w:hanging="562"/>
        <w:rPr>
          <w:rFonts w:ascii="Times New Roman" w:hAnsi="Times New Roman"/>
          <w:b/>
          <w:color w:val="000000" w:themeColor="text1"/>
          <w:sz w:val="20"/>
          <w:lang w:val="en-CA"/>
        </w:rPr>
      </w:pPr>
      <w:r w:rsidRPr="00634EC4">
        <w:rPr>
          <w:rFonts w:ascii="Times New Roman" w:hAnsi="Times New Roman"/>
          <w:b/>
          <w:color w:val="000000" w:themeColor="text1"/>
          <w:sz w:val="20"/>
          <w:lang w:val="en-CA"/>
        </w:rPr>
        <w:t>Section 8 (8) (a) (v)</w:t>
      </w:r>
      <w:r w:rsidRPr="00634EC4">
        <w:rPr>
          <w:rFonts w:ascii="Times New Roman" w:hAnsi="Times New Roman"/>
          <w:b/>
          <w:color w:val="000000" w:themeColor="text1"/>
          <w:sz w:val="20"/>
          <w:lang w:val="en-CA"/>
        </w:rPr>
        <w:tab/>
        <w:t>the constraints on the amount o</w:t>
      </w:r>
      <w:r w:rsidRPr="00FC005F">
        <w:rPr>
          <w:rFonts w:ascii="Times New Roman" w:hAnsi="Times New Roman"/>
          <w:b/>
          <w:color w:val="000000" w:themeColor="text1"/>
          <w:sz w:val="20"/>
          <w:lang w:val="en-CA"/>
        </w:rPr>
        <w:t>f timber produced from the area that reasonably can be expected by use of the area for purposes other than timber production:</w:t>
      </w:r>
    </w:p>
    <w:p w:rsidR="00922763" w:rsidRPr="00463753" w:rsidRDefault="00922763" w:rsidP="00922763">
      <w:pPr>
        <w:pStyle w:val="Heading2"/>
        <w:rPr>
          <w:color w:val="000000" w:themeColor="text1"/>
          <w:lang w:val="en-CA"/>
        </w:rPr>
      </w:pPr>
      <w:bookmarkStart w:id="260" w:name="_Toc351644423"/>
      <w:bookmarkStart w:id="261" w:name="_Toc432658642"/>
      <w:r w:rsidRPr="005A69E7">
        <w:rPr>
          <w:color w:val="000000" w:themeColor="text1"/>
          <w:lang w:val="en-CA"/>
        </w:rPr>
        <w:t>Factors considered under Section 8(8)</w:t>
      </w:r>
      <w:r w:rsidR="00003B96">
        <w:rPr>
          <w:color w:val="000000" w:themeColor="text1"/>
          <w:lang w:val="en-CA"/>
        </w:rPr>
        <w:t xml:space="preserve"> </w:t>
      </w:r>
      <w:r w:rsidRPr="005A69E7">
        <w:rPr>
          <w:color w:val="000000" w:themeColor="text1"/>
          <w:lang w:val="en-CA"/>
        </w:rPr>
        <w:t>(a</w:t>
      </w:r>
      <w:proofErr w:type="gramStart"/>
      <w:r w:rsidRPr="005A69E7">
        <w:rPr>
          <w:color w:val="000000" w:themeColor="text1"/>
          <w:lang w:val="en-CA"/>
        </w:rPr>
        <w:t>)(</w:t>
      </w:r>
      <w:proofErr w:type="gramEnd"/>
      <w:r w:rsidRPr="005A69E7">
        <w:rPr>
          <w:color w:val="000000" w:themeColor="text1"/>
          <w:lang w:val="en-CA"/>
        </w:rPr>
        <w:t>v)</w:t>
      </w:r>
      <w:bookmarkEnd w:id="260"/>
      <w:bookmarkEnd w:id="261"/>
    </w:p>
    <w:p w:rsidR="00385F64" w:rsidRDefault="00922763" w:rsidP="00922763">
      <w:pPr>
        <w:pStyle w:val="BodyText"/>
        <w:overflowPunct/>
        <w:autoSpaceDE/>
        <w:autoSpaceDN/>
        <w:adjustRightInd/>
        <w:spacing w:before="0" w:after="120"/>
        <w:textAlignment w:val="auto"/>
        <w:rPr>
          <w:color w:val="000000" w:themeColor="text1"/>
        </w:rPr>
      </w:pPr>
      <w:r w:rsidRPr="005A69E7">
        <w:rPr>
          <w:color w:val="000000" w:themeColor="text1"/>
        </w:rPr>
        <w:t xml:space="preserve">In addition to the factors listed under this section in Table 1 above, I have also considered the following factors, which require additional </w:t>
      </w:r>
      <w:r w:rsidR="0048155A">
        <w:rPr>
          <w:color w:val="000000" w:themeColor="text1"/>
        </w:rPr>
        <w:t>discussion.</w:t>
      </w:r>
    </w:p>
    <w:p w:rsidR="008C011A" w:rsidRPr="006D08BC" w:rsidRDefault="006D08BC" w:rsidP="006D08BC">
      <w:pPr>
        <w:pStyle w:val="Heading3"/>
        <w:rPr>
          <w:lang w:val="en-CA"/>
        </w:rPr>
      </w:pPr>
      <w:bookmarkStart w:id="262" w:name="_Toc432658643"/>
      <w:bookmarkEnd w:id="248"/>
      <w:bookmarkEnd w:id="255"/>
      <w:r w:rsidRPr="00732EFE">
        <w:rPr>
          <w:lang w:val="en-CA"/>
        </w:rPr>
        <w:t xml:space="preserve">- </w:t>
      </w:r>
      <w:proofErr w:type="gramStart"/>
      <w:r w:rsidRPr="00732EFE">
        <w:rPr>
          <w:lang w:val="en-CA"/>
        </w:rPr>
        <w:t>ungulate</w:t>
      </w:r>
      <w:proofErr w:type="gramEnd"/>
      <w:r w:rsidRPr="00732EFE">
        <w:rPr>
          <w:lang w:val="en-CA"/>
        </w:rPr>
        <w:t xml:space="preserve"> winter range</w:t>
      </w:r>
      <w:bookmarkEnd w:id="262"/>
    </w:p>
    <w:p w:rsidR="006D08BC" w:rsidRPr="00EA3B1C" w:rsidRDefault="00D17605" w:rsidP="00EA3B1C">
      <w:pPr>
        <w:rPr>
          <w:lang w:val="en-US"/>
        </w:rPr>
      </w:pPr>
      <w:r w:rsidRPr="00EA3B1C">
        <w:rPr>
          <w:lang w:val="en-US"/>
        </w:rPr>
        <w:t xml:space="preserve">In the 2006 </w:t>
      </w:r>
      <w:r w:rsidR="00B410A0">
        <w:rPr>
          <w:lang w:val="en-US"/>
        </w:rPr>
        <w:t>base case</w:t>
      </w:r>
      <w:r w:rsidRPr="00EA3B1C">
        <w:rPr>
          <w:lang w:val="en-US"/>
        </w:rPr>
        <w:t xml:space="preserve">, </w:t>
      </w:r>
      <w:r w:rsidR="008E4BF9" w:rsidRPr="00EA3B1C">
        <w:rPr>
          <w:lang w:val="en-US"/>
        </w:rPr>
        <w:t xml:space="preserve">a total of 1983 hectares after other reductions </w:t>
      </w:r>
      <w:r w:rsidR="008E4BF9">
        <w:rPr>
          <w:lang w:val="en-US"/>
        </w:rPr>
        <w:t xml:space="preserve">were </w:t>
      </w:r>
      <w:r w:rsidRPr="00EA3B1C">
        <w:rPr>
          <w:lang w:val="en-US"/>
        </w:rPr>
        <w:t>exclu</w:t>
      </w:r>
      <w:r w:rsidR="008E4BF9">
        <w:rPr>
          <w:lang w:val="en-US"/>
        </w:rPr>
        <w:t>ded</w:t>
      </w:r>
      <w:r w:rsidRPr="00EA3B1C">
        <w:rPr>
          <w:lang w:val="en-US"/>
        </w:rPr>
        <w:t xml:space="preserve"> to account for ungulate winter range in the </w:t>
      </w:r>
      <w:proofErr w:type="spellStart"/>
      <w:r w:rsidRPr="00EA3B1C">
        <w:rPr>
          <w:lang w:val="en-US"/>
        </w:rPr>
        <w:t>Dunlevy</w:t>
      </w:r>
      <w:proofErr w:type="spellEnd"/>
      <w:r w:rsidRPr="00EA3B1C">
        <w:rPr>
          <w:lang w:val="en-US"/>
        </w:rPr>
        <w:t xml:space="preserve"> Special Management Area</w:t>
      </w:r>
      <w:r w:rsidR="008E4BF9">
        <w:rPr>
          <w:lang w:val="en-US"/>
        </w:rPr>
        <w:t>.</w:t>
      </w:r>
      <w:r w:rsidR="00F853E3">
        <w:rPr>
          <w:lang w:val="en-US"/>
        </w:rPr>
        <w:t xml:space="preserve">  These same areas were excluded in the derivation of the 2014 timber harvesting land base.</w:t>
      </w:r>
    </w:p>
    <w:p w:rsidR="00D17605" w:rsidRPr="00EA3B1C" w:rsidRDefault="00D17605" w:rsidP="00EA3B1C">
      <w:pPr>
        <w:rPr>
          <w:lang w:val="en-US"/>
        </w:rPr>
      </w:pPr>
      <w:r w:rsidRPr="00EA3B1C">
        <w:rPr>
          <w:lang w:val="en-US"/>
        </w:rPr>
        <w:t xml:space="preserve">Since the 2006 analysis was completed, two new ungulate winter ranges </w:t>
      </w:r>
      <w:r w:rsidR="00571D86">
        <w:rPr>
          <w:lang w:val="en-US"/>
        </w:rPr>
        <w:t>were</w:t>
      </w:r>
      <w:r w:rsidRPr="00EA3B1C">
        <w:rPr>
          <w:lang w:val="en-US"/>
        </w:rPr>
        <w:t xml:space="preserve"> established that overlap with the TFL.  Ungulate winter range U</w:t>
      </w:r>
      <w:r w:rsidR="005448EC">
        <w:rPr>
          <w:lang w:val="en-US"/>
        </w:rPr>
        <w:noBreakHyphen/>
      </w:r>
      <w:r w:rsidRPr="00EA3B1C">
        <w:rPr>
          <w:lang w:val="en-US"/>
        </w:rPr>
        <w:t>9</w:t>
      </w:r>
      <w:r w:rsidR="005448EC">
        <w:rPr>
          <w:lang w:val="en-US"/>
        </w:rPr>
        <w:noBreakHyphen/>
      </w:r>
      <w:r w:rsidRPr="00EA3B1C">
        <w:rPr>
          <w:lang w:val="en-US"/>
        </w:rPr>
        <w:t>002 is for northern caribou, mountain goat and bighorn sheep, and U</w:t>
      </w:r>
      <w:r w:rsidR="005448EC">
        <w:rPr>
          <w:lang w:val="en-US"/>
        </w:rPr>
        <w:noBreakHyphen/>
      </w:r>
      <w:r w:rsidR="00AF34E5" w:rsidRPr="00EA3B1C">
        <w:rPr>
          <w:lang w:val="en-US"/>
        </w:rPr>
        <w:t>9</w:t>
      </w:r>
      <w:r w:rsidR="005448EC">
        <w:rPr>
          <w:lang w:val="en-US"/>
        </w:rPr>
        <w:noBreakHyphen/>
      </w:r>
      <w:r w:rsidR="00AF34E5" w:rsidRPr="00EA3B1C">
        <w:rPr>
          <w:lang w:val="en-US"/>
        </w:rPr>
        <w:t>004 is for northern caribou and Stone’s sheep</w:t>
      </w:r>
      <w:r w:rsidR="000763D1">
        <w:rPr>
          <w:lang w:val="en-US"/>
        </w:rPr>
        <w:t>.  The two ranges</w:t>
      </w:r>
      <w:r w:rsidR="000F2810" w:rsidRPr="00EA3B1C">
        <w:rPr>
          <w:lang w:val="en-US"/>
        </w:rPr>
        <w:t xml:space="preserve"> </w:t>
      </w:r>
      <w:r w:rsidR="00AF34E5" w:rsidRPr="00EA3B1C">
        <w:rPr>
          <w:lang w:val="en-US"/>
        </w:rPr>
        <w:t>cover a total of 21</w:t>
      </w:r>
      <w:r w:rsidR="000F2810" w:rsidRPr="00EA3B1C">
        <w:rPr>
          <w:lang w:val="en-US"/>
        </w:rPr>
        <w:t> </w:t>
      </w:r>
      <w:r w:rsidR="00AF34E5" w:rsidRPr="00EA3B1C">
        <w:rPr>
          <w:lang w:val="en-US"/>
        </w:rPr>
        <w:t>918</w:t>
      </w:r>
      <w:r w:rsidR="000F2810" w:rsidRPr="00EA3B1C">
        <w:rPr>
          <w:lang w:val="en-US"/>
        </w:rPr>
        <w:t> </w:t>
      </w:r>
      <w:r w:rsidR="00AF34E5" w:rsidRPr="00EA3B1C">
        <w:rPr>
          <w:lang w:val="en-US"/>
        </w:rPr>
        <w:t>hectares</w:t>
      </w:r>
      <w:r w:rsidR="00F31D54">
        <w:rPr>
          <w:lang w:val="en-US"/>
        </w:rPr>
        <w:t>.  A</w:t>
      </w:r>
      <w:r w:rsidR="0048155A" w:rsidRPr="00EA3B1C">
        <w:rPr>
          <w:lang w:val="en-US"/>
        </w:rPr>
        <w:t xml:space="preserve"> variety of general wildlife measures apply to </w:t>
      </w:r>
      <w:r w:rsidR="00F853E3">
        <w:rPr>
          <w:lang w:val="en-US"/>
        </w:rPr>
        <w:t xml:space="preserve">operational activity in </w:t>
      </w:r>
      <w:r w:rsidR="0048155A" w:rsidRPr="00EA3B1C">
        <w:rPr>
          <w:lang w:val="en-US"/>
        </w:rPr>
        <w:t>these area</w:t>
      </w:r>
      <w:r w:rsidR="00922CBE" w:rsidRPr="00EA3B1C">
        <w:rPr>
          <w:lang w:val="en-US"/>
        </w:rPr>
        <w:t>s</w:t>
      </w:r>
      <w:r w:rsidR="00F31D54">
        <w:rPr>
          <w:lang w:val="en-US"/>
        </w:rPr>
        <w:t>, which the licensee indicates do not require explicit reflection in the analysis.</w:t>
      </w:r>
      <w:r w:rsidR="001875C8">
        <w:rPr>
          <w:lang w:val="en-US"/>
        </w:rPr>
        <w:t xml:space="preserve">  The</w:t>
      </w:r>
      <w:r w:rsidR="00F31D54">
        <w:rPr>
          <w:lang w:val="en-US"/>
        </w:rPr>
        <w:t>re are</w:t>
      </w:r>
      <w:r w:rsidR="001875C8">
        <w:rPr>
          <w:lang w:val="en-US"/>
        </w:rPr>
        <w:t xml:space="preserve"> portion</w:t>
      </w:r>
      <w:r w:rsidR="00F31D54">
        <w:rPr>
          <w:lang w:val="en-US"/>
        </w:rPr>
        <w:t>s</w:t>
      </w:r>
      <w:r w:rsidR="001875C8">
        <w:rPr>
          <w:lang w:val="en-US"/>
        </w:rPr>
        <w:t xml:space="preserve"> of the ungulate winter ranges that have been designated as ‘no harvest’, </w:t>
      </w:r>
      <w:r w:rsidR="00F31D54">
        <w:rPr>
          <w:lang w:val="en-US"/>
        </w:rPr>
        <w:t>and these were</w:t>
      </w:r>
      <w:r w:rsidR="001875C8">
        <w:rPr>
          <w:lang w:val="en-US"/>
        </w:rPr>
        <w:t xml:space="preserve"> explicitly excluded from the timber harvesting land base in the 2014 analysis.</w:t>
      </w:r>
      <w:r w:rsidR="00571D86">
        <w:rPr>
          <w:lang w:val="en-US"/>
        </w:rPr>
        <w:t xml:space="preserve">  A total of 2271 hectares after previous reductions was excluded from the timber harvesting land base.</w:t>
      </w:r>
    </w:p>
    <w:p w:rsidR="00F853E3" w:rsidRDefault="00922CBE" w:rsidP="00EA3B1C">
      <w:pPr>
        <w:rPr>
          <w:lang w:val="en-US"/>
        </w:rPr>
      </w:pPr>
      <w:r w:rsidRPr="00EA3B1C">
        <w:rPr>
          <w:lang w:val="en-US"/>
        </w:rPr>
        <w:t>The licensee indicates that 478 hectares of the</w:t>
      </w:r>
      <w:r w:rsidR="00F853E3">
        <w:rPr>
          <w:lang w:val="en-US"/>
        </w:rPr>
        <w:t xml:space="preserve"> excluded </w:t>
      </w:r>
      <w:proofErr w:type="spellStart"/>
      <w:r w:rsidR="00F853E3">
        <w:rPr>
          <w:lang w:val="en-US"/>
        </w:rPr>
        <w:t>Dunlevy</w:t>
      </w:r>
      <w:proofErr w:type="spellEnd"/>
      <w:r w:rsidRPr="00EA3B1C">
        <w:rPr>
          <w:lang w:val="en-US"/>
        </w:rPr>
        <w:t xml:space="preserve"> area overlaps with the new ungulate winter range area</w:t>
      </w:r>
      <w:r w:rsidR="001875C8">
        <w:rPr>
          <w:lang w:val="en-US"/>
        </w:rPr>
        <w:t xml:space="preserve"> designated as no harvest.  </w:t>
      </w:r>
      <w:r w:rsidR="00F853E3">
        <w:rPr>
          <w:lang w:val="en-US"/>
        </w:rPr>
        <w:t xml:space="preserve">The remainder of the </w:t>
      </w:r>
      <w:proofErr w:type="spellStart"/>
      <w:r w:rsidR="00F853E3">
        <w:rPr>
          <w:lang w:val="en-US"/>
        </w:rPr>
        <w:t>Dunlevy</w:t>
      </w:r>
      <w:proofErr w:type="spellEnd"/>
      <w:r w:rsidR="00F853E3">
        <w:rPr>
          <w:lang w:val="en-US"/>
        </w:rPr>
        <w:t xml:space="preserve"> a</w:t>
      </w:r>
      <w:r w:rsidRPr="00EA3B1C">
        <w:rPr>
          <w:lang w:val="en-US"/>
        </w:rPr>
        <w:t>rea</w:t>
      </w:r>
      <w:r w:rsidR="00F853E3">
        <w:rPr>
          <w:lang w:val="en-US"/>
        </w:rPr>
        <w:t>, approximately 15</w:t>
      </w:r>
      <w:r w:rsidR="000854EA">
        <w:rPr>
          <w:lang w:val="en-US"/>
        </w:rPr>
        <w:t>1</w:t>
      </w:r>
      <w:r w:rsidR="00F853E3">
        <w:rPr>
          <w:lang w:val="en-US"/>
        </w:rPr>
        <w:t>5 hectares,</w:t>
      </w:r>
      <w:r w:rsidRPr="00EA3B1C">
        <w:rPr>
          <w:lang w:val="en-US"/>
        </w:rPr>
        <w:t xml:space="preserve"> is no longer managed for ungulates.</w:t>
      </w:r>
    </w:p>
    <w:p w:rsidR="00922CBE" w:rsidRPr="00EA3B1C" w:rsidRDefault="00EB499D" w:rsidP="00EA3B1C">
      <w:pPr>
        <w:rPr>
          <w:lang w:val="en-US"/>
        </w:rPr>
      </w:pPr>
      <w:r>
        <w:rPr>
          <w:lang w:val="en-US"/>
        </w:rPr>
        <w:t>FLNR operations</w:t>
      </w:r>
      <w:r w:rsidRPr="00EA3B1C">
        <w:rPr>
          <w:lang w:val="en-US"/>
        </w:rPr>
        <w:t xml:space="preserve"> </w:t>
      </w:r>
      <w:proofErr w:type="gramStart"/>
      <w:r w:rsidR="00922CBE" w:rsidRPr="00EA3B1C">
        <w:rPr>
          <w:lang w:val="en-US"/>
        </w:rPr>
        <w:t>staff concur</w:t>
      </w:r>
      <w:proofErr w:type="gramEnd"/>
      <w:r w:rsidR="00922CBE" w:rsidRPr="00EA3B1C">
        <w:rPr>
          <w:lang w:val="en-US"/>
        </w:rPr>
        <w:t xml:space="preserve"> with the information provided by the licensee.</w:t>
      </w:r>
    </w:p>
    <w:p w:rsidR="00922CBE" w:rsidRPr="00EA3B1C" w:rsidRDefault="00922CBE" w:rsidP="00EA3B1C">
      <w:pPr>
        <w:rPr>
          <w:lang w:val="en-US"/>
        </w:rPr>
      </w:pPr>
      <w:r w:rsidRPr="00EA3B1C">
        <w:rPr>
          <w:lang w:val="en-US"/>
        </w:rPr>
        <w:t xml:space="preserve">I have </w:t>
      </w:r>
      <w:r w:rsidR="00F31D54">
        <w:rPr>
          <w:lang w:val="en-US"/>
        </w:rPr>
        <w:t>review</w:t>
      </w:r>
      <w:r w:rsidRPr="00EA3B1C">
        <w:rPr>
          <w:lang w:val="en-US"/>
        </w:rPr>
        <w:t>ed the information presented</w:t>
      </w:r>
      <w:r w:rsidR="00F853E3">
        <w:rPr>
          <w:lang w:val="en-US"/>
        </w:rPr>
        <w:t xml:space="preserve"> about ungulate winter ranges on TFL</w:t>
      </w:r>
      <w:r w:rsidR="005448EC">
        <w:rPr>
          <w:lang w:val="en-US"/>
        </w:rPr>
        <w:t> </w:t>
      </w:r>
      <w:r w:rsidR="00F853E3">
        <w:rPr>
          <w:lang w:val="en-US"/>
        </w:rPr>
        <w:t>48</w:t>
      </w:r>
      <w:r w:rsidR="00F31D54">
        <w:rPr>
          <w:lang w:val="en-US"/>
        </w:rPr>
        <w:t>, and I</w:t>
      </w:r>
      <w:r w:rsidR="005448EC">
        <w:rPr>
          <w:lang w:val="en-US"/>
        </w:rPr>
        <w:t> </w:t>
      </w:r>
      <w:r w:rsidR="00F31D54">
        <w:rPr>
          <w:lang w:val="en-US"/>
        </w:rPr>
        <w:t>accept that operational practices on the areas not restricted from harvest were adequately reflected without explicit modelling.</w:t>
      </w:r>
      <w:r w:rsidR="004B6E00">
        <w:rPr>
          <w:lang w:val="en-US"/>
        </w:rPr>
        <w:t xml:space="preserve">  </w:t>
      </w:r>
      <w:r w:rsidR="00F31D54">
        <w:rPr>
          <w:lang w:val="en-US"/>
        </w:rPr>
        <w:t xml:space="preserve">I </w:t>
      </w:r>
      <w:r w:rsidR="004B6E00">
        <w:rPr>
          <w:lang w:val="en-US"/>
        </w:rPr>
        <w:t>note</w:t>
      </w:r>
      <w:r w:rsidR="00CA5A5A">
        <w:rPr>
          <w:lang w:val="en-US"/>
        </w:rPr>
        <w:t xml:space="preserve"> that 1515 hectares</w:t>
      </w:r>
      <w:r w:rsidR="00CA5A5A" w:rsidRPr="00EA3B1C">
        <w:rPr>
          <w:lang w:val="en-US"/>
        </w:rPr>
        <w:t xml:space="preserve"> </w:t>
      </w:r>
      <w:r w:rsidR="00CA5A5A">
        <w:rPr>
          <w:lang w:val="en-US"/>
        </w:rPr>
        <w:t xml:space="preserve">in the </w:t>
      </w:r>
      <w:proofErr w:type="spellStart"/>
      <w:r w:rsidR="00CA5A5A">
        <w:rPr>
          <w:lang w:val="en-US"/>
        </w:rPr>
        <w:t>Dunlevy</w:t>
      </w:r>
      <w:proofErr w:type="spellEnd"/>
      <w:r w:rsidR="00CA5A5A">
        <w:rPr>
          <w:lang w:val="en-US"/>
        </w:rPr>
        <w:t xml:space="preserve"> area </w:t>
      </w:r>
      <w:r w:rsidR="00CA5A5A" w:rsidRPr="00EA3B1C">
        <w:rPr>
          <w:lang w:val="en-US"/>
        </w:rPr>
        <w:t>now contribute to timber supply</w:t>
      </w:r>
      <w:r w:rsidR="00CA5A5A">
        <w:rPr>
          <w:lang w:val="en-US"/>
        </w:rPr>
        <w:t xml:space="preserve"> on the TFL, and as a result</w:t>
      </w:r>
      <w:r w:rsidRPr="00EA3B1C">
        <w:rPr>
          <w:lang w:val="en-US"/>
        </w:rPr>
        <w:t xml:space="preserve"> the timber harvesting land base has been underestimated by </w:t>
      </w:r>
      <w:r w:rsidR="00AD20EB">
        <w:rPr>
          <w:lang w:val="en-US"/>
        </w:rPr>
        <w:t>approximately</w:t>
      </w:r>
      <w:r w:rsidR="00ED2300" w:rsidRPr="00EA3B1C">
        <w:rPr>
          <w:lang w:val="en-US"/>
        </w:rPr>
        <w:t xml:space="preserve"> </w:t>
      </w:r>
      <w:r w:rsidR="00ED2300" w:rsidRPr="00AD20EB">
        <w:rPr>
          <w:lang w:val="en-US"/>
        </w:rPr>
        <w:t>0.4 percent</w:t>
      </w:r>
      <w:r w:rsidRPr="00EA3B1C">
        <w:rPr>
          <w:lang w:val="en-US"/>
        </w:rPr>
        <w:t xml:space="preserve">. </w:t>
      </w:r>
      <w:r w:rsidR="00F412FA">
        <w:rPr>
          <w:lang w:val="en-US"/>
        </w:rPr>
        <w:t xml:space="preserve"> </w:t>
      </w:r>
      <w:r w:rsidRPr="00EA3B1C">
        <w:rPr>
          <w:lang w:val="en-US"/>
        </w:rPr>
        <w:t xml:space="preserve">I will discuss my considerations of this further under </w:t>
      </w:r>
      <w:r w:rsidR="00866BF7">
        <w:rPr>
          <w:lang w:val="en-US"/>
        </w:rPr>
        <w:t>‘</w:t>
      </w:r>
      <w:r w:rsidRPr="005448EC">
        <w:rPr>
          <w:b/>
          <w:lang w:val="en-US"/>
        </w:rPr>
        <w:t>Reasons for Decision</w:t>
      </w:r>
      <w:r w:rsidR="00866BF7">
        <w:rPr>
          <w:lang w:val="en-US"/>
        </w:rPr>
        <w:t>’</w:t>
      </w:r>
      <w:r w:rsidRPr="00EA3B1C">
        <w:rPr>
          <w:lang w:val="en-US"/>
        </w:rPr>
        <w:t>.</w:t>
      </w:r>
    </w:p>
    <w:p w:rsidR="006D08BC" w:rsidRPr="006D08BC" w:rsidRDefault="006D08BC" w:rsidP="006D08BC">
      <w:pPr>
        <w:pStyle w:val="Heading3"/>
        <w:rPr>
          <w:lang w:val="en-CA"/>
        </w:rPr>
      </w:pPr>
      <w:bookmarkStart w:id="263" w:name="_Toc432658644"/>
      <w:r w:rsidRPr="00F02D83">
        <w:rPr>
          <w:lang w:val="en-CA"/>
        </w:rPr>
        <w:t xml:space="preserve">- </w:t>
      </w:r>
      <w:proofErr w:type="gramStart"/>
      <w:r w:rsidRPr="00F02D83">
        <w:rPr>
          <w:lang w:val="en-CA"/>
        </w:rPr>
        <w:t>wildlife</w:t>
      </w:r>
      <w:proofErr w:type="gramEnd"/>
      <w:r w:rsidRPr="00F02D83">
        <w:rPr>
          <w:lang w:val="en-CA"/>
        </w:rPr>
        <w:t xml:space="preserve"> habitat areas</w:t>
      </w:r>
      <w:bookmarkEnd w:id="263"/>
      <w:r w:rsidR="00884335">
        <w:rPr>
          <w:lang w:val="en-CA"/>
        </w:rPr>
        <w:t xml:space="preserve"> </w:t>
      </w:r>
    </w:p>
    <w:p w:rsidR="004B6E00" w:rsidRPr="005448EC" w:rsidRDefault="00732EFE" w:rsidP="00EA3B1C">
      <w:pPr>
        <w:rPr>
          <w:lang w:val="en-US"/>
        </w:rPr>
      </w:pPr>
      <w:r w:rsidRPr="00EA3B1C">
        <w:rPr>
          <w:lang w:val="en-US"/>
        </w:rPr>
        <w:t xml:space="preserve">Sixteen new wildlife habitat areas </w:t>
      </w:r>
      <w:r w:rsidR="004D00CE" w:rsidRPr="005448EC">
        <w:rPr>
          <w:lang w:val="en-US"/>
        </w:rPr>
        <w:t>(WHA)</w:t>
      </w:r>
      <w:r w:rsidR="004D00CE">
        <w:rPr>
          <w:lang w:val="en-US"/>
        </w:rPr>
        <w:t xml:space="preserve"> </w:t>
      </w:r>
      <w:r w:rsidRPr="00EA3B1C">
        <w:rPr>
          <w:lang w:val="en-US"/>
        </w:rPr>
        <w:t>covering 22</w:t>
      </w:r>
      <w:r w:rsidR="005448EC">
        <w:rPr>
          <w:lang w:val="en-US"/>
        </w:rPr>
        <w:t> </w:t>
      </w:r>
      <w:r w:rsidRPr="00EA3B1C">
        <w:rPr>
          <w:lang w:val="en-US"/>
        </w:rPr>
        <w:t>252 hectares of productive forest have been established in the area of TFL</w:t>
      </w:r>
      <w:r w:rsidR="005448EC">
        <w:rPr>
          <w:lang w:val="en-US"/>
        </w:rPr>
        <w:t> </w:t>
      </w:r>
      <w:r w:rsidRPr="00EA3B1C">
        <w:rPr>
          <w:lang w:val="en-US"/>
        </w:rPr>
        <w:t>48 since the 2006 analysis</w:t>
      </w:r>
      <w:r w:rsidR="00884335">
        <w:rPr>
          <w:lang w:val="en-US"/>
        </w:rPr>
        <w:t>, primarily for caribou calving and rutting.</w:t>
      </w:r>
      <w:r w:rsidRPr="00EA3B1C">
        <w:rPr>
          <w:lang w:val="en-US"/>
        </w:rPr>
        <w:t xml:space="preserve">  These areas were identified and explicitly excluded in the derivation of the timber harvesting land base for the 2014 analysis, for a </w:t>
      </w:r>
      <w:r w:rsidRPr="004B6E00">
        <w:rPr>
          <w:lang w:val="en-US"/>
        </w:rPr>
        <w:t>total of 1377 hectares after other deductions.</w:t>
      </w:r>
      <w:r w:rsidR="004D00CE">
        <w:rPr>
          <w:lang w:val="en-US"/>
        </w:rPr>
        <w:t xml:space="preserve">  </w:t>
      </w:r>
      <w:r w:rsidR="004D00CE" w:rsidRPr="005448EC">
        <w:rPr>
          <w:lang w:val="en-US"/>
        </w:rPr>
        <w:t>A</w:t>
      </w:r>
      <w:r w:rsidR="005448EC" w:rsidRPr="005448EC">
        <w:rPr>
          <w:lang w:val="en-US"/>
        </w:rPr>
        <w:t> </w:t>
      </w:r>
      <w:r w:rsidR="004D00CE" w:rsidRPr="005448EC">
        <w:rPr>
          <w:lang w:val="en-US"/>
        </w:rPr>
        <w:t>WHA for bull trout is also located on TFL</w:t>
      </w:r>
      <w:r w:rsidR="005448EC">
        <w:rPr>
          <w:lang w:val="en-US"/>
        </w:rPr>
        <w:t> </w:t>
      </w:r>
      <w:r w:rsidR="004D00CE" w:rsidRPr="005448EC">
        <w:rPr>
          <w:lang w:val="en-US"/>
        </w:rPr>
        <w:t>48.  The area excluded from the THLB for this WHA was 74 h</w:t>
      </w:r>
      <w:r w:rsidR="005448EC">
        <w:rPr>
          <w:lang w:val="en-US"/>
        </w:rPr>
        <w:t>ectares</w:t>
      </w:r>
      <w:r w:rsidR="004D00CE" w:rsidRPr="005448EC">
        <w:rPr>
          <w:lang w:val="en-US"/>
        </w:rPr>
        <w:t>.</w:t>
      </w:r>
    </w:p>
    <w:p w:rsidR="00732EFE" w:rsidRPr="00EA3B1C" w:rsidRDefault="00861E4D" w:rsidP="00EA3B1C">
      <w:pPr>
        <w:rPr>
          <w:lang w:val="en-US"/>
        </w:rPr>
      </w:pPr>
      <w:r w:rsidRPr="005448EC">
        <w:rPr>
          <w:lang w:val="en-US"/>
        </w:rPr>
        <w:t xml:space="preserve">As described further under </w:t>
      </w:r>
      <w:r w:rsidR="00866BF7">
        <w:rPr>
          <w:lang w:val="en-US"/>
        </w:rPr>
        <w:t>‘</w:t>
      </w:r>
      <w:r w:rsidRPr="005448EC">
        <w:rPr>
          <w:lang w:val="en-US"/>
        </w:rPr>
        <w:t>First Nations considerations</w:t>
      </w:r>
      <w:r w:rsidR="00866BF7">
        <w:rPr>
          <w:lang w:val="en-US"/>
        </w:rPr>
        <w:t>’</w:t>
      </w:r>
      <w:r w:rsidRPr="005448EC">
        <w:rPr>
          <w:lang w:val="en-US"/>
        </w:rPr>
        <w:t>,</w:t>
      </w:r>
      <w:r w:rsidR="001C4B5D" w:rsidRPr="005448EC">
        <w:rPr>
          <w:lang w:val="en-US"/>
        </w:rPr>
        <w:t xml:space="preserve"> during the information sharing process undertaken by Canfor and the consultation process with FLNR, t</w:t>
      </w:r>
      <w:r w:rsidR="00732EFE" w:rsidRPr="005448EC">
        <w:rPr>
          <w:lang w:val="en-US"/>
        </w:rPr>
        <w:t>he West Moberly First Nation</w:t>
      </w:r>
      <w:r w:rsidR="00D51C24" w:rsidRPr="005448EC">
        <w:rPr>
          <w:lang w:val="en-US"/>
        </w:rPr>
        <w:t>s</w:t>
      </w:r>
      <w:r w:rsidR="00732EFE" w:rsidRPr="005448EC">
        <w:rPr>
          <w:lang w:val="en-US"/>
        </w:rPr>
        <w:t xml:space="preserve"> expressed concern regarding disturbance to critical habitat defined in the draft </w:t>
      </w:r>
      <w:r w:rsidR="00240333" w:rsidRPr="005448EC">
        <w:rPr>
          <w:i/>
          <w:lang w:val="en-US"/>
        </w:rPr>
        <w:t>‘</w:t>
      </w:r>
      <w:r w:rsidR="004657D8" w:rsidRPr="005448EC">
        <w:rPr>
          <w:i/>
        </w:rPr>
        <w:t xml:space="preserve">Action Plan for the </w:t>
      </w:r>
      <w:proofErr w:type="spellStart"/>
      <w:r w:rsidR="004657D8" w:rsidRPr="005448EC">
        <w:rPr>
          <w:i/>
        </w:rPr>
        <w:t>Klinse</w:t>
      </w:r>
      <w:r w:rsidR="005448EC">
        <w:rPr>
          <w:i/>
        </w:rPr>
        <w:noBreakHyphen/>
      </w:r>
      <w:r w:rsidR="004657D8" w:rsidRPr="005448EC">
        <w:rPr>
          <w:i/>
        </w:rPr>
        <w:t>Za</w:t>
      </w:r>
      <w:proofErr w:type="spellEnd"/>
      <w:r w:rsidR="004657D8" w:rsidRPr="005448EC">
        <w:rPr>
          <w:i/>
        </w:rPr>
        <w:t xml:space="preserve"> Herd of Woodland Caribou</w:t>
      </w:r>
      <w:r w:rsidR="00240333" w:rsidRPr="005448EC">
        <w:rPr>
          <w:i/>
        </w:rPr>
        <w:t>’</w:t>
      </w:r>
      <w:r w:rsidR="001712E5" w:rsidRPr="005448EC">
        <w:rPr>
          <w:lang w:val="en-US"/>
        </w:rPr>
        <w:t xml:space="preserve"> due to </w:t>
      </w:r>
      <w:r w:rsidR="006D63DA" w:rsidRPr="005448EC">
        <w:rPr>
          <w:lang w:val="en-US"/>
        </w:rPr>
        <w:t xml:space="preserve">the licensee’s </w:t>
      </w:r>
      <w:r w:rsidR="001712E5" w:rsidRPr="005448EC">
        <w:rPr>
          <w:lang w:val="en-US"/>
        </w:rPr>
        <w:t>plan</w:t>
      </w:r>
      <w:r w:rsidR="006D63DA" w:rsidRPr="005448EC">
        <w:rPr>
          <w:lang w:val="en-US"/>
        </w:rPr>
        <w:t>ned harvesting activities</w:t>
      </w:r>
      <w:r w:rsidR="001712E5" w:rsidRPr="005448EC">
        <w:rPr>
          <w:lang w:val="en-US"/>
        </w:rPr>
        <w:t>.</w:t>
      </w:r>
      <w:r w:rsidR="001712E5" w:rsidRPr="00EA3B1C">
        <w:rPr>
          <w:lang w:val="en-US"/>
        </w:rPr>
        <w:t xml:space="preserve">  They further expressed an interest to initiate discussion about an approach to forest development that would be consistent with the recovery of the herd as outlined in the </w:t>
      </w:r>
      <w:r w:rsidR="005831A5">
        <w:rPr>
          <w:lang w:val="en-US"/>
        </w:rPr>
        <w:t>a</w:t>
      </w:r>
      <w:r w:rsidR="001712E5" w:rsidRPr="00EA3B1C">
        <w:rPr>
          <w:lang w:val="en-US"/>
        </w:rPr>
        <w:t xml:space="preserve">ction </w:t>
      </w:r>
      <w:r w:rsidR="005831A5">
        <w:rPr>
          <w:lang w:val="en-US"/>
        </w:rPr>
        <w:t>p</w:t>
      </w:r>
      <w:r w:rsidR="001712E5" w:rsidRPr="00EA3B1C">
        <w:rPr>
          <w:lang w:val="en-US"/>
        </w:rPr>
        <w:t>lan,</w:t>
      </w:r>
      <w:r w:rsidR="00C5167D" w:rsidRPr="00EA3B1C">
        <w:rPr>
          <w:lang w:val="en-US"/>
        </w:rPr>
        <w:t xml:space="preserve"> and included draft measures, including for maximum disturbance levels, </w:t>
      </w:r>
      <w:r w:rsidR="001712E5" w:rsidRPr="00EA3B1C">
        <w:rPr>
          <w:lang w:val="en-US"/>
        </w:rPr>
        <w:t>from the action plan.</w:t>
      </w:r>
      <w:r w:rsidR="00C5167D" w:rsidRPr="00EA3B1C">
        <w:rPr>
          <w:lang w:val="en-US"/>
        </w:rPr>
        <w:t xml:space="preserve">  They also commented that the harvest level increase proposed by Canfor would not be consistent with reducing disturbance.</w:t>
      </w:r>
    </w:p>
    <w:p w:rsidR="00C5167D" w:rsidRPr="00EA3B1C" w:rsidRDefault="001C4B5D" w:rsidP="00EA3B1C">
      <w:pPr>
        <w:rPr>
          <w:lang w:val="en-US"/>
        </w:rPr>
      </w:pPr>
      <w:r w:rsidRPr="005448EC">
        <w:rPr>
          <w:lang w:val="en-US"/>
        </w:rPr>
        <w:t>In response to the concerns expre</w:t>
      </w:r>
      <w:r w:rsidR="00A22B70" w:rsidRPr="005448EC">
        <w:rPr>
          <w:lang w:val="en-US"/>
        </w:rPr>
        <w:t>ssed by the West Moberly First N</w:t>
      </w:r>
      <w:r w:rsidRPr="005448EC">
        <w:rPr>
          <w:lang w:val="en-US"/>
        </w:rPr>
        <w:t xml:space="preserve">ations, Canfor </w:t>
      </w:r>
      <w:r w:rsidR="00C5167D" w:rsidRPr="005448EC">
        <w:rPr>
          <w:lang w:val="en-US"/>
        </w:rPr>
        <w:t>prepared a</w:t>
      </w:r>
      <w:r w:rsidR="00C5167D" w:rsidRPr="00EA3B1C">
        <w:rPr>
          <w:lang w:val="en-US"/>
        </w:rPr>
        <w:t xml:space="preserve"> sensitivity analysis in which the </w:t>
      </w:r>
      <w:r w:rsidR="00AD20EB">
        <w:rPr>
          <w:lang w:val="en-US"/>
        </w:rPr>
        <w:t xml:space="preserve">draft </w:t>
      </w:r>
      <w:r w:rsidR="00C5167D" w:rsidRPr="00EA3B1C">
        <w:rPr>
          <w:lang w:val="en-US"/>
        </w:rPr>
        <w:t>maximum disturbance level</w:t>
      </w:r>
      <w:r w:rsidR="00AD20EB">
        <w:rPr>
          <w:lang w:val="en-US"/>
        </w:rPr>
        <w:t xml:space="preserve"> information </w:t>
      </w:r>
      <w:r w:rsidR="00C5167D" w:rsidRPr="00EA3B1C">
        <w:rPr>
          <w:lang w:val="en-US"/>
        </w:rPr>
        <w:t xml:space="preserve">provided </w:t>
      </w:r>
      <w:r w:rsidR="006D63DA" w:rsidRPr="00EA3B1C">
        <w:rPr>
          <w:lang w:val="en-US"/>
        </w:rPr>
        <w:t>by the West Moberly First Nation</w:t>
      </w:r>
      <w:r w:rsidR="00D51C24">
        <w:rPr>
          <w:lang w:val="en-US"/>
        </w:rPr>
        <w:t>s</w:t>
      </w:r>
      <w:r w:rsidR="006D63DA" w:rsidRPr="00EA3B1C">
        <w:rPr>
          <w:lang w:val="en-US"/>
        </w:rPr>
        <w:t xml:space="preserve"> with the draft measures from the action plan </w:t>
      </w:r>
      <w:r w:rsidR="00C5167D" w:rsidRPr="00EA3B1C">
        <w:rPr>
          <w:lang w:val="en-US"/>
        </w:rPr>
        <w:t>were applied</w:t>
      </w:r>
      <w:r w:rsidR="00AD20EB">
        <w:rPr>
          <w:lang w:val="en-US"/>
        </w:rPr>
        <w:t xml:space="preserve"> broadly</w:t>
      </w:r>
      <w:r w:rsidR="00C5167D" w:rsidRPr="00EA3B1C">
        <w:rPr>
          <w:lang w:val="en-US"/>
        </w:rPr>
        <w:t xml:space="preserve">.  The sensitivity analysis showed that timber supply </w:t>
      </w:r>
      <w:r w:rsidR="00A63DFC">
        <w:rPr>
          <w:lang w:val="en-US"/>
        </w:rPr>
        <w:t>on TFL</w:t>
      </w:r>
      <w:r w:rsidR="005448EC">
        <w:rPr>
          <w:lang w:val="en-US"/>
        </w:rPr>
        <w:t> </w:t>
      </w:r>
      <w:r w:rsidR="00A63DFC">
        <w:rPr>
          <w:lang w:val="en-US"/>
        </w:rPr>
        <w:t xml:space="preserve">48 </w:t>
      </w:r>
      <w:r w:rsidR="00C5167D" w:rsidRPr="00EA3B1C">
        <w:rPr>
          <w:lang w:val="en-US"/>
        </w:rPr>
        <w:t>would be reduced by 46</w:t>
      </w:r>
      <w:r w:rsidR="00AD20EB">
        <w:rPr>
          <w:lang w:val="en-US"/>
        </w:rPr>
        <w:t> </w:t>
      </w:r>
      <w:r w:rsidR="00C5167D" w:rsidRPr="00EA3B1C">
        <w:rPr>
          <w:lang w:val="en-US"/>
        </w:rPr>
        <w:t xml:space="preserve">percent over the forecast period. </w:t>
      </w:r>
      <w:r w:rsidR="006D63DA" w:rsidRPr="00EA3B1C">
        <w:rPr>
          <w:lang w:val="en-US"/>
        </w:rPr>
        <w:t xml:space="preserve"> </w:t>
      </w:r>
      <w:r w:rsidR="00AD20EB">
        <w:rPr>
          <w:lang w:val="en-US"/>
        </w:rPr>
        <w:t>In order to attempt to better reflect how these levels and measures might be applied operationally, t</w:t>
      </w:r>
      <w:r w:rsidR="006D63DA" w:rsidRPr="00EA3B1C">
        <w:rPr>
          <w:lang w:val="en-US"/>
        </w:rPr>
        <w:t>he licensee requested information about the planning zones from the action plan, but this information had not yet been developed.</w:t>
      </w:r>
      <w:r w:rsidR="00EF5E04" w:rsidRPr="00EF5E04">
        <w:rPr>
          <w:color w:val="000000" w:themeColor="text1"/>
        </w:rPr>
        <w:t xml:space="preserve"> </w:t>
      </w:r>
      <w:r w:rsidR="00EF5E04">
        <w:rPr>
          <w:color w:val="000000" w:themeColor="text1"/>
        </w:rPr>
        <w:t xml:space="preserve"> Specifically, the author of the plan indicated that shape files are not available for the areas because the primary and secondary caribou management zones and the moose enhancement area are conceptual and further work is required to delineate these areas.</w:t>
      </w:r>
    </w:p>
    <w:p w:rsidR="006D63DA" w:rsidRPr="00EA3B1C" w:rsidRDefault="00EB499D" w:rsidP="00EA3B1C">
      <w:pPr>
        <w:rPr>
          <w:lang w:val="en-US"/>
        </w:rPr>
      </w:pPr>
      <w:r>
        <w:rPr>
          <w:lang w:val="en-US"/>
        </w:rPr>
        <w:t>FLNR operations</w:t>
      </w:r>
      <w:r w:rsidRPr="00EA3B1C">
        <w:rPr>
          <w:lang w:val="en-US"/>
        </w:rPr>
        <w:t xml:space="preserve"> </w:t>
      </w:r>
      <w:proofErr w:type="gramStart"/>
      <w:r w:rsidR="006D63DA" w:rsidRPr="00EA3B1C">
        <w:rPr>
          <w:lang w:val="en-US"/>
        </w:rPr>
        <w:t>staff note</w:t>
      </w:r>
      <w:proofErr w:type="gramEnd"/>
      <w:r w:rsidR="006D63DA" w:rsidRPr="00EA3B1C">
        <w:rPr>
          <w:lang w:val="en-US"/>
        </w:rPr>
        <w:t xml:space="preserve"> that the </w:t>
      </w:r>
      <w:r w:rsidR="00240333">
        <w:rPr>
          <w:lang w:val="en-US"/>
        </w:rPr>
        <w:t>action plan</w:t>
      </w:r>
      <w:r w:rsidR="006D63DA" w:rsidRPr="00EA3B1C">
        <w:rPr>
          <w:lang w:val="en-US"/>
        </w:rPr>
        <w:t xml:space="preserve"> is not endorsed by </w:t>
      </w:r>
      <w:r w:rsidR="00D00ECB" w:rsidRPr="00EA3B1C">
        <w:rPr>
          <w:lang w:val="en-US"/>
        </w:rPr>
        <w:t xml:space="preserve">the BC </w:t>
      </w:r>
      <w:r w:rsidR="006D63DA" w:rsidRPr="00EA3B1C">
        <w:rPr>
          <w:lang w:val="en-US"/>
        </w:rPr>
        <w:t xml:space="preserve">government.  The Province has engaged in its own process for the management of seven herds of northern caribou, including the </w:t>
      </w:r>
      <w:proofErr w:type="spellStart"/>
      <w:r w:rsidR="006D63DA" w:rsidRPr="00EA3B1C">
        <w:rPr>
          <w:lang w:val="en-US"/>
        </w:rPr>
        <w:t>Klinse</w:t>
      </w:r>
      <w:r w:rsidR="00B073FF">
        <w:rPr>
          <w:lang w:val="en-US"/>
        </w:rPr>
        <w:noBreakHyphen/>
      </w:r>
      <w:r w:rsidR="006D63DA" w:rsidRPr="00EA3B1C">
        <w:rPr>
          <w:lang w:val="en-US"/>
        </w:rPr>
        <w:t>za</w:t>
      </w:r>
      <w:proofErr w:type="spellEnd"/>
      <w:r w:rsidR="006D63DA" w:rsidRPr="00EA3B1C">
        <w:rPr>
          <w:lang w:val="en-US"/>
        </w:rPr>
        <w:t xml:space="preserve"> herd, through the </w:t>
      </w:r>
      <w:r w:rsidR="00B073FF">
        <w:rPr>
          <w:lang w:val="en-US"/>
        </w:rPr>
        <w:t>‘</w:t>
      </w:r>
      <w:r w:rsidR="006D63DA" w:rsidRPr="000704E4">
        <w:rPr>
          <w:i/>
          <w:lang w:val="en-US"/>
        </w:rPr>
        <w:t xml:space="preserve">Implementation Plan for the Ongoing Management of South Peace Northern Caribou (Rangifer </w:t>
      </w:r>
      <w:proofErr w:type="spellStart"/>
      <w:r w:rsidR="006D63DA" w:rsidRPr="000704E4">
        <w:rPr>
          <w:i/>
          <w:lang w:val="en-US"/>
        </w:rPr>
        <w:t>tarandus</w:t>
      </w:r>
      <w:proofErr w:type="spellEnd"/>
      <w:r w:rsidR="006D63DA" w:rsidRPr="000704E4">
        <w:rPr>
          <w:i/>
          <w:lang w:val="en-US"/>
        </w:rPr>
        <w:t xml:space="preserve"> caribou pop. 15) in British</w:t>
      </w:r>
      <w:r w:rsidR="006D63DA" w:rsidRPr="000704E4">
        <w:rPr>
          <w:i/>
          <w:szCs w:val="22"/>
        </w:rPr>
        <w:t xml:space="preserve"> Columbia</w:t>
      </w:r>
      <w:r w:rsidR="00B073FF">
        <w:rPr>
          <w:i/>
          <w:szCs w:val="22"/>
        </w:rPr>
        <w:t>’</w:t>
      </w:r>
      <w:r w:rsidR="00AD20EB">
        <w:rPr>
          <w:szCs w:val="22"/>
        </w:rPr>
        <w:t xml:space="preserve"> (the</w:t>
      </w:r>
      <w:r w:rsidR="00B073FF">
        <w:rPr>
          <w:szCs w:val="22"/>
        </w:rPr>
        <w:t> </w:t>
      </w:r>
      <w:r w:rsidR="00AD20EB">
        <w:rPr>
          <w:szCs w:val="22"/>
        </w:rPr>
        <w:t>‘Implementation Plan’)</w:t>
      </w:r>
      <w:r w:rsidR="006D63DA">
        <w:rPr>
          <w:szCs w:val="22"/>
        </w:rPr>
        <w:t xml:space="preserve">.  </w:t>
      </w:r>
      <w:r w:rsidR="00B01453">
        <w:rPr>
          <w:szCs w:val="22"/>
        </w:rPr>
        <w:t>Standardized Industry Management Practices (SIMPs) as part of this plan are currently under development</w:t>
      </w:r>
      <w:r w:rsidR="00B31233">
        <w:rPr>
          <w:szCs w:val="22"/>
        </w:rPr>
        <w:t xml:space="preserve">.  </w:t>
      </w:r>
      <w:r w:rsidR="00B31233" w:rsidRPr="007B072F">
        <w:rPr>
          <w:szCs w:val="22"/>
        </w:rPr>
        <w:t xml:space="preserve">Consultation </w:t>
      </w:r>
      <w:r w:rsidR="00B01453" w:rsidRPr="007B072F">
        <w:rPr>
          <w:szCs w:val="22"/>
        </w:rPr>
        <w:t xml:space="preserve">will begin </w:t>
      </w:r>
      <w:r w:rsidR="00B31233" w:rsidRPr="007B072F">
        <w:rPr>
          <w:szCs w:val="22"/>
        </w:rPr>
        <w:t xml:space="preserve">with </w:t>
      </w:r>
      <w:r w:rsidR="00B01453" w:rsidRPr="007B072F">
        <w:rPr>
          <w:szCs w:val="22"/>
        </w:rPr>
        <w:t>stakeholders and First</w:t>
      </w:r>
      <w:r w:rsidR="00B073FF" w:rsidRPr="007B072F">
        <w:rPr>
          <w:szCs w:val="22"/>
        </w:rPr>
        <w:t> </w:t>
      </w:r>
      <w:r w:rsidR="00B01453" w:rsidRPr="007B072F">
        <w:rPr>
          <w:szCs w:val="22"/>
        </w:rPr>
        <w:t xml:space="preserve">Nations during </w:t>
      </w:r>
      <w:r w:rsidR="00B01453" w:rsidRPr="007B072F">
        <w:rPr>
          <w:lang w:val="en-US"/>
        </w:rPr>
        <w:t>2015.  The SIMPs would apply to areas of high and low elevation caribou habitat outside of existing ungulate winter r</w:t>
      </w:r>
      <w:r w:rsidR="00B01453" w:rsidRPr="00EA3B1C">
        <w:rPr>
          <w:lang w:val="en-US"/>
        </w:rPr>
        <w:t>anges and wildlife habitat areas.</w:t>
      </w:r>
    </w:p>
    <w:p w:rsidR="00B01453" w:rsidRPr="00B073FF" w:rsidRDefault="00AB6FF8" w:rsidP="00EA3B1C">
      <w:pPr>
        <w:rPr>
          <w:lang w:val="en-US"/>
        </w:rPr>
      </w:pPr>
      <w:r w:rsidRPr="00B073FF">
        <w:rPr>
          <w:lang w:val="en-US"/>
        </w:rPr>
        <w:t>In accordance with my guiding principles, as neither of these plans has been endorsed by government, it would be inappropriate to take either plan into account for this determination.</w:t>
      </w:r>
      <w:r w:rsidR="00AC44F3" w:rsidRPr="00B073FF">
        <w:rPr>
          <w:lang w:val="en-US"/>
        </w:rPr>
        <w:t xml:space="preserve"> However, should government endorse </w:t>
      </w:r>
      <w:r w:rsidRPr="00B073FF">
        <w:rPr>
          <w:lang w:val="en-US"/>
        </w:rPr>
        <w:t xml:space="preserve">either </w:t>
      </w:r>
      <w:r w:rsidR="00AC44F3" w:rsidRPr="00B073FF">
        <w:rPr>
          <w:lang w:val="en-US"/>
        </w:rPr>
        <w:t xml:space="preserve">of these plans, </w:t>
      </w:r>
      <w:r w:rsidRPr="00B073FF">
        <w:rPr>
          <w:lang w:val="en-US"/>
        </w:rPr>
        <w:t xml:space="preserve">it </w:t>
      </w:r>
      <w:r w:rsidR="00AC44F3" w:rsidRPr="00B073FF">
        <w:rPr>
          <w:lang w:val="en-US"/>
        </w:rPr>
        <w:t>will be considered in future determinations.</w:t>
      </w:r>
    </w:p>
    <w:p w:rsidR="0079373A" w:rsidRPr="00B073FF" w:rsidRDefault="004B6E00" w:rsidP="00EA3B1C">
      <w:pPr>
        <w:rPr>
          <w:lang w:val="en-US"/>
        </w:rPr>
      </w:pPr>
      <w:r w:rsidRPr="00B073FF">
        <w:rPr>
          <w:lang w:val="en-US"/>
        </w:rPr>
        <w:t xml:space="preserve">Having considered the information regarding wildlife habitat areas, I accept the exclusions in the base case were appropriate for this determination.  </w:t>
      </w:r>
      <w:r w:rsidR="00EA3B1C" w:rsidRPr="00B073FF">
        <w:rPr>
          <w:lang w:val="en-US"/>
        </w:rPr>
        <w:t>I</w:t>
      </w:r>
      <w:r w:rsidR="0079373A" w:rsidRPr="00B073FF">
        <w:rPr>
          <w:lang w:val="en-US"/>
        </w:rPr>
        <w:t xml:space="preserve"> acknowledge the licensee for TFL</w:t>
      </w:r>
      <w:r w:rsidR="00B073FF">
        <w:rPr>
          <w:lang w:val="en-US"/>
        </w:rPr>
        <w:t> </w:t>
      </w:r>
      <w:r w:rsidR="0079373A" w:rsidRPr="00B073FF">
        <w:rPr>
          <w:lang w:val="en-US"/>
        </w:rPr>
        <w:t xml:space="preserve">48 </w:t>
      </w:r>
      <w:r w:rsidR="00AD20EB" w:rsidRPr="00B073FF">
        <w:rPr>
          <w:lang w:val="en-US"/>
        </w:rPr>
        <w:t>for its management</w:t>
      </w:r>
      <w:r w:rsidR="0079373A" w:rsidRPr="00B073FF">
        <w:rPr>
          <w:lang w:val="en-US"/>
        </w:rPr>
        <w:t xml:space="preserve"> operationally for caribou habitat.  Once the SIMPs </w:t>
      </w:r>
      <w:r w:rsidR="00AD20EB" w:rsidRPr="00B073FF">
        <w:rPr>
          <w:lang w:val="en-US"/>
        </w:rPr>
        <w:t xml:space="preserve">from the Implementation Plan </w:t>
      </w:r>
      <w:r w:rsidR="0079373A" w:rsidRPr="00B073FF">
        <w:rPr>
          <w:lang w:val="en-US"/>
        </w:rPr>
        <w:t xml:space="preserve">are available, I </w:t>
      </w:r>
      <w:r w:rsidR="00A87B9B" w:rsidRPr="00B073FF">
        <w:rPr>
          <w:lang w:val="en-US"/>
        </w:rPr>
        <w:t xml:space="preserve">expect </w:t>
      </w:r>
      <w:r w:rsidR="0079373A" w:rsidRPr="00B073FF">
        <w:rPr>
          <w:lang w:val="en-US"/>
        </w:rPr>
        <w:t>the licensee to apply them in their operations</w:t>
      </w:r>
      <w:r w:rsidR="00DE7C47" w:rsidRPr="00B073FF">
        <w:rPr>
          <w:lang w:val="en-US"/>
        </w:rPr>
        <w:t xml:space="preserve"> on the TFL</w:t>
      </w:r>
      <w:r w:rsidR="00E838A4" w:rsidRPr="00B073FF">
        <w:rPr>
          <w:lang w:val="en-US"/>
        </w:rPr>
        <w:t xml:space="preserve">, and I have included an instruction to that effect under </w:t>
      </w:r>
      <w:r w:rsidR="00866BF7">
        <w:rPr>
          <w:lang w:val="en-US"/>
        </w:rPr>
        <w:t>‘</w:t>
      </w:r>
      <w:r w:rsidR="00E838A4" w:rsidRPr="00B073FF">
        <w:rPr>
          <w:b/>
          <w:lang w:val="en-US"/>
        </w:rPr>
        <w:t>Implementation</w:t>
      </w:r>
      <w:r w:rsidR="00866BF7">
        <w:rPr>
          <w:lang w:val="en-US"/>
        </w:rPr>
        <w:t>’</w:t>
      </w:r>
      <w:r w:rsidR="0079373A" w:rsidRPr="00B073FF">
        <w:rPr>
          <w:lang w:val="en-US"/>
        </w:rPr>
        <w:t xml:space="preserve">.  I </w:t>
      </w:r>
      <w:r w:rsidR="00AD20EB" w:rsidRPr="00B073FF">
        <w:rPr>
          <w:lang w:val="en-US"/>
        </w:rPr>
        <w:t xml:space="preserve">will take into account </w:t>
      </w:r>
      <w:r w:rsidR="0079373A" w:rsidRPr="00B073FF">
        <w:rPr>
          <w:lang w:val="en-US"/>
        </w:rPr>
        <w:t xml:space="preserve">any timber supply impacts </w:t>
      </w:r>
      <w:r w:rsidR="00AD20EB" w:rsidRPr="00B073FF">
        <w:rPr>
          <w:lang w:val="en-US"/>
        </w:rPr>
        <w:t xml:space="preserve">that arise </w:t>
      </w:r>
      <w:r w:rsidR="0079373A" w:rsidRPr="00B073FF">
        <w:rPr>
          <w:lang w:val="en-US"/>
        </w:rPr>
        <w:t>from the application of the SIMPs in the next determination for TFL</w:t>
      </w:r>
      <w:r w:rsidR="00B073FF">
        <w:rPr>
          <w:lang w:val="en-US"/>
        </w:rPr>
        <w:t> </w:t>
      </w:r>
      <w:r w:rsidR="0079373A" w:rsidRPr="00B073FF">
        <w:rPr>
          <w:lang w:val="en-US"/>
        </w:rPr>
        <w:t>48.</w:t>
      </w:r>
    </w:p>
    <w:p w:rsidR="006D08BC" w:rsidRPr="00B073FF" w:rsidRDefault="00D3693B" w:rsidP="00D3693B">
      <w:pPr>
        <w:pStyle w:val="Heading3"/>
        <w:rPr>
          <w:lang w:val="en-CA"/>
        </w:rPr>
      </w:pPr>
      <w:bookmarkStart w:id="264" w:name="_Toc432658645"/>
      <w:r w:rsidRPr="00B073FF">
        <w:rPr>
          <w:lang w:val="en-CA"/>
        </w:rPr>
        <w:t xml:space="preserve">- </w:t>
      </w:r>
      <w:proofErr w:type="gramStart"/>
      <w:r w:rsidRPr="00B073FF">
        <w:rPr>
          <w:lang w:val="en-CA"/>
        </w:rPr>
        <w:t>watershed</w:t>
      </w:r>
      <w:proofErr w:type="gramEnd"/>
      <w:r w:rsidRPr="00B073FF">
        <w:rPr>
          <w:lang w:val="en-CA"/>
        </w:rPr>
        <w:t xml:space="preserve"> objectives</w:t>
      </w:r>
      <w:bookmarkEnd w:id="264"/>
    </w:p>
    <w:p w:rsidR="00D3693B" w:rsidRDefault="00AD20EB" w:rsidP="00416A48">
      <w:r w:rsidRPr="00B073FF">
        <w:t xml:space="preserve">In the 2014 analysis </w:t>
      </w:r>
      <w:r w:rsidR="00223F56" w:rsidRPr="00B073FF">
        <w:t xml:space="preserve">no explicit accounting for watershed objectives </w:t>
      </w:r>
      <w:r w:rsidRPr="00B073FF">
        <w:t>was applied</w:t>
      </w:r>
      <w:r w:rsidR="00223F56" w:rsidRPr="00B073FF">
        <w:t xml:space="preserve">.  The licensee provided a sensitivity analysis in which </w:t>
      </w:r>
      <w:r w:rsidR="008726CD" w:rsidRPr="00B073FF">
        <w:t xml:space="preserve">the </w:t>
      </w:r>
      <w:r w:rsidR="00223F56" w:rsidRPr="00B073FF">
        <w:t xml:space="preserve">maximum peak flow index assigned to each watershed in the TFL was enforced using Equivalent </w:t>
      </w:r>
      <w:proofErr w:type="spellStart"/>
      <w:r w:rsidR="00223F56" w:rsidRPr="00B073FF">
        <w:t>Clearcut</w:t>
      </w:r>
      <w:proofErr w:type="spellEnd"/>
      <w:r w:rsidR="00223F56" w:rsidRPr="00B073FF">
        <w:t xml:space="preserve"> Area (ECA) and projected</w:t>
      </w:r>
      <w:r w:rsidR="00223F56">
        <w:t xml:space="preserve"> hydrological recovery.  The sensitivity analysis suggested that timber supply was reduced by between </w:t>
      </w:r>
      <w:r w:rsidR="00B073FF">
        <w:t>four</w:t>
      </w:r>
      <w:r w:rsidR="00223F56">
        <w:t xml:space="preserve"> and </w:t>
      </w:r>
      <w:r w:rsidR="00B073FF">
        <w:t>six</w:t>
      </w:r>
      <w:r w:rsidR="00223F56">
        <w:t> percent across the planning horizon.</w:t>
      </w:r>
    </w:p>
    <w:p w:rsidR="00223F56" w:rsidRDefault="00223F56" w:rsidP="00416A48">
      <w:r>
        <w:t xml:space="preserve">The licensee indicates that </w:t>
      </w:r>
      <w:r w:rsidR="00AD20EB">
        <w:t>it</w:t>
      </w:r>
      <w:r>
        <w:t xml:space="preserve"> manag</w:t>
      </w:r>
      <w:r w:rsidR="00AD20EB">
        <w:t>es</w:t>
      </w:r>
      <w:r>
        <w:t xml:space="preserve"> operationally for peak flow index threshold values, as committed to in their </w:t>
      </w:r>
      <w:r w:rsidR="00D9469F">
        <w:t>Sustainable Forest M</w:t>
      </w:r>
      <w:r w:rsidR="00D61B6C">
        <w:t>anagement Plan</w:t>
      </w:r>
      <w:r w:rsidR="00B073FF">
        <w:t> </w:t>
      </w:r>
      <w:r w:rsidR="007C0224">
        <w:t>5</w:t>
      </w:r>
      <w:r w:rsidR="00D61B6C">
        <w:t xml:space="preserve"> (</w:t>
      </w:r>
      <w:r>
        <w:t>SFMP</w:t>
      </w:r>
      <w:r w:rsidR="00D61B6C">
        <w:t>)</w:t>
      </w:r>
      <w:r w:rsidR="00AD20EB">
        <w:t>, and does</w:t>
      </w:r>
      <w:r>
        <w:t xml:space="preserve"> not manage operationally for ECAs. </w:t>
      </w:r>
      <w:r w:rsidR="00D9469F">
        <w:t xml:space="preserve"> </w:t>
      </w:r>
      <w:r w:rsidR="00FF0F0E">
        <w:t>A review conducted by the licensee and provided to FAIB staff indicate</w:t>
      </w:r>
      <w:r w:rsidR="00AD20EB">
        <w:t>s</w:t>
      </w:r>
      <w:r w:rsidR="00FF0F0E">
        <w:t xml:space="preserve"> that </w:t>
      </w:r>
      <w:r w:rsidR="00AD20EB">
        <w:t xml:space="preserve">none of the </w:t>
      </w:r>
      <w:r w:rsidR="00FF0F0E">
        <w:t>harvesting activity in the watersheds on the TFL has violated the peak flow index thresholds.</w:t>
      </w:r>
    </w:p>
    <w:p w:rsidR="00103349" w:rsidRDefault="00103349">
      <w:pPr>
        <w:overflowPunct/>
        <w:autoSpaceDE/>
        <w:autoSpaceDN/>
        <w:adjustRightInd/>
        <w:spacing w:before="0" w:after="0"/>
        <w:textAlignment w:val="auto"/>
      </w:pPr>
      <w:r>
        <w:br w:type="page"/>
      </w:r>
    </w:p>
    <w:p w:rsidR="00223F56" w:rsidRDefault="00223F56" w:rsidP="00416A48">
      <w:r w:rsidRPr="00B073FF">
        <w:t xml:space="preserve">I have considered the information presented regarding watershed objectives.  Although SFMPs are not legal documents, they are an expression of operational commitments and I </w:t>
      </w:r>
      <w:r w:rsidR="008D3001" w:rsidRPr="00B073FF">
        <w:t>e</w:t>
      </w:r>
      <w:r w:rsidR="00CB4396" w:rsidRPr="00B073FF">
        <w:t xml:space="preserve">xpect </w:t>
      </w:r>
      <w:r w:rsidR="008D3001" w:rsidRPr="00B073FF">
        <w:t xml:space="preserve">the </w:t>
      </w:r>
      <w:r w:rsidRPr="00B073FF">
        <w:t xml:space="preserve">licensee </w:t>
      </w:r>
      <w:r w:rsidR="008D3001" w:rsidRPr="00B073FF">
        <w:t>to continue mo</w:t>
      </w:r>
      <w:r w:rsidRPr="00B073FF">
        <w:t xml:space="preserve">nitoring </w:t>
      </w:r>
      <w:r w:rsidR="008C7B2A" w:rsidRPr="00B073FF">
        <w:t xml:space="preserve">the management for peak flow index thresholds as </w:t>
      </w:r>
      <w:r w:rsidRPr="00B073FF">
        <w:t>commit</w:t>
      </w:r>
      <w:r w:rsidR="008C7B2A" w:rsidRPr="00B073FF">
        <w:t>ted</w:t>
      </w:r>
      <w:r w:rsidRPr="00B073FF">
        <w:t xml:space="preserve"> to in its SFMP</w:t>
      </w:r>
      <w:r w:rsidR="008C7B2A" w:rsidRPr="00B073FF">
        <w:t>, as well as</w:t>
      </w:r>
      <w:r w:rsidRPr="00B073FF">
        <w:t xml:space="preserve"> incorporat</w:t>
      </w:r>
      <w:r w:rsidR="00E13A37" w:rsidRPr="00B073FF">
        <w:t>e</w:t>
      </w:r>
      <w:r w:rsidRPr="00B073FF">
        <w:t xml:space="preserve"> accounting for these management practices in the analysis for the </w:t>
      </w:r>
      <w:r w:rsidR="00D9469F" w:rsidRPr="00B073FF">
        <w:t xml:space="preserve">next AAC determination for the </w:t>
      </w:r>
      <w:r w:rsidRPr="00B073FF">
        <w:t>TFL.</w:t>
      </w:r>
    </w:p>
    <w:p w:rsidR="006D08BC" w:rsidRPr="00F03022" w:rsidRDefault="006D08BC" w:rsidP="006D08BC">
      <w:pPr>
        <w:pStyle w:val="Heading3"/>
        <w:rPr>
          <w:lang w:val="en-CA"/>
        </w:rPr>
      </w:pPr>
      <w:bookmarkStart w:id="265" w:name="_Toc432658646"/>
      <w:r w:rsidRPr="00F03022">
        <w:rPr>
          <w:lang w:val="en-CA"/>
        </w:rPr>
        <w:t>- disturbing the non</w:t>
      </w:r>
      <w:r w:rsidR="00B073FF">
        <w:rPr>
          <w:lang w:val="en-CA"/>
        </w:rPr>
        <w:noBreakHyphen/>
      </w:r>
      <w:r w:rsidRPr="00F03022">
        <w:rPr>
          <w:lang w:val="en-CA"/>
        </w:rPr>
        <w:t>contributing land base</w:t>
      </w:r>
      <w:bookmarkEnd w:id="265"/>
    </w:p>
    <w:p w:rsidR="00FA6CB5" w:rsidRDefault="00FA6CB5" w:rsidP="00416A48">
      <w:r>
        <w:t>Forested areas outside the timber harvesting land base</w:t>
      </w:r>
      <w:r w:rsidR="008D3001">
        <w:t xml:space="preserve">, </w:t>
      </w:r>
      <w:r w:rsidR="00F03022">
        <w:t xml:space="preserve">known as </w:t>
      </w:r>
      <w:r w:rsidR="00F36DFE">
        <w:t xml:space="preserve">the </w:t>
      </w:r>
      <w:r w:rsidR="00F03022">
        <w:t>non</w:t>
      </w:r>
      <w:r w:rsidR="00B073FF">
        <w:noBreakHyphen/>
      </w:r>
      <w:r w:rsidR="00F03022">
        <w:t xml:space="preserve">contributing land base </w:t>
      </w:r>
      <w:r w:rsidR="00F36DFE">
        <w:t xml:space="preserve">because it does not </w:t>
      </w:r>
      <w:r w:rsidR="00F03022">
        <w:t>contribut</w:t>
      </w:r>
      <w:r w:rsidR="00F36DFE">
        <w:t>e</w:t>
      </w:r>
      <w:r w:rsidR="00F03022">
        <w:t xml:space="preserve"> to timber supply</w:t>
      </w:r>
      <w:r w:rsidR="008D3001">
        <w:t xml:space="preserve">, </w:t>
      </w:r>
      <w:r>
        <w:t xml:space="preserve">generally </w:t>
      </w:r>
      <w:r w:rsidR="00F36DFE">
        <w:t xml:space="preserve">do </w:t>
      </w:r>
      <w:r>
        <w:t>contribute to meeting many non</w:t>
      </w:r>
      <w:r w:rsidR="008726CD">
        <w:noBreakHyphen/>
      </w:r>
      <w:r>
        <w:t xml:space="preserve">timber objectives.  </w:t>
      </w:r>
      <w:r w:rsidR="008D3001">
        <w:t xml:space="preserve">As these areas are assumed to meet various objectives, it is important to ensure </w:t>
      </w:r>
      <w:r w:rsidR="008726CD">
        <w:t>naturally</w:t>
      </w:r>
      <w:r w:rsidR="00B073FF">
        <w:noBreakHyphen/>
      </w:r>
      <w:r w:rsidR="00BC698C">
        <w:t>occurring</w:t>
      </w:r>
      <w:r w:rsidR="008D3001">
        <w:t xml:space="preserve"> disturbances in the areas are reflected in </w:t>
      </w:r>
      <w:r w:rsidR="00F36DFE">
        <w:t xml:space="preserve">projections of </w:t>
      </w:r>
      <w:r w:rsidR="008D3001">
        <w:t>timber supply.</w:t>
      </w:r>
    </w:p>
    <w:p w:rsidR="006D08BC" w:rsidRDefault="00FA6CB5" w:rsidP="00416A48">
      <w:r>
        <w:t xml:space="preserve">No natural disturbance provisions were applied </w:t>
      </w:r>
      <w:r w:rsidR="00F03022">
        <w:t>to the non</w:t>
      </w:r>
      <w:r w:rsidR="00B073FF">
        <w:noBreakHyphen/>
      </w:r>
      <w:r w:rsidR="00F03022">
        <w:t>contributing land base in the 2014 base case for TFL</w:t>
      </w:r>
      <w:r w:rsidR="00B073FF">
        <w:t> </w:t>
      </w:r>
      <w:r w:rsidR="00F03022">
        <w:t>48.</w:t>
      </w:r>
    </w:p>
    <w:p w:rsidR="00A460B1" w:rsidRPr="00B073FF" w:rsidRDefault="00A460B1" w:rsidP="00416A48">
      <w:r>
        <w:t>I have reviewed the information pr</w:t>
      </w:r>
      <w:r w:rsidR="00F36DFE">
        <w:t>ovided and find the lack of accounting for this factor in the base case to be of concern.</w:t>
      </w:r>
      <w:r>
        <w:t xml:space="preserve">  </w:t>
      </w:r>
      <w:r w:rsidR="00F36DFE">
        <w:t xml:space="preserve">Reflecting </w:t>
      </w:r>
      <w:r w:rsidR="00911681">
        <w:t xml:space="preserve">expected natural disturbance rates in timber supply analyses is </w:t>
      </w:r>
      <w:r w:rsidR="00F36DFE">
        <w:t xml:space="preserve">important </w:t>
      </w:r>
      <w:r w:rsidR="00911681">
        <w:t>to ensur</w:t>
      </w:r>
      <w:r w:rsidR="00F36DFE">
        <w:t>ing</w:t>
      </w:r>
      <w:r w:rsidR="00911681">
        <w:t xml:space="preserve"> the </w:t>
      </w:r>
      <w:r w:rsidR="00F36DFE">
        <w:t xml:space="preserve">land base is </w:t>
      </w:r>
      <w:r w:rsidR="007F4FFE">
        <w:t>ab</w:t>
      </w:r>
      <w:r w:rsidR="00F36DFE">
        <w:t>le</w:t>
      </w:r>
      <w:r w:rsidR="007F4FFE">
        <w:t xml:space="preserve"> to support various forest management objectives</w:t>
      </w:r>
      <w:r w:rsidR="00911681">
        <w:t xml:space="preserve">.  </w:t>
      </w:r>
      <w:r w:rsidR="00911681" w:rsidRPr="00B073FF">
        <w:t>I</w:t>
      </w:r>
      <w:r w:rsidR="00CB4396" w:rsidRPr="00B073FF">
        <w:t>t is my expectation that</w:t>
      </w:r>
      <w:r w:rsidR="00911681" w:rsidRPr="00B073FF">
        <w:t xml:space="preserve"> this </w:t>
      </w:r>
      <w:r w:rsidR="00807866" w:rsidRPr="00B073FF">
        <w:t xml:space="preserve">will be </w:t>
      </w:r>
      <w:r w:rsidR="00911681" w:rsidRPr="00B073FF">
        <w:t>appropriately modelled in the next analysis for TFL</w:t>
      </w:r>
      <w:r w:rsidR="00B073FF">
        <w:t> </w:t>
      </w:r>
      <w:r w:rsidRPr="00B073FF">
        <w:t xml:space="preserve">48.  </w:t>
      </w:r>
      <w:r w:rsidR="00911681" w:rsidRPr="00B073FF">
        <w:t xml:space="preserve">I consider that timber supply is overestimated on this account by an unknown amount, and I will </w:t>
      </w:r>
      <w:r w:rsidRPr="00B073FF">
        <w:t xml:space="preserve">discuss my considerations of this further under </w:t>
      </w:r>
      <w:r w:rsidR="00866BF7">
        <w:t>‘</w:t>
      </w:r>
      <w:r w:rsidRPr="00C147D2">
        <w:rPr>
          <w:b/>
        </w:rPr>
        <w:t>Reasons for Decision</w:t>
      </w:r>
      <w:r w:rsidR="00866BF7">
        <w:t>’</w:t>
      </w:r>
      <w:r w:rsidRPr="00B073FF">
        <w:t>.</w:t>
      </w:r>
    </w:p>
    <w:p w:rsidR="00416A48" w:rsidRPr="00B073FF" w:rsidRDefault="00416A48" w:rsidP="00E53786">
      <w:pPr>
        <w:pStyle w:val="BodyText"/>
        <w:overflowPunct/>
        <w:autoSpaceDE/>
        <w:autoSpaceDN/>
        <w:adjustRightInd/>
        <w:spacing w:before="0" w:after="120"/>
        <w:textAlignment w:val="auto"/>
        <w:rPr>
          <w:color w:val="000000" w:themeColor="text1"/>
        </w:rPr>
      </w:pPr>
    </w:p>
    <w:p w:rsidR="003040FE" w:rsidRPr="001136AC" w:rsidRDefault="0056714C" w:rsidP="00B257B6">
      <w:pPr>
        <w:keepNext/>
        <w:keepLines/>
        <w:numPr>
          <w:ilvl w:val="12"/>
          <w:numId w:val="0"/>
        </w:numPr>
        <w:tabs>
          <w:tab w:val="left" w:pos="2127"/>
        </w:tabs>
        <w:spacing w:before="240"/>
        <w:ind w:left="2127" w:hanging="1839"/>
        <w:rPr>
          <w:b/>
          <w:color w:val="000000" w:themeColor="text1"/>
          <w:sz w:val="20"/>
        </w:rPr>
      </w:pPr>
      <w:r w:rsidRPr="00B073FF">
        <w:rPr>
          <w:b/>
          <w:color w:val="000000" w:themeColor="text1"/>
          <w:sz w:val="20"/>
        </w:rPr>
        <w:t xml:space="preserve">Section 8 (8) (a) </w:t>
      </w:r>
      <w:r w:rsidR="003040FE" w:rsidRPr="00B073FF">
        <w:rPr>
          <w:b/>
          <w:color w:val="000000" w:themeColor="text1"/>
          <w:sz w:val="20"/>
        </w:rPr>
        <w:t>(</w:t>
      </w:r>
      <w:proofErr w:type="gramStart"/>
      <w:r w:rsidR="003040FE" w:rsidRPr="00B073FF">
        <w:rPr>
          <w:b/>
          <w:color w:val="000000" w:themeColor="text1"/>
          <w:sz w:val="20"/>
        </w:rPr>
        <w:t>vi</w:t>
      </w:r>
      <w:proofErr w:type="gramEnd"/>
      <w:r w:rsidR="003040FE" w:rsidRPr="00B073FF">
        <w:rPr>
          <w:b/>
          <w:color w:val="000000" w:themeColor="text1"/>
          <w:sz w:val="20"/>
        </w:rPr>
        <w:t>)</w:t>
      </w:r>
      <w:r w:rsidR="003040FE" w:rsidRPr="00B073FF">
        <w:rPr>
          <w:b/>
          <w:color w:val="000000" w:themeColor="text1"/>
          <w:sz w:val="20"/>
        </w:rPr>
        <w:tab/>
        <w:t>any other information that, in the chief forester’s opinion, relates to the</w:t>
      </w:r>
      <w:r w:rsidR="003040FE" w:rsidRPr="00E306CF">
        <w:rPr>
          <w:b/>
          <w:color w:val="000000" w:themeColor="text1"/>
          <w:sz w:val="20"/>
        </w:rPr>
        <w:t xml:space="preserve"> capability of the </w:t>
      </w:r>
      <w:r w:rsidR="00E306CF" w:rsidRPr="00E306CF">
        <w:rPr>
          <w:b/>
          <w:color w:val="000000" w:themeColor="text1"/>
          <w:sz w:val="20"/>
        </w:rPr>
        <w:t>area to produce timber</w:t>
      </w:r>
    </w:p>
    <w:p w:rsidR="000C5E72" w:rsidRPr="00463753" w:rsidRDefault="003040FE" w:rsidP="000C5E72">
      <w:pPr>
        <w:pStyle w:val="Heading2"/>
        <w:rPr>
          <w:color w:val="000000" w:themeColor="text1"/>
          <w:lang w:val="en-CA"/>
        </w:rPr>
      </w:pPr>
      <w:bookmarkStart w:id="266" w:name="_Toc432658647"/>
      <w:bookmarkStart w:id="267" w:name="_Toc248897549"/>
      <w:bookmarkStart w:id="268" w:name="_Toc317667257"/>
      <w:bookmarkStart w:id="269" w:name="_Toc245192103"/>
      <w:bookmarkStart w:id="270" w:name="_Toc245261106"/>
      <w:bookmarkStart w:id="271" w:name="_Toc245283438"/>
      <w:bookmarkStart w:id="272" w:name="_Toc245283576"/>
      <w:r w:rsidRPr="0056714C">
        <w:t>-</w:t>
      </w:r>
      <w:r w:rsidR="000C5E72" w:rsidRPr="000C5E72">
        <w:rPr>
          <w:color w:val="000000" w:themeColor="text1"/>
          <w:lang w:val="en-CA"/>
        </w:rPr>
        <w:t xml:space="preserve"> </w:t>
      </w:r>
      <w:r w:rsidR="000C5E72" w:rsidRPr="005A69E7">
        <w:rPr>
          <w:color w:val="000000" w:themeColor="text1"/>
          <w:lang w:val="en-CA"/>
        </w:rPr>
        <w:t>Factors considered under Section 8(8)</w:t>
      </w:r>
      <w:r w:rsidR="00003B96">
        <w:rPr>
          <w:color w:val="000000" w:themeColor="text1"/>
          <w:lang w:val="en-CA"/>
        </w:rPr>
        <w:t xml:space="preserve"> </w:t>
      </w:r>
      <w:r w:rsidR="000C5E72" w:rsidRPr="005A69E7">
        <w:rPr>
          <w:color w:val="000000" w:themeColor="text1"/>
          <w:lang w:val="en-CA"/>
        </w:rPr>
        <w:t>(a</w:t>
      </w:r>
      <w:proofErr w:type="gramStart"/>
      <w:r w:rsidR="000C5E72" w:rsidRPr="005A69E7">
        <w:rPr>
          <w:color w:val="000000" w:themeColor="text1"/>
          <w:lang w:val="en-CA"/>
        </w:rPr>
        <w:t>)(</w:t>
      </w:r>
      <w:proofErr w:type="gramEnd"/>
      <w:r w:rsidR="000C5E72" w:rsidRPr="005A69E7">
        <w:rPr>
          <w:color w:val="000000" w:themeColor="text1"/>
          <w:lang w:val="en-CA"/>
        </w:rPr>
        <w:t>v</w:t>
      </w:r>
      <w:r w:rsidR="000C5E72">
        <w:rPr>
          <w:color w:val="000000" w:themeColor="text1"/>
          <w:lang w:val="en-CA"/>
        </w:rPr>
        <w:t>i</w:t>
      </w:r>
      <w:r w:rsidR="000C5E72" w:rsidRPr="005A69E7">
        <w:rPr>
          <w:color w:val="000000" w:themeColor="text1"/>
          <w:lang w:val="en-CA"/>
        </w:rPr>
        <w:t>)</w:t>
      </w:r>
      <w:bookmarkEnd w:id="266"/>
    </w:p>
    <w:p w:rsidR="000C5E72" w:rsidRDefault="000C5E72" w:rsidP="000C5E72">
      <w:pPr>
        <w:pStyle w:val="BodyText"/>
        <w:overflowPunct/>
        <w:autoSpaceDE/>
        <w:autoSpaceDN/>
        <w:adjustRightInd/>
        <w:spacing w:before="0" w:after="120"/>
        <w:textAlignment w:val="auto"/>
        <w:rPr>
          <w:color w:val="000000" w:themeColor="text1"/>
        </w:rPr>
      </w:pPr>
      <w:r w:rsidRPr="005A69E7">
        <w:rPr>
          <w:color w:val="000000" w:themeColor="text1"/>
        </w:rPr>
        <w:t>In addition to the factors listed under this section in Table 1 above, I have also considered the following factors, which require additional comment.</w:t>
      </w:r>
    </w:p>
    <w:p w:rsidR="00347C3A" w:rsidRDefault="00347C3A" w:rsidP="006D08BC">
      <w:pPr>
        <w:rPr>
          <w:lang w:val="en-US"/>
        </w:rPr>
      </w:pPr>
    </w:p>
    <w:p w:rsidR="006D08BC" w:rsidRPr="006D08BC" w:rsidRDefault="000F42EF" w:rsidP="006D08BC">
      <w:pPr>
        <w:pStyle w:val="Heading3"/>
        <w:rPr>
          <w:lang w:val="en-CA"/>
        </w:rPr>
      </w:pPr>
      <w:bookmarkStart w:id="273" w:name="_Toc432658648"/>
      <w:r w:rsidRPr="004B6E00">
        <w:rPr>
          <w:lang w:val="en-CA"/>
        </w:rPr>
        <w:t xml:space="preserve">- </w:t>
      </w:r>
      <w:proofErr w:type="gramStart"/>
      <w:r w:rsidRPr="004B6E00">
        <w:rPr>
          <w:lang w:val="en-CA"/>
        </w:rPr>
        <w:t>pulpwood</w:t>
      </w:r>
      <w:proofErr w:type="gramEnd"/>
      <w:r w:rsidRPr="004B6E00">
        <w:rPr>
          <w:lang w:val="en-CA"/>
        </w:rPr>
        <w:t xml:space="preserve"> agreements, </w:t>
      </w:r>
      <w:r w:rsidR="006D08BC" w:rsidRPr="004B6E00">
        <w:rPr>
          <w:lang w:val="en-CA"/>
        </w:rPr>
        <w:t>deciduous harvest</w:t>
      </w:r>
      <w:r w:rsidRPr="004B6E00">
        <w:rPr>
          <w:lang w:val="en-CA"/>
        </w:rPr>
        <w:t xml:space="preserve"> and partitioned component of harvest</w:t>
      </w:r>
      <w:bookmarkEnd w:id="273"/>
    </w:p>
    <w:p w:rsidR="003E3688" w:rsidRDefault="003E3688" w:rsidP="006D08BC">
      <w:pPr>
        <w:rPr>
          <w:lang w:val="en-US"/>
        </w:rPr>
      </w:pPr>
      <w:r>
        <w:t>Deciduous</w:t>
      </w:r>
      <w:r w:rsidR="00C147D2">
        <w:noBreakHyphen/>
      </w:r>
      <w:r>
        <w:t>leading forest types (aspen and cottonwood) cover about 52 000 hectares of the timber harvesting land base of TFL</w:t>
      </w:r>
      <w:r w:rsidR="00C147D2">
        <w:t> </w:t>
      </w:r>
      <w:r>
        <w:t xml:space="preserve">48.  </w:t>
      </w:r>
      <w:r>
        <w:rPr>
          <w:lang w:val="en-US"/>
        </w:rPr>
        <w:t>Approximately 67</w:t>
      </w:r>
      <w:r w:rsidR="0039226C">
        <w:rPr>
          <w:lang w:val="en-US"/>
        </w:rPr>
        <w:t> </w:t>
      </w:r>
      <w:r>
        <w:rPr>
          <w:lang w:val="en-US"/>
        </w:rPr>
        <w:t xml:space="preserve">percent of </w:t>
      </w:r>
      <w:r w:rsidR="005A1625">
        <w:rPr>
          <w:lang w:val="en-US"/>
        </w:rPr>
        <w:t>the TFL</w:t>
      </w:r>
      <w:r>
        <w:rPr>
          <w:lang w:val="en-US"/>
        </w:rPr>
        <w:t xml:space="preserve"> overlaps with Pulpwood Agreement</w:t>
      </w:r>
      <w:r w:rsidR="00C147D2">
        <w:rPr>
          <w:lang w:val="en-US"/>
        </w:rPr>
        <w:t> </w:t>
      </w:r>
      <w:r>
        <w:rPr>
          <w:lang w:val="en-US"/>
        </w:rPr>
        <w:t>13 (PA13).  PA13 allows for up to 200</w:t>
      </w:r>
      <w:r w:rsidR="00C147D2">
        <w:rPr>
          <w:lang w:val="en-US"/>
        </w:rPr>
        <w:t> </w:t>
      </w:r>
      <w:r>
        <w:rPr>
          <w:lang w:val="en-US"/>
        </w:rPr>
        <w:t xml:space="preserve">000 cubic </w:t>
      </w:r>
      <w:proofErr w:type="spellStart"/>
      <w:r>
        <w:rPr>
          <w:lang w:val="en-US"/>
        </w:rPr>
        <w:t>metres</w:t>
      </w:r>
      <w:proofErr w:type="spellEnd"/>
      <w:r>
        <w:rPr>
          <w:lang w:val="en-US"/>
        </w:rPr>
        <w:t xml:space="preserve"> per year of volume from mature, deciduous</w:t>
      </w:r>
      <w:r w:rsidR="007F2C6C">
        <w:rPr>
          <w:lang w:val="en-US"/>
        </w:rPr>
        <w:noBreakHyphen/>
      </w:r>
      <w:r>
        <w:rPr>
          <w:lang w:val="en-US"/>
        </w:rPr>
        <w:t>leading stands to be harvested from the TFL</w:t>
      </w:r>
      <w:r w:rsidR="007F2C6C">
        <w:rPr>
          <w:lang w:val="en-US"/>
        </w:rPr>
        <w:t> </w:t>
      </w:r>
      <w:r>
        <w:rPr>
          <w:lang w:val="en-US"/>
        </w:rPr>
        <w:t>48 area</w:t>
      </w:r>
      <w:r w:rsidR="00EE3BEF">
        <w:rPr>
          <w:lang w:val="en-US"/>
        </w:rPr>
        <w:t>, the Dawson Creek</w:t>
      </w:r>
      <w:r w:rsidR="007F2C6C">
        <w:rPr>
          <w:lang w:val="en-US"/>
        </w:rPr>
        <w:t> </w:t>
      </w:r>
      <w:r w:rsidR="00EE3BEF">
        <w:rPr>
          <w:lang w:val="en-US"/>
        </w:rPr>
        <w:t>TSA and the Fort St</w:t>
      </w:r>
      <w:r w:rsidR="007F2C6C">
        <w:rPr>
          <w:lang w:val="en-US"/>
        </w:rPr>
        <w:t>.</w:t>
      </w:r>
      <w:r w:rsidR="00EE3BEF">
        <w:rPr>
          <w:lang w:val="en-US"/>
        </w:rPr>
        <w:t xml:space="preserve"> John</w:t>
      </w:r>
      <w:r w:rsidR="007F2C6C">
        <w:rPr>
          <w:lang w:val="en-US"/>
        </w:rPr>
        <w:t> </w:t>
      </w:r>
      <w:r w:rsidR="00EE3BEF">
        <w:rPr>
          <w:lang w:val="en-US"/>
        </w:rPr>
        <w:t>TSA</w:t>
      </w:r>
      <w:r>
        <w:rPr>
          <w:lang w:val="en-US"/>
        </w:rPr>
        <w:t>.</w:t>
      </w:r>
    </w:p>
    <w:p w:rsidR="001B6D5D" w:rsidRDefault="003E3688" w:rsidP="006D08BC">
      <w:pPr>
        <w:rPr>
          <w:lang w:val="en-US"/>
        </w:rPr>
      </w:pPr>
      <w:r>
        <w:rPr>
          <w:lang w:val="en-US"/>
        </w:rPr>
        <w:t>In the base case, deciduous</w:t>
      </w:r>
      <w:r w:rsidR="0039226C">
        <w:rPr>
          <w:lang w:val="en-US"/>
        </w:rPr>
        <w:noBreakHyphen/>
      </w:r>
      <w:r>
        <w:rPr>
          <w:lang w:val="en-US"/>
        </w:rPr>
        <w:t>leading stands contribute 100</w:t>
      </w:r>
      <w:r w:rsidR="005C74C7">
        <w:rPr>
          <w:lang w:val="en-US"/>
        </w:rPr>
        <w:t> </w:t>
      </w:r>
      <w:r>
        <w:rPr>
          <w:lang w:val="en-US"/>
        </w:rPr>
        <w:t>000</w:t>
      </w:r>
      <w:r w:rsidR="005C74C7">
        <w:rPr>
          <w:lang w:val="en-US"/>
        </w:rPr>
        <w:t> </w:t>
      </w:r>
      <w:r>
        <w:rPr>
          <w:lang w:val="en-US"/>
        </w:rPr>
        <w:t xml:space="preserve">cubic </w:t>
      </w:r>
      <w:proofErr w:type="spellStart"/>
      <w:r>
        <w:rPr>
          <w:lang w:val="en-US"/>
        </w:rPr>
        <w:t>metres</w:t>
      </w:r>
      <w:proofErr w:type="spellEnd"/>
      <w:r>
        <w:rPr>
          <w:lang w:val="en-US"/>
        </w:rPr>
        <w:t xml:space="preserve"> per year </w:t>
      </w:r>
      <w:r w:rsidR="005C74C7">
        <w:rPr>
          <w:lang w:val="en-US"/>
        </w:rPr>
        <w:t xml:space="preserve">to the harvest forecast </w:t>
      </w:r>
      <w:r>
        <w:rPr>
          <w:lang w:val="en-US"/>
        </w:rPr>
        <w:t>over the entire forecast period.</w:t>
      </w:r>
    </w:p>
    <w:p w:rsidR="003E3688" w:rsidRDefault="001B6D5D" w:rsidP="006D08BC">
      <w:pPr>
        <w:rPr>
          <w:lang w:val="en-US"/>
        </w:rPr>
      </w:pPr>
      <w:r>
        <w:rPr>
          <w:lang w:val="en-US"/>
        </w:rPr>
        <w:t xml:space="preserve">A sensitivity analysis in which </w:t>
      </w:r>
      <w:r w:rsidR="000F42EF">
        <w:rPr>
          <w:lang w:val="en-US"/>
        </w:rPr>
        <w:t>the Phase</w:t>
      </w:r>
      <w:r w:rsidR="0039226C">
        <w:rPr>
          <w:lang w:val="en-US"/>
        </w:rPr>
        <w:t> </w:t>
      </w:r>
      <w:r w:rsidR="000F42EF">
        <w:rPr>
          <w:lang w:val="en-US"/>
        </w:rPr>
        <w:t xml:space="preserve">II </w:t>
      </w:r>
      <w:r w:rsidR="0054686A">
        <w:rPr>
          <w:lang w:val="en-US"/>
        </w:rPr>
        <w:t xml:space="preserve">inventory </w:t>
      </w:r>
      <w:r w:rsidR="000F42EF">
        <w:rPr>
          <w:lang w:val="en-US"/>
        </w:rPr>
        <w:t xml:space="preserve">adjustments </w:t>
      </w:r>
      <w:r>
        <w:rPr>
          <w:lang w:val="en-US"/>
        </w:rPr>
        <w:t xml:space="preserve">were applied </w:t>
      </w:r>
      <w:r w:rsidR="000F42EF">
        <w:rPr>
          <w:lang w:val="en-US"/>
        </w:rPr>
        <w:t xml:space="preserve">to the volume estimates for existing deciduous stands showed an increased volume contribution </w:t>
      </w:r>
      <w:r w:rsidR="004F4457">
        <w:rPr>
          <w:lang w:val="en-US"/>
        </w:rPr>
        <w:t xml:space="preserve">was </w:t>
      </w:r>
      <w:r w:rsidR="000F42EF">
        <w:rPr>
          <w:lang w:val="en-US"/>
        </w:rPr>
        <w:t>possible for the first 50</w:t>
      </w:r>
      <w:r w:rsidR="004F4457">
        <w:rPr>
          <w:lang w:val="en-US"/>
        </w:rPr>
        <w:t> </w:t>
      </w:r>
      <w:r w:rsidR="000F42EF">
        <w:rPr>
          <w:lang w:val="en-US"/>
        </w:rPr>
        <w:t>years of between 17 and 19 percent</w:t>
      </w:r>
      <w:r w:rsidR="004F4457">
        <w:rPr>
          <w:lang w:val="en-US"/>
        </w:rPr>
        <w:t>.  The mid</w:t>
      </w:r>
      <w:r w:rsidR="0039226C">
        <w:rPr>
          <w:lang w:val="en-US"/>
        </w:rPr>
        <w:noBreakHyphen/>
      </w:r>
      <w:r w:rsidR="004F4457">
        <w:rPr>
          <w:lang w:val="en-US"/>
        </w:rPr>
        <w:t xml:space="preserve"> to long</w:t>
      </w:r>
      <w:r w:rsidR="0039226C">
        <w:rPr>
          <w:lang w:val="en-US"/>
        </w:rPr>
        <w:noBreakHyphen/>
      </w:r>
      <w:r w:rsidR="004F4457">
        <w:rPr>
          <w:lang w:val="en-US"/>
        </w:rPr>
        <w:t xml:space="preserve">term volume contribution was </w:t>
      </w:r>
      <w:r w:rsidR="000F42EF">
        <w:rPr>
          <w:lang w:val="en-US"/>
        </w:rPr>
        <w:t>102</w:t>
      </w:r>
      <w:r w:rsidR="004F4457">
        <w:rPr>
          <w:lang w:val="en-US"/>
        </w:rPr>
        <w:t> </w:t>
      </w:r>
      <w:r w:rsidR="000F42EF">
        <w:rPr>
          <w:lang w:val="en-US"/>
        </w:rPr>
        <w:t>000</w:t>
      </w:r>
      <w:r w:rsidR="004F4457">
        <w:rPr>
          <w:lang w:val="en-US"/>
        </w:rPr>
        <w:t> </w:t>
      </w:r>
      <w:r w:rsidR="000F42EF">
        <w:rPr>
          <w:lang w:val="en-US"/>
        </w:rPr>
        <w:t xml:space="preserve">cubic </w:t>
      </w:r>
      <w:proofErr w:type="spellStart"/>
      <w:r w:rsidR="000F42EF">
        <w:rPr>
          <w:lang w:val="en-US"/>
        </w:rPr>
        <w:t>metres</w:t>
      </w:r>
      <w:proofErr w:type="spellEnd"/>
      <w:r w:rsidR="000F42EF">
        <w:rPr>
          <w:lang w:val="en-US"/>
        </w:rPr>
        <w:t xml:space="preserve"> per year.</w:t>
      </w:r>
    </w:p>
    <w:p w:rsidR="003E3688" w:rsidRDefault="000F42EF" w:rsidP="006D08BC">
      <w:pPr>
        <w:rPr>
          <w:lang w:val="en-US"/>
        </w:rPr>
      </w:pPr>
      <w:r>
        <w:rPr>
          <w:lang w:val="en-US"/>
        </w:rPr>
        <w:t xml:space="preserve">The 2007 determination included </w:t>
      </w:r>
      <w:r w:rsidR="00CC5F20">
        <w:rPr>
          <w:lang w:val="en-US"/>
        </w:rPr>
        <w:t xml:space="preserve">a </w:t>
      </w:r>
      <w:r>
        <w:rPr>
          <w:lang w:val="en-US"/>
        </w:rPr>
        <w:t>100</w:t>
      </w:r>
      <w:r w:rsidR="0039226C">
        <w:rPr>
          <w:lang w:val="en-US"/>
        </w:rPr>
        <w:t> </w:t>
      </w:r>
      <w:r>
        <w:rPr>
          <w:lang w:val="en-US"/>
        </w:rPr>
        <w:t xml:space="preserve">000 cubic </w:t>
      </w:r>
      <w:proofErr w:type="spellStart"/>
      <w:r>
        <w:rPr>
          <w:lang w:val="en-US"/>
        </w:rPr>
        <w:t>metre</w:t>
      </w:r>
      <w:proofErr w:type="spellEnd"/>
      <w:r>
        <w:rPr>
          <w:lang w:val="en-US"/>
        </w:rPr>
        <w:t xml:space="preserve"> </w:t>
      </w:r>
      <w:r w:rsidR="00CC5F20">
        <w:rPr>
          <w:lang w:val="en-US"/>
        </w:rPr>
        <w:t xml:space="preserve">partition </w:t>
      </w:r>
      <w:r w:rsidR="00F02D83">
        <w:rPr>
          <w:lang w:val="en-US"/>
        </w:rPr>
        <w:t xml:space="preserve">from </w:t>
      </w:r>
      <w:r>
        <w:rPr>
          <w:lang w:val="en-US"/>
        </w:rPr>
        <w:t xml:space="preserve">deciduous and coniferous trees within </w:t>
      </w:r>
      <w:r w:rsidR="00BC698C">
        <w:rPr>
          <w:lang w:val="en-US"/>
        </w:rPr>
        <w:t>deciduous</w:t>
      </w:r>
      <w:r w:rsidR="0039226C">
        <w:rPr>
          <w:lang w:val="en-US"/>
        </w:rPr>
        <w:noBreakHyphen/>
      </w:r>
      <w:r>
        <w:rPr>
          <w:lang w:val="en-US"/>
        </w:rPr>
        <w:t xml:space="preserve">leading stands.  </w:t>
      </w:r>
      <w:r w:rsidR="0054686A">
        <w:rPr>
          <w:color w:val="000000" w:themeColor="text1"/>
        </w:rPr>
        <w:t>At that time, the deputy chief forester requested that the licensee monitor the harvesting performance in those stands.</w:t>
      </w:r>
      <w:r w:rsidR="000704E4">
        <w:rPr>
          <w:color w:val="000000" w:themeColor="text1"/>
        </w:rPr>
        <w:t xml:space="preserve">  Records show that i</w:t>
      </w:r>
      <w:r w:rsidR="00D0234A">
        <w:rPr>
          <w:lang w:val="en-US"/>
        </w:rPr>
        <w:t>n 2011, 100</w:t>
      </w:r>
      <w:r w:rsidR="000704E4">
        <w:rPr>
          <w:lang w:val="en-US"/>
        </w:rPr>
        <w:t> </w:t>
      </w:r>
      <w:r w:rsidR="00D0234A">
        <w:rPr>
          <w:lang w:val="en-US"/>
        </w:rPr>
        <w:t>518</w:t>
      </w:r>
      <w:r w:rsidR="000704E4">
        <w:rPr>
          <w:lang w:val="en-US"/>
        </w:rPr>
        <w:t> </w:t>
      </w:r>
      <w:r w:rsidR="00D0234A">
        <w:rPr>
          <w:lang w:val="en-US"/>
        </w:rPr>
        <w:t xml:space="preserve">cubic </w:t>
      </w:r>
      <w:proofErr w:type="spellStart"/>
      <w:r w:rsidR="00D0234A">
        <w:rPr>
          <w:lang w:val="en-US"/>
        </w:rPr>
        <w:t>metres</w:t>
      </w:r>
      <w:proofErr w:type="spellEnd"/>
      <w:r w:rsidR="00D0234A">
        <w:rPr>
          <w:lang w:val="en-US"/>
        </w:rPr>
        <w:t xml:space="preserve"> of </w:t>
      </w:r>
      <w:r w:rsidR="000704E4">
        <w:rPr>
          <w:lang w:val="en-US"/>
        </w:rPr>
        <w:t xml:space="preserve">volume from </w:t>
      </w:r>
      <w:r w:rsidR="00D0234A">
        <w:rPr>
          <w:lang w:val="en-US"/>
        </w:rPr>
        <w:t>deciduous</w:t>
      </w:r>
      <w:r w:rsidR="0039226C">
        <w:rPr>
          <w:lang w:val="en-US"/>
        </w:rPr>
        <w:noBreakHyphen/>
      </w:r>
      <w:r w:rsidR="00D0234A">
        <w:rPr>
          <w:lang w:val="en-US"/>
        </w:rPr>
        <w:t>leading stands w</w:t>
      </w:r>
      <w:r w:rsidR="000704E4">
        <w:rPr>
          <w:lang w:val="en-US"/>
        </w:rPr>
        <w:t>as</w:t>
      </w:r>
      <w:r w:rsidR="00D0234A">
        <w:rPr>
          <w:lang w:val="en-US"/>
        </w:rPr>
        <w:t xml:space="preserve"> harvested on TFL</w:t>
      </w:r>
      <w:r w:rsidR="0039226C">
        <w:rPr>
          <w:lang w:val="en-US"/>
        </w:rPr>
        <w:t> </w:t>
      </w:r>
      <w:r w:rsidR="00D0234A">
        <w:rPr>
          <w:lang w:val="en-US"/>
        </w:rPr>
        <w:t>48</w:t>
      </w:r>
      <w:r w:rsidR="000704E4">
        <w:rPr>
          <w:lang w:val="en-US"/>
        </w:rPr>
        <w:t xml:space="preserve">.  However, </w:t>
      </w:r>
      <w:r w:rsidR="00D0234A">
        <w:rPr>
          <w:lang w:val="en-US"/>
        </w:rPr>
        <w:t>deciduous</w:t>
      </w:r>
      <w:r w:rsidR="0039226C">
        <w:rPr>
          <w:lang w:val="en-US"/>
        </w:rPr>
        <w:noBreakHyphen/>
      </w:r>
      <w:r w:rsidR="00D0234A">
        <w:rPr>
          <w:lang w:val="en-US"/>
        </w:rPr>
        <w:t>leading harvest levels in 2010, 2012 and 2013 were lower</w:t>
      </w:r>
      <w:r w:rsidR="000704E4">
        <w:rPr>
          <w:lang w:val="en-US"/>
        </w:rPr>
        <w:t>, and over</w:t>
      </w:r>
      <w:r w:rsidR="00D0234A">
        <w:rPr>
          <w:lang w:val="en-US"/>
        </w:rPr>
        <w:t xml:space="preserve"> those four years the deciduous</w:t>
      </w:r>
      <w:r w:rsidR="0039226C">
        <w:rPr>
          <w:lang w:val="en-US"/>
        </w:rPr>
        <w:noBreakHyphen/>
      </w:r>
      <w:r w:rsidR="00D0234A">
        <w:rPr>
          <w:lang w:val="en-US"/>
        </w:rPr>
        <w:t>leading harvest averaged about 57</w:t>
      </w:r>
      <w:r w:rsidR="0039226C">
        <w:rPr>
          <w:lang w:val="en-US"/>
        </w:rPr>
        <w:t> </w:t>
      </w:r>
      <w:r w:rsidR="00D0234A">
        <w:rPr>
          <w:lang w:val="en-US"/>
        </w:rPr>
        <w:t xml:space="preserve">000 cubic </w:t>
      </w:r>
      <w:proofErr w:type="spellStart"/>
      <w:r w:rsidR="00D0234A">
        <w:rPr>
          <w:lang w:val="en-US"/>
        </w:rPr>
        <w:t>metres</w:t>
      </w:r>
      <w:proofErr w:type="spellEnd"/>
      <w:r w:rsidR="00D0234A">
        <w:rPr>
          <w:lang w:val="en-US"/>
        </w:rPr>
        <w:t xml:space="preserve"> per year.  In 2014</w:t>
      </w:r>
      <w:r w:rsidR="00F02D83">
        <w:rPr>
          <w:lang w:val="en-US"/>
        </w:rPr>
        <w:t>,</w:t>
      </w:r>
      <w:r w:rsidR="00D0234A">
        <w:rPr>
          <w:lang w:val="en-US"/>
        </w:rPr>
        <w:t xml:space="preserve"> no </w:t>
      </w:r>
      <w:r w:rsidR="0054686A">
        <w:rPr>
          <w:lang w:val="en-US"/>
        </w:rPr>
        <w:t xml:space="preserve">volume from </w:t>
      </w:r>
      <w:r w:rsidR="00D0234A">
        <w:rPr>
          <w:lang w:val="en-US"/>
        </w:rPr>
        <w:t>deciduous</w:t>
      </w:r>
      <w:r w:rsidR="0039226C">
        <w:rPr>
          <w:lang w:val="en-US"/>
        </w:rPr>
        <w:noBreakHyphen/>
      </w:r>
      <w:r w:rsidR="00D0234A">
        <w:rPr>
          <w:lang w:val="en-US"/>
        </w:rPr>
        <w:t xml:space="preserve">leading </w:t>
      </w:r>
      <w:r w:rsidR="0054686A">
        <w:rPr>
          <w:lang w:val="en-US"/>
        </w:rPr>
        <w:t>stands</w:t>
      </w:r>
      <w:r w:rsidR="00D0234A">
        <w:rPr>
          <w:lang w:val="en-US"/>
        </w:rPr>
        <w:t xml:space="preserve"> was harvested on TFL 48.</w:t>
      </w:r>
    </w:p>
    <w:p w:rsidR="00D0234A" w:rsidRDefault="00EB499D" w:rsidP="00D0234A">
      <w:pPr>
        <w:rPr>
          <w:lang w:val="en-US"/>
        </w:rPr>
      </w:pPr>
      <w:r>
        <w:rPr>
          <w:lang w:val="en-US"/>
        </w:rPr>
        <w:t>FLNR operations</w:t>
      </w:r>
      <w:r w:rsidR="006128A9">
        <w:rPr>
          <w:lang w:val="en-US"/>
        </w:rPr>
        <w:t xml:space="preserve"> </w:t>
      </w:r>
      <w:proofErr w:type="gramStart"/>
      <w:r w:rsidR="000A733E">
        <w:rPr>
          <w:lang w:val="en-US"/>
        </w:rPr>
        <w:t xml:space="preserve">staff </w:t>
      </w:r>
      <w:r w:rsidR="006128A9">
        <w:rPr>
          <w:lang w:val="en-US"/>
        </w:rPr>
        <w:t>indicate</w:t>
      </w:r>
      <w:proofErr w:type="gramEnd"/>
      <w:r w:rsidR="006128A9">
        <w:rPr>
          <w:lang w:val="en-US"/>
        </w:rPr>
        <w:t xml:space="preserve"> </w:t>
      </w:r>
      <w:r w:rsidR="00D0234A">
        <w:rPr>
          <w:lang w:val="en-US"/>
        </w:rPr>
        <w:t xml:space="preserve">economic activity has increased </w:t>
      </w:r>
      <w:r w:rsidR="006128A9">
        <w:rPr>
          <w:lang w:val="en-US"/>
        </w:rPr>
        <w:t>since 2011,</w:t>
      </w:r>
      <w:r w:rsidR="000704E4">
        <w:rPr>
          <w:lang w:val="en-US"/>
        </w:rPr>
        <w:t xml:space="preserve"> </w:t>
      </w:r>
      <w:r w:rsidR="00D0234A">
        <w:rPr>
          <w:lang w:val="en-US"/>
        </w:rPr>
        <w:t>and there are now several facilities either open or planned that would use deciduous volume.</w:t>
      </w:r>
    </w:p>
    <w:p w:rsidR="00E131CF" w:rsidRDefault="000F42EF" w:rsidP="000F42EF">
      <w:pPr>
        <w:rPr>
          <w:lang w:val="en-US"/>
        </w:rPr>
      </w:pPr>
      <w:r>
        <w:rPr>
          <w:lang w:val="en-US"/>
        </w:rPr>
        <w:t>I have considered the information regarding the demand for deciduous volume from TFL</w:t>
      </w:r>
      <w:r w:rsidR="0039226C">
        <w:rPr>
          <w:lang w:val="en-US"/>
        </w:rPr>
        <w:t> </w:t>
      </w:r>
      <w:r>
        <w:rPr>
          <w:lang w:val="en-US"/>
        </w:rPr>
        <w:t>48 a</w:t>
      </w:r>
      <w:r w:rsidR="00EC522A">
        <w:rPr>
          <w:lang w:val="en-US"/>
        </w:rPr>
        <w:t>s well as</w:t>
      </w:r>
      <w:r>
        <w:rPr>
          <w:lang w:val="en-US"/>
        </w:rPr>
        <w:t xml:space="preserve"> the volume projections over time from </w:t>
      </w:r>
      <w:r w:rsidR="00D02697">
        <w:rPr>
          <w:lang w:val="en-US"/>
        </w:rPr>
        <w:t>deciduous</w:t>
      </w:r>
      <w:r w:rsidR="0039226C">
        <w:rPr>
          <w:lang w:val="en-US"/>
        </w:rPr>
        <w:noBreakHyphen/>
      </w:r>
      <w:r w:rsidR="00D02697">
        <w:rPr>
          <w:lang w:val="en-US"/>
        </w:rPr>
        <w:t xml:space="preserve">leading </w:t>
      </w:r>
      <w:r>
        <w:rPr>
          <w:lang w:val="en-US"/>
        </w:rPr>
        <w:t xml:space="preserve">stands shown in the base case forecast.  </w:t>
      </w:r>
      <w:r w:rsidR="00590FC4">
        <w:rPr>
          <w:lang w:val="en-US"/>
        </w:rPr>
        <w:t>The base case was supported by a harvest contribution of 100</w:t>
      </w:r>
      <w:r w:rsidR="0039226C">
        <w:rPr>
          <w:lang w:val="en-US"/>
        </w:rPr>
        <w:t> </w:t>
      </w:r>
      <w:r w:rsidR="00590FC4">
        <w:rPr>
          <w:lang w:val="en-US"/>
        </w:rPr>
        <w:t xml:space="preserve">000 cubic </w:t>
      </w:r>
      <w:proofErr w:type="spellStart"/>
      <w:r w:rsidR="00590FC4">
        <w:rPr>
          <w:lang w:val="en-US"/>
        </w:rPr>
        <w:t>metres</w:t>
      </w:r>
      <w:proofErr w:type="spellEnd"/>
      <w:r w:rsidR="00590FC4">
        <w:rPr>
          <w:lang w:val="en-US"/>
        </w:rPr>
        <w:t xml:space="preserve"> per year from deciduous</w:t>
      </w:r>
      <w:r w:rsidR="0039226C">
        <w:rPr>
          <w:lang w:val="en-US"/>
        </w:rPr>
        <w:noBreakHyphen/>
      </w:r>
      <w:r w:rsidR="00590FC4">
        <w:rPr>
          <w:lang w:val="en-US"/>
        </w:rPr>
        <w:t xml:space="preserve">leading stands.  </w:t>
      </w:r>
      <w:r>
        <w:rPr>
          <w:lang w:val="en-US"/>
        </w:rPr>
        <w:t xml:space="preserve">I am aware </w:t>
      </w:r>
      <w:r w:rsidR="006825F3">
        <w:rPr>
          <w:lang w:val="en-US"/>
        </w:rPr>
        <w:t xml:space="preserve">that the </w:t>
      </w:r>
      <w:r>
        <w:rPr>
          <w:lang w:val="en-US"/>
        </w:rPr>
        <w:t xml:space="preserve">manufacturing facilities in the </w:t>
      </w:r>
      <w:r w:rsidR="006825F3">
        <w:rPr>
          <w:lang w:val="en-US"/>
        </w:rPr>
        <w:t>vicinity of TFL</w:t>
      </w:r>
      <w:r w:rsidR="0039226C">
        <w:rPr>
          <w:lang w:val="en-US"/>
        </w:rPr>
        <w:t> </w:t>
      </w:r>
      <w:r w:rsidR="006825F3">
        <w:rPr>
          <w:lang w:val="en-US"/>
        </w:rPr>
        <w:t>48</w:t>
      </w:r>
      <w:r>
        <w:rPr>
          <w:lang w:val="en-US"/>
        </w:rPr>
        <w:t xml:space="preserve"> can make use of deciduous volume</w:t>
      </w:r>
      <w:r w:rsidR="00590FC4">
        <w:rPr>
          <w:lang w:val="en-US"/>
        </w:rPr>
        <w:t>,</w:t>
      </w:r>
      <w:r>
        <w:rPr>
          <w:lang w:val="en-US"/>
        </w:rPr>
        <w:t xml:space="preserve"> and there is an expectation that demand will increase over the term of this determination.  </w:t>
      </w:r>
      <w:r w:rsidR="006128A9">
        <w:rPr>
          <w:lang w:val="en-US"/>
        </w:rPr>
        <w:t xml:space="preserve">I am also </w:t>
      </w:r>
      <w:r w:rsidR="000704E4">
        <w:rPr>
          <w:lang w:val="en-US"/>
        </w:rPr>
        <w:t xml:space="preserve">mindful of the harvest forecast that showed </w:t>
      </w:r>
      <w:r w:rsidR="006128A9">
        <w:rPr>
          <w:lang w:val="en-US"/>
        </w:rPr>
        <w:t xml:space="preserve">with </w:t>
      </w:r>
      <w:r w:rsidR="00B8572E">
        <w:rPr>
          <w:lang w:val="en-US"/>
        </w:rPr>
        <w:t>P</w:t>
      </w:r>
      <w:r w:rsidR="006128A9">
        <w:rPr>
          <w:lang w:val="en-US"/>
        </w:rPr>
        <w:t>hase</w:t>
      </w:r>
      <w:r w:rsidR="0039226C">
        <w:rPr>
          <w:lang w:val="en-US"/>
        </w:rPr>
        <w:t> </w:t>
      </w:r>
      <w:r w:rsidR="006128A9">
        <w:rPr>
          <w:lang w:val="en-US"/>
        </w:rPr>
        <w:t>II adjustments applied</w:t>
      </w:r>
      <w:r w:rsidR="000704E4">
        <w:rPr>
          <w:lang w:val="en-US"/>
        </w:rPr>
        <w:t xml:space="preserve"> to stand volumes</w:t>
      </w:r>
      <w:r w:rsidR="006128A9">
        <w:rPr>
          <w:lang w:val="en-US"/>
        </w:rPr>
        <w:t xml:space="preserve">, the initial </w:t>
      </w:r>
      <w:r w:rsidR="000704E4">
        <w:rPr>
          <w:lang w:val="en-US"/>
        </w:rPr>
        <w:t xml:space="preserve">harvest </w:t>
      </w:r>
      <w:r w:rsidR="006128A9">
        <w:rPr>
          <w:lang w:val="en-US"/>
        </w:rPr>
        <w:t xml:space="preserve">level </w:t>
      </w:r>
      <w:r w:rsidR="00D02697">
        <w:rPr>
          <w:lang w:val="en-US"/>
        </w:rPr>
        <w:t xml:space="preserve">of deciduous volume </w:t>
      </w:r>
      <w:r w:rsidR="000704E4">
        <w:rPr>
          <w:lang w:val="en-US"/>
        </w:rPr>
        <w:t xml:space="preserve">could </w:t>
      </w:r>
      <w:r w:rsidR="006128A9">
        <w:rPr>
          <w:lang w:val="en-US"/>
        </w:rPr>
        <w:t>increase by almost 20</w:t>
      </w:r>
      <w:r w:rsidR="00C71185">
        <w:rPr>
          <w:lang w:val="en-US"/>
        </w:rPr>
        <w:t> </w:t>
      </w:r>
      <w:r w:rsidR="006128A9">
        <w:rPr>
          <w:lang w:val="en-US"/>
        </w:rPr>
        <w:t>percen</w:t>
      </w:r>
      <w:r w:rsidR="000704E4">
        <w:rPr>
          <w:lang w:val="en-US"/>
        </w:rPr>
        <w:t>t</w:t>
      </w:r>
      <w:r w:rsidR="00CC390F">
        <w:rPr>
          <w:lang w:val="en-US"/>
        </w:rPr>
        <w:t xml:space="preserve"> without impacting the </w:t>
      </w:r>
      <w:proofErr w:type="spellStart"/>
      <w:r w:rsidR="00CC390F">
        <w:rPr>
          <w:lang w:val="en-US"/>
        </w:rPr>
        <w:t>mid</w:t>
      </w:r>
      <w:proofErr w:type="spellEnd"/>
      <w:r w:rsidR="0039226C">
        <w:rPr>
          <w:lang w:val="en-US"/>
        </w:rPr>
        <w:noBreakHyphen/>
      </w:r>
      <w:r w:rsidR="00CC390F">
        <w:rPr>
          <w:lang w:val="en-US"/>
        </w:rPr>
        <w:t xml:space="preserve"> to long</w:t>
      </w:r>
      <w:r w:rsidR="0039226C">
        <w:rPr>
          <w:lang w:val="en-US"/>
        </w:rPr>
        <w:noBreakHyphen/>
      </w:r>
      <w:r w:rsidR="00CC390F">
        <w:rPr>
          <w:lang w:val="en-US"/>
        </w:rPr>
        <w:t>term volume contribution from these stands</w:t>
      </w:r>
      <w:r w:rsidR="006128A9">
        <w:rPr>
          <w:lang w:val="en-US"/>
        </w:rPr>
        <w:t>.</w:t>
      </w:r>
    </w:p>
    <w:p w:rsidR="000704E4" w:rsidRDefault="00F02D83" w:rsidP="000704E4">
      <w:pPr>
        <w:rPr>
          <w:color w:val="000000" w:themeColor="text1"/>
        </w:rPr>
      </w:pPr>
      <w:r>
        <w:rPr>
          <w:lang w:val="en-US"/>
        </w:rPr>
        <w:t>P</w:t>
      </w:r>
      <w:r w:rsidR="00D02697">
        <w:rPr>
          <w:lang w:val="en-US"/>
        </w:rPr>
        <w:t>ast performance suggests</w:t>
      </w:r>
      <w:r w:rsidR="006128A9">
        <w:rPr>
          <w:lang w:val="en-US"/>
        </w:rPr>
        <w:t xml:space="preserve"> uncertainty still exists about whether th</w:t>
      </w:r>
      <w:r w:rsidR="00CC5F20">
        <w:rPr>
          <w:lang w:val="en-US"/>
        </w:rPr>
        <w:t>e 100</w:t>
      </w:r>
      <w:r w:rsidR="00C71185">
        <w:rPr>
          <w:lang w:val="en-US"/>
        </w:rPr>
        <w:t> </w:t>
      </w:r>
      <w:r w:rsidR="00CC5F20">
        <w:rPr>
          <w:lang w:val="en-US"/>
        </w:rPr>
        <w:t xml:space="preserve">000 cubic </w:t>
      </w:r>
      <w:proofErr w:type="spellStart"/>
      <w:r w:rsidR="00CC5F20">
        <w:rPr>
          <w:lang w:val="en-US"/>
        </w:rPr>
        <w:t>metre</w:t>
      </w:r>
      <w:proofErr w:type="spellEnd"/>
      <w:r w:rsidR="00CC5F20">
        <w:rPr>
          <w:lang w:val="en-US"/>
        </w:rPr>
        <w:t xml:space="preserve"> </w:t>
      </w:r>
      <w:r w:rsidR="006128A9">
        <w:rPr>
          <w:lang w:val="en-US"/>
        </w:rPr>
        <w:t xml:space="preserve">level will be achieved operationally.  </w:t>
      </w:r>
      <w:r w:rsidR="00CC5F20">
        <w:rPr>
          <w:lang w:val="en-US"/>
        </w:rPr>
        <w:t>T</w:t>
      </w:r>
      <w:r w:rsidR="00590FC4">
        <w:rPr>
          <w:lang w:val="en-US"/>
        </w:rPr>
        <w:t xml:space="preserve">he current contribution shown in the base case </w:t>
      </w:r>
      <w:r w:rsidR="00CC5F20">
        <w:rPr>
          <w:lang w:val="en-US"/>
        </w:rPr>
        <w:t xml:space="preserve">was harvested </w:t>
      </w:r>
      <w:r w:rsidR="00590FC4">
        <w:rPr>
          <w:lang w:val="en-US"/>
        </w:rPr>
        <w:t xml:space="preserve">only once in recent years.  </w:t>
      </w:r>
      <w:r w:rsidR="00910A33">
        <w:rPr>
          <w:lang w:val="en-US"/>
        </w:rPr>
        <w:t>In consideration of all the above, I conclude that for this determination it is appropriate to maintain the partition from deciduous</w:t>
      </w:r>
      <w:r w:rsidR="00C71185">
        <w:rPr>
          <w:lang w:val="en-US"/>
        </w:rPr>
        <w:noBreakHyphen/>
      </w:r>
      <w:r w:rsidR="00910A33">
        <w:rPr>
          <w:lang w:val="en-US"/>
        </w:rPr>
        <w:t>leading stands at 100</w:t>
      </w:r>
      <w:r w:rsidR="00C71185">
        <w:rPr>
          <w:lang w:val="en-US"/>
        </w:rPr>
        <w:t> </w:t>
      </w:r>
      <w:r w:rsidR="00910A33">
        <w:rPr>
          <w:lang w:val="en-US"/>
        </w:rPr>
        <w:t xml:space="preserve">000 cubic </w:t>
      </w:r>
      <w:proofErr w:type="spellStart"/>
      <w:r w:rsidR="00910A33">
        <w:rPr>
          <w:lang w:val="en-US"/>
        </w:rPr>
        <w:t>metres</w:t>
      </w:r>
      <w:proofErr w:type="spellEnd"/>
      <w:r w:rsidR="00910A33">
        <w:rPr>
          <w:lang w:val="en-US"/>
        </w:rPr>
        <w:t xml:space="preserve">.  </w:t>
      </w:r>
      <w:r w:rsidR="000F42EF">
        <w:rPr>
          <w:lang w:val="en-US"/>
        </w:rPr>
        <w:t>I</w:t>
      </w:r>
      <w:r w:rsidR="0067634F">
        <w:rPr>
          <w:lang w:val="en-US"/>
        </w:rPr>
        <w:t> </w:t>
      </w:r>
      <w:r w:rsidR="000F42EF">
        <w:rPr>
          <w:lang w:val="en-US"/>
        </w:rPr>
        <w:t xml:space="preserve">will discuss this further under </w:t>
      </w:r>
      <w:r w:rsidR="00866BF7">
        <w:rPr>
          <w:lang w:val="en-US"/>
        </w:rPr>
        <w:t>‘</w:t>
      </w:r>
      <w:r w:rsidR="000F42EF" w:rsidRPr="00C71185">
        <w:rPr>
          <w:b/>
          <w:lang w:val="en-US"/>
        </w:rPr>
        <w:t>Reasons for Decision</w:t>
      </w:r>
      <w:r w:rsidR="00866BF7">
        <w:rPr>
          <w:lang w:val="en-US"/>
        </w:rPr>
        <w:t>’</w:t>
      </w:r>
      <w:r w:rsidR="000F42EF">
        <w:rPr>
          <w:lang w:val="en-US"/>
        </w:rPr>
        <w:t>.</w:t>
      </w:r>
    </w:p>
    <w:p w:rsidR="000704E4" w:rsidRDefault="000704E4" w:rsidP="000704E4">
      <w:pPr>
        <w:rPr>
          <w:color w:val="000000" w:themeColor="text1"/>
        </w:rPr>
      </w:pPr>
      <w:r w:rsidRPr="00C71185">
        <w:rPr>
          <w:color w:val="000000" w:themeColor="text1"/>
        </w:rPr>
        <w:t xml:space="preserve">As a final note, I </w:t>
      </w:r>
      <w:r w:rsidR="00B40A0A" w:rsidRPr="00C71185">
        <w:rPr>
          <w:color w:val="000000" w:themeColor="text1"/>
        </w:rPr>
        <w:t>am aware</w:t>
      </w:r>
      <w:r w:rsidRPr="00C71185">
        <w:rPr>
          <w:color w:val="000000" w:themeColor="text1"/>
        </w:rPr>
        <w:t xml:space="preserve"> that it is difficult to determine whether deciduous volume in mixed stands is effectively used on the TFL</w:t>
      </w:r>
      <w:r w:rsidR="00B40A0A" w:rsidRPr="00C71185">
        <w:rPr>
          <w:color w:val="000000" w:themeColor="text1"/>
        </w:rPr>
        <w:t>,</w:t>
      </w:r>
      <w:r w:rsidRPr="00C71185">
        <w:rPr>
          <w:color w:val="000000" w:themeColor="text1"/>
        </w:rPr>
        <w:t xml:space="preserve"> from </w:t>
      </w:r>
      <w:r w:rsidR="00590FC4" w:rsidRPr="00C71185">
        <w:rPr>
          <w:color w:val="000000" w:themeColor="text1"/>
        </w:rPr>
        <w:t>r</w:t>
      </w:r>
      <w:r w:rsidRPr="00C71185">
        <w:rPr>
          <w:color w:val="000000" w:themeColor="text1"/>
        </w:rPr>
        <w:t xml:space="preserve">eview of volume harvest records.  I </w:t>
      </w:r>
      <w:r w:rsidR="00A36326" w:rsidRPr="00C71185">
        <w:rPr>
          <w:color w:val="000000" w:themeColor="text1"/>
        </w:rPr>
        <w:t xml:space="preserve">expect </w:t>
      </w:r>
      <w:r w:rsidRPr="00C71185">
        <w:rPr>
          <w:color w:val="000000" w:themeColor="text1"/>
        </w:rPr>
        <w:t>the licensee to utilize deciduous species in mixed stands wherever possible, so as to ensure maximum value from these stands.</w:t>
      </w:r>
    </w:p>
    <w:p w:rsidR="00FA2F14" w:rsidRPr="003E3688" w:rsidRDefault="00FA2F14" w:rsidP="00FA2F14">
      <w:pPr>
        <w:pStyle w:val="Heading3"/>
      </w:pPr>
      <w:bookmarkStart w:id="274" w:name="_Toc432658649"/>
      <w:r w:rsidRPr="004B40FD">
        <w:t xml:space="preserve">- </w:t>
      </w:r>
      <w:proofErr w:type="gramStart"/>
      <w:r w:rsidRPr="004B40FD">
        <w:t>harvest</w:t>
      </w:r>
      <w:proofErr w:type="gramEnd"/>
      <w:r w:rsidRPr="004B40FD">
        <w:t xml:space="preserve"> performance</w:t>
      </w:r>
      <w:r w:rsidR="006825F3" w:rsidRPr="004B40FD">
        <w:t xml:space="preserve"> in balsam stands</w:t>
      </w:r>
      <w:bookmarkEnd w:id="274"/>
    </w:p>
    <w:p w:rsidR="00B45778" w:rsidRDefault="00AB3675" w:rsidP="00FA2F14">
      <w:pPr>
        <w:rPr>
          <w:color w:val="000000" w:themeColor="text1"/>
        </w:rPr>
      </w:pPr>
      <w:r>
        <w:rPr>
          <w:color w:val="000000" w:themeColor="text1"/>
        </w:rPr>
        <w:t>Balsam</w:t>
      </w:r>
      <w:r w:rsidR="00C71185">
        <w:rPr>
          <w:color w:val="000000" w:themeColor="text1"/>
        </w:rPr>
        <w:noBreakHyphen/>
      </w:r>
      <w:r>
        <w:rPr>
          <w:color w:val="000000" w:themeColor="text1"/>
        </w:rPr>
        <w:t xml:space="preserve">leading stands cover </w:t>
      </w:r>
      <w:r w:rsidR="00BC698C">
        <w:rPr>
          <w:color w:val="000000" w:themeColor="text1"/>
        </w:rPr>
        <w:t>approximately</w:t>
      </w:r>
      <w:r>
        <w:rPr>
          <w:color w:val="000000" w:themeColor="text1"/>
        </w:rPr>
        <w:t xml:space="preserve"> 12.6 percent of the timber harvesting land base of TFL</w:t>
      </w:r>
      <w:r w:rsidR="006F1EEA">
        <w:rPr>
          <w:color w:val="000000" w:themeColor="text1"/>
        </w:rPr>
        <w:t> </w:t>
      </w:r>
      <w:r>
        <w:rPr>
          <w:color w:val="000000" w:themeColor="text1"/>
        </w:rPr>
        <w:t>48.</w:t>
      </w:r>
    </w:p>
    <w:p w:rsidR="00AB3675" w:rsidRDefault="00AB3675" w:rsidP="00FA2F14">
      <w:pPr>
        <w:rPr>
          <w:color w:val="000000" w:themeColor="text1"/>
        </w:rPr>
      </w:pPr>
      <w:r>
        <w:rPr>
          <w:color w:val="000000" w:themeColor="text1"/>
        </w:rPr>
        <w:t>In the base case</w:t>
      </w:r>
      <w:r w:rsidR="00910A33">
        <w:rPr>
          <w:color w:val="000000" w:themeColor="text1"/>
        </w:rPr>
        <w:t>,</w:t>
      </w:r>
      <w:r>
        <w:rPr>
          <w:color w:val="000000" w:themeColor="text1"/>
        </w:rPr>
        <w:t xml:space="preserve"> balsam</w:t>
      </w:r>
      <w:r w:rsidR="00C71185">
        <w:rPr>
          <w:color w:val="000000" w:themeColor="text1"/>
        </w:rPr>
        <w:noBreakHyphen/>
      </w:r>
      <w:r>
        <w:rPr>
          <w:color w:val="000000" w:themeColor="text1"/>
        </w:rPr>
        <w:t>leading stands contribute an average of 58</w:t>
      </w:r>
      <w:r w:rsidR="00C71185">
        <w:rPr>
          <w:color w:val="000000" w:themeColor="text1"/>
        </w:rPr>
        <w:t> </w:t>
      </w:r>
      <w:r>
        <w:rPr>
          <w:color w:val="000000" w:themeColor="text1"/>
        </w:rPr>
        <w:t>000 cubic metres per year for the first 50</w:t>
      </w:r>
      <w:r w:rsidR="006F1EEA">
        <w:rPr>
          <w:color w:val="000000" w:themeColor="text1"/>
        </w:rPr>
        <w:t> </w:t>
      </w:r>
      <w:r>
        <w:rPr>
          <w:color w:val="000000" w:themeColor="text1"/>
        </w:rPr>
        <w:t>years of the harvest forecast, and 85</w:t>
      </w:r>
      <w:r w:rsidR="00C71185">
        <w:rPr>
          <w:color w:val="000000" w:themeColor="text1"/>
        </w:rPr>
        <w:t> </w:t>
      </w:r>
      <w:r>
        <w:rPr>
          <w:color w:val="000000" w:themeColor="text1"/>
        </w:rPr>
        <w:t xml:space="preserve">000 cubic metres per year thereafter.  </w:t>
      </w:r>
      <w:r w:rsidR="00B45778">
        <w:rPr>
          <w:color w:val="000000" w:themeColor="text1"/>
        </w:rPr>
        <w:t xml:space="preserve">This correlates to a contribution of approximately 7 and 12 percent, respectively, to the </w:t>
      </w:r>
      <w:proofErr w:type="spellStart"/>
      <w:r w:rsidR="00B45778">
        <w:rPr>
          <w:color w:val="000000" w:themeColor="text1"/>
        </w:rPr>
        <w:t>mid</w:t>
      </w:r>
      <w:proofErr w:type="spellEnd"/>
      <w:r w:rsidR="00F772A5">
        <w:rPr>
          <w:color w:val="000000" w:themeColor="text1"/>
        </w:rPr>
        <w:noBreakHyphen/>
      </w:r>
      <w:r w:rsidR="00B45778">
        <w:rPr>
          <w:color w:val="000000" w:themeColor="text1"/>
        </w:rPr>
        <w:t xml:space="preserve"> and long</w:t>
      </w:r>
      <w:r w:rsidR="00F772A5">
        <w:rPr>
          <w:color w:val="000000" w:themeColor="text1"/>
        </w:rPr>
        <w:noBreakHyphen/>
      </w:r>
      <w:r w:rsidR="00B45778">
        <w:rPr>
          <w:color w:val="000000" w:themeColor="text1"/>
        </w:rPr>
        <w:t xml:space="preserve">term harvest </w:t>
      </w:r>
      <w:r w:rsidR="00305D32">
        <w:rPr>
          <w:color w:val="000000" w:themeColor="text1"/>
        </w:rPr>
        <w:t xml:space="preserve">level </w:t>
      </w:r>
      <w:r w:rsidR="00B45778">
        <w:rPr>
          <w:color w:val="000000" w:themeColor="text1"/>
        </w:rPr>
        <w:t>in the base case.</w:t>
      </w:r>
    </w:p>
    <w:p w:rsidR="00C106EB" w:rsidRDefault="00B45778" w:rsidP="00FA2F14">
      <w:pPr>
        <w:rPr>
          <w:color w:val="000000" w:themeColor="text1"/>
        </w:rPr>
      </w:pPr>
      <w:r>
        <w:rPr>
          <w:color w:val="000000" w:themeColor="text1"/>
        </w:rPr>
        <w:t xml:space="preserve">Ministry </w:t>
      </w:r>
      <w:proofErr w:type="gramStart"/>
      <w:r>
        <w:rPr>
          <w:color w:val="000000" w:themeColor="text1"/>
        </w:rPr>
        <w:t>staff note</w:t>
      </w:r>
      <w:proofErr w:type="gramEnd"/>
      <w:r>
        <w:rPr>
          <w:color w:val="000000" w:themeColor="text1"/>
        </w:rPr>
        <w:t xml:space="preserve"> that balsam harvest on TFL</w:t>
      </w:r>
      <w:r w:rsidR="00F772A5">
        <w:rPr>
          <w:color w:val="000000" w:themeColor="text1"/>
        </w:rPr>
        <w:t> </w:t>
      </w:r>
      <w:r>
        <w:rPr>
          <w:color w:val="000000" w:themeColor="text1"/>
        </w:rPr>
        <w:t>48 has been limited.  Ministry staff assessed the harvest billing information and found that between 2004 and 2013, an average of 0.6 percent of the actual volume harvested from the TFL was balsam.</w:t>
      </w:r>
    </w:p>
    <w:p w:rsidR="00B45778" w:rsidRDefault="00B45778" w:rsidP="00FA2F14">
      <w:pPr>
        <w:rPr>
          <w:color w:val="000000" w:themeColor="text1"/>
        </w:rPr>
      </w:pPr>
      <w:r>
        <w:rPr>
          <w:color w:val="000000" w:themeColor="text1"/>
        </w:rPr>
        <w:t xml:space="preserve">The licensee indicates their manufacturing </w:t>
      </w:r>
      <w:r w:rsidR="00910A33">
        <w:rPr>
          <w:color w:val="000000" w:themeColor="text1"/>
        </w:rPr>
        <w:t xml:space="preserve">facility </w:t>
      </w:r>
      <w:r>
        <w:rPr>
          <w:color w:val="000000" w:themeColor="text1"/>
        </w:rPr>
        <w:t>can handle 25 to 30 percent of its consumption from balsam.  Recent harvest has focused on MPB</w:t>
      </w:r>
      <w:r w:rsidR="00F772A5">
        <w:rPr>
          <w:color w:val="000000" w:themeColor="text1"/>
        </w:rPr>
        <w:noBreakHyphen/>
      </w:r>
      <w:r>
        <w:rPr>
          <w:color w:val="000000" w:themeColor="text1"/>
        </w:rPr>
        <w:t>killed stands, and balsam has not been a priority.</w:t>
      </w:r>
    </w:p>
    <w:p w:rsidR="00944D97" w:rsidRPr="006F1EEA" w:rsidRDefault="00B45778" w:rsidP="00FA2F14">
      <w:pPr>
        <w:rPr>
          <w:color w:val="000000" w:themeColor="text1"/>
        </w:rPr>
      </w:pPr>
      <w:r>
        <w:rPr>
          <w:color w:val="000000" w:themeColor="text1"/>
        </w:rPr>
        <w:t xml:space="preserve">I have reviewed the information regarding the contribution assumed in the base case from balsam stands and harvest performance.  </w:t>
      </w:r>
      <w:r w:rsidR="004B40FD">
        <w:rPr>
          <w:color w:val="000000" w:themeColor="text1"/>
        </w:rPr>
        <w:t>M</w:t>
      </w:r>
      <w:r>
        <w:rPr>
          <w:color w:val="000000" w:themeColor="text1"/>
        </w:rPr>
        <w:t>id</w:t>
      </w:r>
      <w:r w:rsidR="006F1EEA">
        <w:rPr>
          <w:color w:val="000000" w:themeColor="text1"/>
        </w:rPr>
        <w:noBreakHyphen/>
      </w:r>
      <w:r w:rsidR="00944D97">
        <w:rPr>
          <w:color w:val="000000" w:themeColor="text1"/>
        </w:rPr>
        <w:t xml:space="preserve"> </w:t>
      </w:r>
      <w:r>
        <w:rPr>
          <w:color w:val="000000" w:themeColor="text1"/>
        </w:rPr>
        <w:t>to long</w:t>
      </w:r>
      <w:r w:rsidR="006F1EEA">
        <w:rPr>
          <w:color w:val="000000" w:themeColor="text1"/>
        </w:rPr>
        <w:noBreakHyphen/>
      </w:r>
      <w:r>
        <w:rPr>
          <w:color w:val="000000" w:themeColor="text1"/>
        </w:rPr>
        <w:t xml:space="preserve">term timber supply </w:t>
      </w:r>
      <w:r w:rsidR="00944D97">
        <w:rPr>
          <w:color w:val="000000" w:themeColor="text1"/>
        </w:rPr>
        <w:t xml:space="preserve">as shown </w:t>
      </w:r>
      <w:r w:rsidR="00025363">
        <w:rPr>
          <w:color w:val="000000" w:themeColor="text1"/>
        </w:rPr>
        <w:t>in</w:t>
      </w:r>
      <w:r w:rsidR="004B40FD">
        <w:rPr>
          <w:color w:val="000000" w:themeColor="text1"/>
        </w:rPr>
        <w:t xml:space="preserve"> the base case </w:t>
      </w:r>
      <w:r>
        <w:rPr>
          <w:color w:val="000000" w:themeColor="text1"/>
        </w:rPr>
        <w:t>is dependent on a 7 to 12 percent contribution from these stands</w:t>
      </w:r>
      <w:r w:rsidR="00D62F08">
        <w:rPr>
          <w:color w:val="000000" w:themeColor="text1"/>
        </w:rPr>
        <w:t>, and therefore a lack of harvesting performance could suggest the stands should not be included in the timber harvesting land base</w:t>
      </w:r>
      <w:r w:rsidR="004B40FD">
        <w:rPr>
          <w:color w:val="000000" w:themeColor="text1"/>
        </w:rPr>
        <w:t>.</w:t>
      </w:r>
      <w:r w:rsidR="00944D97">
        <w:rPr>
          <w:color w:val="000000" w:themeColor="text1"/>
        </w:rPr>
        <w:t xml:space="preserve">  I</w:t>
      </w:r>
      <w:r w:rsidR="006F1EEA">
        <w:rPr>
          <w:color w:val="000000" w:themeColor="text1"/>
        </w:rPr>
        <w:t> </w:t>
      </w:r>
      <w:r w:rsidR="00944D97">
        <w:rPr>
          <w:color w:val="000000" w:themeColor="text1"/>
        </w:rPr>
        <w:t>acknowledge that harvest over the past few years has been focussed appropriately on salvage of timber from MPB</w:t>
      </w:r>
      <w:r w:rsidR="006F1EEA">
        <w:rPr>
          <w:color w:val="000000" w:themeColor="text1"/>
        </w:rPr>
        <w:noBreakHyphen/>
      </w:r>
      <w:r w:rsidR="00944D97">
        <w:rPr>
          <w:color w:val="000000" w:themeColor="text1"/>
        </w:rPr>
        <w:t xml:space="preserve">attacked stands.  As well, I am aware the licensee has stated their facilities are </w:t>
      </w:r>
      <w:r w:rsidR="00944D97" w:rsidRPr="006F1EEA">
        <w:rPr>
          <w:color w:val="000000" w:themeColor="text1"/>
        </w:rPr>
        <w:t>suited to processing an appropriate level of balsam harvest.</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B45778" w:rsidRPr="00FA2F14" w:rsidRDefault="00944D97" w:rsidP="00FA2F14">
      <w:pPr>
        <w:rPr>
          <w:color w:val="000000" w:themeColor="text1"/>
        </w:rPr>
      </w:pPr>
      <w:r w:rsidRPr="006F1EEA">
        <w:rPr>
          <w:color w:val="000000" w:themeColor="text1"/>
        </w:rPr>
        <w:t xml:space="preserve">In consideration of the above, </w:t>
      </w:r>
      <w:r w:rsidR="00361E54" w:rsidRPr="006F1EEA">
        <w:rPr>
          <w:color w:val="000000" w:themeColor="text1"/>
        </w:rPr>
        <w:t>including the minim</w:t>
      </w:r>
      <w:r w:rsidR="00F5210A" w:rsidRPr="006F1EEA">
        <w:rPr>
          <w:color w:val="000000" w:themeColor="text1"/>
        </w:rPr>
        <w:t>al level of</w:t>
      </w:r>
      <w:r w:rsidR="00361E54" w:rsidRPr="006F1EEA">
        <w:rPr>
          <w:color w:val="000000" w:themeColor="text1"/>
        </w:rPr>
        <w:t xml:space="preserve"> </w:t>
      </w:r>
      <w:r w:rsidR="00792489" w:rsidRPr="006F1EEA">
        <w:rPr>
          <w:color w:val="000000" w:themeColor="text1"/>
        </w:rPr>
        <w:t xml:space="preserve">harvest </w:t>
      </w:r>
      <w:r w:rsidR="00361E54" w:rsidRPr="006F1EEA">
        <w:rPr>
          <w:color w:val="000000" w:themeColor="text1"/>
        </w:rPr>
        <w:t xml:space="preserve">performance in these stands over the past </w:t>
      </w:r>
      <w:r w:rsidR="006F1EEA" w:rsidRPr="006F1EEA">
        <w:rPr>
          <w:color w:val="000000" w:themeColor="text1"/>
        </w:rPr>
        <w:t>10 </w:t>
      </w:r>
      <w:r w:rsidR="00361E54" w:rsidRPr="006F1EEA">
        <w:rPr>
          <w:color w:val="000000" w:themeColor="text1"/>
        </w:rPr>
        <w:t>years,</w:t>
      </w:r>
      <w:r w:rsidR="001A4812" w:rsidRPr="006F1EEA">
        <w:rPr>
          <w:color w:val="000000" w:themeColor="text1"/>
        </w:rPr>
        <w:t xml:space="preserve"> I </w:t>
      </w:r>
      <w:r w:rsidR="00161591" w:rsidRPr="006F1EEA">
        <w:rPr>
          <w:color w:val="000000" w:themeColor="text1"/>
        </w:rPr>
        <w:t>note</w:t>
      </w:r>
      <w:r w:rsidR="001A4812" w:rsidRPr="006F1EEA">
        <w:rPr>
          <w:color w:val="000000" w:themeColor="text1"/>
        </w:rPr>
        <w:t xml:space="preserve"> that </w:t>
      </w:r>
      <w:r w:rsidR="001C0E43" w:rsidRPr="006F1EEA">
        <w:rPr>
          <w:color w:val="000000" w:themeColor="text1"/>
        </w:rPr>
        <w:t xml:space="preserve">continued </w:t>
      </w:r>
      <w:r w:rsidR="001A4812" w:rsidRPr="006F1EEA">
        <w:rPr>
          <w:color w:val="000000" w:themeColor="text1"/>
        </w:rPr>
        <w:t>avoid</w:t>
      </w:r>
      <w:r w:rsidR="001C0E43" w:rsidRPr="006F1EEA">
        <w:rPr>
          <w:color w:val="000000" w:themeColor="text1"/>
        </w:rPr>
        <w:t>ance of</w:t>
      </w:r>
      <w:r w:rsidR="001A4812" w:rsidRPr="006F1EEA">
        <w:rPr>
          <w:color w:val="000000" w:themeColor="text1"/>
        </w:rPr>
        <w:t xml:space="preserve"> harvest in these stands will </w:t>
      </w:r>
      <w:r w:rsidR="00792489" w:rsidRPr="006F1EEA">
        <w:rPr>
          <w:color w:val="000000" w:themeColor="text1"/>
        </w:rPr>
        <w:t>reduce</w:t>
      </w:r>
      <w:r w:rsidR="001A4812" w:rsidRPr="006F1EEA">
        <w:rPr>
          <w:color w:val="000000" w:themeColor="text1"/>
        </w:rPr>
        <w:t xml:space="preserve"> mid</w:t>
      </w:r>
      <w:r w:rsidR="00161591" w:rsidRPr="006F1EEA">
        <w:rPr>
          <w:color w:val="000000" w:themeColor="text1"/>
        </w:rPr>
        <w:noBreakHyphen/>
        <w:t xml:space="preserve"> </w:t>
      </w:r>
      <w:r w:rsidR="001C0E43" w:rsidRPr="006F1EEA">
        <w:rPr>
          <w:color w:val="000000" w:themeColor="text1"/>
        </w:rPr>
        <w:t>to long</w:t>
      </w:r>
      <w:r w:rsidR="006F1EEA" w:rsidRPr="006F1EEA">
        <w:rPr>
          <w:color w:val="000000" w:themeColor="text1"/>
        </w:rPr>
        <w:noBreakHyphen/>
      </w:r>
      <w:r w:rsidR="001A4812" w:rsidRPr="006F1EEA">
        <w:rPr>
          <w:color w:val="000000" w:themeColor="text1"/>
        </w:rPr>
        <w:t xml:space="preserve">term timber supply.  </w:t>
      </w:r>
      <w:r w:rsidR="00CB4396" w:rsidRPr="006F1EEA">
        <w:rPr>
          <w:color w:val="000000" w:themeColor="text1"/>
        </w:rPr>
        <w:t>I</w:t>
      </w:r>
      <w:r w:rsidR="0074426F" w:rsidRPr="006F1EEA">
        <w:rPr>
          <w:color w:val="000000" w:themeColor="text1"/>
        </w:rPr>
        <w:t xml:space="preserve"> expect</w:t>
      </w:r>
      <w:r w:rsidR="00161591" w:rsidRPr="006F1EEA">
        <w:rPr>
          <w:color w:val="000000" w:themeColor="text1"/>
        </w:rPr>
        <w:t xml:space="preserve"> </w:t>
      </w:r>
      <w:r w:rsidRPr="006F1EEA">
        <w:rPr>
          <w:color w:val="000000" w:themeColor="text1"/>
        </w:rPr>
        <w:t>the licensee</w:t>
      </w:r>
      <w:r w:rsidR="0074426F" w:rsidRPr="006F1EEA">
        <w:rPr>
          <w:color w:val="000000" w:themeColor="text1"/>
        </w:rPr>
        <w:t xml:space="preserve"> </w:t>
      </w:r>
      <w:r w:rsidR="00792489" w:rsidRPr="006F1EEA">
        <w:rPr>
          <w:color w:val="000000" w:themeColor="text1"/>
        </w:rPr>
        <w:t>to</w:t>
      </w:r>
      <w:r w:rsidRPr="006F1EEA">
        <w:rPr>
          <w:color w:val="000000" w:themeColor="text1"/>
        </w:rPr>
        <w:t xml:space="preserve"> </w:t>
      </w:r>
      <w:r w:rsidR="00361E54" w:rsidRPr="006F1EEA">
        <w:rPr>
          <w:color w:val="000000" w:themeColor="text1"/>
        </w:rPr>
        <w:t>evaluate balsam</w:t>
      </w:r>
      <w:r w:rsidR="006F1EEA" w:rsidRPr="006F1EEA">
        <w:rPr>
          <w:color w:val="000000" w:themeColor="text1"/>
        </w:rPr>
        <w:noBreakHyphen/>
      </w:r>
      <w:r w:rsidR="00361E54" w:rsidRPr="006F1EEA">
        <w:rPr>
          <w:color w:val="000000" w:themeColor="text1"/>
        </w:rPr>
        <w:t xml:space="preserve">leading stands </w:t>
      </w:r>
      <w:r w:rsidR="00792489" w:rsidRPr="006F1EEA">
        <w:rPr>
          <w:color w:val="000000" w:themeColor="text1"/>
        </w:rPr>
        <w:t>to ensure that only those that are expected to be harvested are included in the timber harvesting land base, and provide evidence to that effect.</w:t>
      </w:r>
      <w:r w:rsidRPr="006F1EEA">
        <w:rPr>
          <w:color w:val="000000" w:themeColor="text1"/>
        </w:rPr>
        <w:t xml:space="preserve"> </w:t>
      </w:r>
      <w:r w:rsidR="00792489" w:rsidRPr="006F1EEA">
        <w:rPr>
          <w:color w:val="000000" w:themeColor="text1"/>
        </w:rPr>
        <w:t xml:space="preserve"> A</w:t>
      </w:r>
      <w:r w:rsidRPr="006F1EEA">
        <w:rPr>
          <w:color w:val="000000" w:themeColor="text1"/>
        </w:rPr>
        <w:t>ny required changes to the assumptions can be incorporated into the next timber supply review.</w:t>
      </w:r>
    </w:p>
    <w:p w:rsidR="003B38F9" w:rsidRPr="003B2FB5" w:rsidRDefault="003B38F9" w:rsidP="003B38F9">
      <w:pPr>
        <w:pStyle w:val="Heading3"/>
      </w:pPr>
      <w:bookmarkStart w:id="275" w:name="_Toc432658650"/>
      <w:r w:rsidRPr="003B2FB5">
        <w:t xml:space="preserve">- </w:t>
      </w:r>
      <w:proofErr w:type="gramStart"/>
      <w:r w:rsidRPr="003B2FB5">
        <w:t>cumulative</w:t>
      </w:r>
      <w:proofErr w:type="gramEnd"/>
      <w:r w:rsidRPr="003B2FB5">
        <w:t xml:space="preserve"> effects</w:t>
      </w:r>
      <w:bookmarkEnd w:id="275"/>
    </w:p>
    <w:p w:rsidR="00DA668F" w:rsidRDefault="00DA668F" w:rsidP="00DA668F">
      <w:pPr>
        <w:rPr>
          <w:lang w:val="en-US"/>
        </w:rPr>
      </w:pPr>
      <w:r>
        <w:rPr>
          <w:lang w:val="en-US"/>
        </w:rPr>
        <w:t>The effects of mining, oil and gas, wind energy and timber harvesting may combine to cause unintended cumulative effects (CE) on other resources or values on TFL</w:t>
      </w:r>
      <w:r w:rsidR="006F1EEA">
        <w:rPr>
          <w:lang w:val="en-US"/>
        </w:rPr>
        <w:t> </w:t>
      </w:r>
      <w:r>
        <w:rPr>
          <w:lang w:val="en-US"/>
        </w:rPr>
        <w:t>48.  Treaty</w:t>
      </w:r>
      <w:r w:rsidR="006F1EEA">
        <w:rPr>
          <w:lang w:val="en-US"/>
        </w:rPr>
        <w:t> </w:t>
      </w:r>
      <w:r>
        <w:rPr>
          <w:lang w:val="en-US"/>
        </w:rPr>
        <w:t>8 First Nations with traditional territory overlapping parts of TFL 48 and the surrounding TSAs have expressed concern about the CE’s of industrial development on the exercise of their Treaty</w:t>
      </w:r>
      <w:r w:rsidR="006F1EEA">
        <w:rPr>
          <w:lang w:val="en-US"/>
        </w:rPr>
        <w:t> </w:t>
      </w:r>
      <w:r>
        <w:rPr>
          <w:lang w:val="en-US"/>
        </w:rPr>
        <w:t xml:space="preserve">8 rights.  I will discuss this further under </w:t>
      </w:r>
      <w:r w:rsidR="00866BF7">
        <w:rPr>
          <w:lang w:val="en-US"/>
        </w:rPr>
        <w:t>‘</w:t>
      </w:r>
      <w:r>
        <w:rPr>
          <w:lang w:val="en-US"/>
        </w:rPr>
        <w:t>First Nations considerations</w:t>
      </w:r>
      <w:r w:rsidR="00866BF7">
        <w:rPr>
          <w:lang w:val="en-US"/>
        </w:rPr>
        <w:t>’</w:t>
      </w:r>
      <w:r>
        <w:rPr>
          <w:lang w:val="en-US"/>
        </w:rPr>
        <w:t xml:space="preserve"> below.</w:t>
      </w:r>
    </w:p>
    <w:p w:rsidR="00DA668F" w:rsidRDefault="00DA668F" w:rsidP="00DA668F">
      <w:pPr>
        <w:rPr>
          <w:color w:val="000000" w:themeColor="text1"/>
          <w:szCs w:val="22"/>
        </w:rPr>
      </w:pPr>
      <w:r w:rsidRPr="00484833">
        <w:rPr>
          <w:color w:val="000000" w:themeColor="text1"/>
          <w:szCs w:val="22"/>
        </w:rPr>
        <w:t>The Province recognizes the importance of assessing and managing the</w:t>
      </w:r>
      <w:r>
        <w:rPr>
          <w:color w:val="000000" w:themeColor="text1"/>
          <w:szCs w:val="22"/>
        </w:rPr>
        <w:t xml:space="preserve"> CE </w:t>
      </w:r>
      <w:r w:rsidRPr="00484833">
        <w:rPr>
          <w:color w:val="000000" w:themeColor="text1"/>
          <w:szCs w:val="22"/>
        </w:rPr>
        <w:t xml:space="preserve">of resource development in Northeast British Columbia and is developing and implementing the Cumulative Effects Framework </w:t>
      </w:r>
      <w:r>
        <w:rPr>
          <w:color w:val="000000" w:themeColor="text1"/>
          <w:szCs w:val="22"/>
        </w:rPr>
        <w:t xml:space="preserve">(CEF) </w:t>
      </w:r>
      <w:r w:rsidRPr="00484833">
        <w:rPr>
          <w:color w:val="000000" w:themeColor="text1"/>
          <w:szCs w:val="22"/>
        </w:rPr>
        <w:t>to provide the policy, procedures and tools to improve the consideration of cumulative effects in natural resource decision</w:t>
      </w:r>
      <w:r w:rsidR="006F1EEA">
        <w:rPr>
          <w:color w:val="000000" w:themeColor="text1"/>
          <w:szCs w:val="22"/>
        </w:rPr>
        <w:noBreakHyphen/>
      </w:r>
      <w:r w:rsidRPr="00484833">
        <w:rPr>
          <w:color w:val="000000" w:themeColor="text1"/>
          <w:szCs w:val="22"/>
        </w:rPr>
        <w:t xml:space="preserve">making.  </w:t>
      </w:r>
      <w:r>
        <w:rPr>
          <w:color w:val="000000" w:themeColor="text1"/>
          <w:szCs w:val="22"/>
        </w:rPr>
        <w:t>With t</w:t>
      </w:r>
      <w:r w:rsidRPr="00484833">
        <w:rPr>
          <w:color w:val="000000" w:themeColor="text1"/>
          <w:szCs w:val="22"/>
        </w:rPr>
        <w:t>his management approach</w:t>
      </w:r>
      <w:r>
        <w:rPr>
          <w:color w:val="000000" w:themeColor="text1"/>
          <w:szCs w:val="22"/>
        </w:rPr>
        <w:t>,</w:t>
      </w:r>
      <w:r w:rsidRPr="00484833">
        <w:rPr>
          <w:color w:val="000000" w:themeColor="text1"/>
          <w:szCs w:val="22"/>
        </w:rPr>
        <w:t xml:space="preserve"> </w:t>
      </w:r>
      <w:r>
        <w:rPr>
          <w:color w:val="000000" w:themeColor="text1"/>
          <w:szCs w:val="22"/>
        </w:rPr>
        <w:t xml:space="preserve">the effects of resource development on </w:t>
      </w:r>
      <w:r w:rsidRPr="00484833">
        <w:rPr>
          <w:color w:val="000000" w:themeColor="text1"/>
          <w:szCs w:val="22"/>
        </w:rPr>
        <w:t xml:space="preserve">a number of environmental, social and economic </w:t>
      </w:r>
      <w:r>
        <w:rPr>
          <w:color w:val="000000" w:themeColor="text1"/>
          <w:szCs w:val="22"/>
        </w:rPr>
        <w:t>values</w:t>
      </w:r>
      <w:r w:rsidRPr="00484833">
        <w:rPr>
          <w:color w:val="000000" w:themeColor="text1"/>
          <w:szCs w:val="22"/>
        </w:rPr>
        <w:t>, including</w:t>
      </w:r>
      <w:r>
        <w:rPr>
          <w:color w:val="000000" w:themeColor="text1"/>
          <w:szCs w:val="22"/>
        </w:rPr>
        <w:t>:</w:t>
      </w:r>
      <w:r w:rsidRPr="00484833">
        <w:rPr>
          <w:color w:val="000000" w:themeColor="text1"/>
          <w:szCs w:val="22"/>
        </w:rPr>
        <w:t xml:space="preserve"> biodiversity, riparian conditions, water and air quality, fish and wildlife</w:t>
      </w:r>
      <w:r>
        <w:rPr>
          <w:color w:val="000000" w:themeColor="text1"/>
          <w:szCs w:val="22"/>
        </w:rPr>
        <w:t xml:space="preserve"> habitat and populations</w:t>
      </w:r>
      <w:r w:rsidRPr="00484833">
        <w:rPr>
          <w:color w:val="000000" w:themeColor="text1"/>
          <w:szCs w:val="22"/>
        </w:rPr>
        <w:t>, cultural and heritage concerns, community needs and economic development opportunities</w:t>
      </w:r>
      <w:r>
        <w:rPr>
          <w:color w:val="000000" w:themeColor="text1"/>
          <w:szCs w:val="22"/>
        </w:rPr>
        <w:t>, form part of natural resource decision making processes.</w:t>
      </w:r>
    </w:p>
    <w:p w:rsidR="00DA668F" w:rsidRDefault="00DA668F" w:rsidP="00DA668F">
      <w:pPr>
        <w:rPr>
          <w:color w:val="000000" w:themeColor="text1"/>
          <w:szCs w:val="22"/>
        </w:rPr>
      </w:pPr>
      <w:r>
        <w:rPr>
          <w:color w:val="000000" w:themeColor="text1"/>
          <w:szCs w:val="22"/>
        </w:rPr>
        <w:t>The CEF was developed by the Province in 2013.  As part of the CEF, o</w:t>
      </w:r>
      <w:r w:rsidRPr="00484833">
        <w:rPr>
          <w:color w:val="000000" w:themeColor="text1"/>
          <w:szCs w:val="22"/>
        </w:rPr>
        <w:t>perational trial</w:t>
      </w:r>
      <w:r>
        <w:rPr>
          <w:color w:val="000000" w:themeColor="text1"/>
          <w:szCs w:val="22"/>
        </w:rPr>
        <w:t>s were</w:t>
      </w:r>
      <w:r w:rsidRPr="00484833">
        <w:rPr>
          <w:color w:val="000000" w:themeColor="text1"/>
          <w:szCs w:val="22"/>
        </w:rPr>
        <w:t xml:space="preserve"> implemented</w:t>
      </w:r>
      <w:r>
        <w:rPr>
          <w:color w:val="000000" w:themeColor="text1"/>
          <w:szCs w:val="22"/>
        </w:rPr>
        <w:t xml:space="preserve"> in</w:t>
      </w:r>
      <w:r w:rsidRPr="00484833">
        <w:rPr>
          <w:color w:val="000000" w:themeColor="text1"/>
          <w:szCs w:val="22"/>
        </w:rPr>
        <w:t xml:space="preserve"> </w:t>
      </w:r>
      <w:r>
        <w:rPr>
          <w:color w:val="000000" w:themeColor="text1"/>
          <w:szCs w:val="22"/>
        </w:rPr>
        <w:t xml:space="preserve">a number of areas including one </w:t>
      </w:r>
      <w:r w:rsidRPr="00484833">
        <w:rPr>
          <w:color w:val="000000" w:themeColor="text1"/>
          <w:szCs w:val="22"/>
        </w:rPr>
        <w:t>in the South Peace area.</w:t>
      </w:r>
      <w:r>
        <w:rPr>
          <w:color w:val="000000" w:themeColor="text1"/>
          <w:szCs w:val="22"/>
        </w:rPr>
        <w:t xml:space="preserve">  This led to the establishment of the Northeast Cumulative Effects Program in spring 2014, which tailors application of CEF in British Columbia’s Northeast region.</w:t>
      </w:r>
      <w:r w:rsidRPr="00484833">
        <w:rPr>
          <w:color w:val="000000" w:themeColor="text1"/>
          <w:szCs w:val="22"/>
        </w:rPr>
        <w:t xml:space="preserve">  The Northeast </w:t>
      </w:r>
      <w:r>
        <w:rPr>
          <w:color w:val="000000" w:themeColor="text1"/>
          <w:szCs w:val="22"/>
        </w:rPr>
        <w:t xml:space="preserve">CE Program </w:t>
      </w:r>
      <w:r w:rsidRPr="00484833">
        <w:rPr>
          <w:color w:val="000000" w:themeColor="text1"/>
          <w:szCs w:val="22"/>
        </w:rPr>
        <w:t>incorporates the work completed in the previous South Peace CE demonstration project, as well as the BC Oil and Gas Commission's Area Based</w:t>
      </w:r>
      <w:r>
        <w:rPr>
          <w:color w:val="000000" w:themeColor="text1"/>
          <w:szCs w:val="22"/>
        </w:rPr>
        <w:t xml:space="preserve"> Analysis. </w:t>
      </w:r>
      <w:r w:rsidRPr="00484833">
        <w:rPr>
          <w:color w:val="000000" w:themeColor="text1"/>
          <w:szCs w:val="22"/>
        </w:rPr>
        <w:t xml:space="preserve"> </w:t>
      </w:r>
      <w:r>
        <w:rPr>
          <w:color w:val="000000" w:themeColor="text1"/>
          <w:szCs w:val="22"/>
        </w:rPr>
        <w:t xml:space="preserve">In </w:t>
      </w:r>
      <w:proofErr w:type="gramStart"/>
      <w:r w:rsidR="006F1EEA">
        <w:rPr>
          <w:color w:val="000000" w:themeColor="text1"/>
          <w:szCs w:val="22"/>
        </w:rPr>
        <w:t>F</w:t>
      </w:r>
      <w:r>
        <w:rPr>
          <w:color w:val="000000" w:themeColor="text1"/>
          <w:szCs w:val="22"/>
        </w:rPr>
        <w:t>all</w:t>
      </w:r>
      <w:proofErr w:type="gramEnd"/>
      <w:r w:rsidR="006F1EEA">
        <w:rPr>
          <w:color w:val="000000" w:themeColor="text1"/>
          <w:szCs w:val="22"/>
        </w:rPr>
        <w:t> </w:t>
      </w:r>
      <w:r>
        <w:rPr>
          <w:color w:val="000000" w:themeColor="text1"/>
          <w:szCs w:val="22"/>
        </w:rPr>
        <w:t>2015, the Northeast CE Program will be engaging with First Nations, stakeholders and various levels of government through the Northeast Strategic Advisory Committee to finalize the 2014/15 assessment report and develop management direction to support natural resource decision</w:t>
      </w:r>
      <w:r w:rsidR="006F1EEA">
        <w:rPr>
          <w:color w:val="000000" w:themeColor="text1"/>
          <w:szCs w:val="22"/>
        </w:rPr>
        <w:noBreakHyphen/>
      </w:r>
      <w:r>
        <w:rPr>
          <w:color w:val="000000" w:themeColor="text1"/>
          <w:szCs w:val="22"/>
        </w:rPr>
        <w:t xml:space="preserve">making.  According to provincial staff, they are </w:t>
      </w:r>
      <w:r w:rsidRPr="00484833">
        <w:rPr>
          <w:color w:val="000000" w:themeColor="text1"/>
          <w:szCs w:val="22"/>
        </w:rPr>
        <w:t>working closely with the Treaty</w:t>
      </w:r>
      <w:r>
        <w:rPr>
          <w:color w:val="000000" w:themeColor="text1"/>
          <w:szCs w:val="22"/>
        </w:rPr>
        <w:t> </w:t>
      </w:r>
      <w:r w:rsidRPr="00484833">
        <w:rPr>
          <w:color w:val="000000" w:themeColor="text1"/>
          <w:szCs w:val="22"/>
        </w:rPr>
        <w:t>8 First Nations, local government and local industry associations on the development and implementation of the program.</w:t>
      </w:r>
    </w:p>
    <w:p w:rsidR="00DA668F" w:rsidRDefault="00DA668F" w:rsidP="00DA668F">
      <w:pPr>
        <w:rPr>
          <w:color w:val="000000" w:themeColor="text1"/>
          <w:szCs w:val="22"/>
        </w:rPr>
      </w:pPr>
      <w:r w:rsidRPr="00484833">
        <w:rPr>
          <w:iCs/>
          <w:szCs w:val="22"/>
        </w:rPr>
        <w:t>C</w:t>
      </w:r>
      <w:r>
        <w:rPr>
          <w:iCs/>
          <w:szCs w:val="22"/>
        </w:rPr>
        <w:t>E</w:t>
      </w:r>
      <w:r w:rsidRPr="00484833">
        <w:rPr>
          <w:iCs/>
          <w:szCs w:val="22"/>
        </w:rPr>
        <w:t xml:space="preserve"> </w:t>
      </w:r>
      <w:r>
        <w:rPr>
          <w:iCs/>
          <w:szCs w:val="22"/>
        </w:rPr>
        <w:t xml:space="preserve">values have been managed </w:t>
      </w:r>
      <w:r w:rsidRPr="00484833">
        <w:rPr>
          <w:iCs/>
          <w:szCs w:val="22"/>
        </w:rPr>
        <w:t xml:space="preserve">at </w:t>
      </w:r>
      <w:r>
        <w:rPr>
          <w:iCs/>
          <w:szCs w:val="22"/>
        </w:rPr>
        <w:t xml:space="preserve">the </w:t>
      </w:r>
      <w:r w:rsidRPr="00484833">
        <w:rPr>
          <w:iCs/>
          <w:szCs w:val="22"/>
        </w:rPr>
        <w:t xml:space="preserve">strategic level in an integrated manner through land use planning, objective setting, designation of parks and protected areas, </w:t>
      </w:r>
      <w:r>
        <w:rPr>
          <w:iCs/>
          <w:szCs w:val="22"/>
        </w:rPr>
        <w:t>legislation</w:t>
      </w:r>
      <w:r w:rsidRPr="00484833">
        <w:rPr>
          <w:iCs/>
          <w:szCs w:val="22"/>
        </w:rPr>
        <w:t xml:space="preserve"> </w:t>
      </w:r>
      <w:r>
        <w:rPr>
          <w:iCs/>
          <w:szCs w:val="22"/>
        </w:rPr>
        <w:t xml:space="preserve">(e.g. the </w:t>
      </w:r>
      <w:r w:rsidRPr="006550BB">
        <w:rPr>
          <w:i/>
          <w:iCs/>
          <w:szCs w:val="22"/>
        </w:rPr>
        <w:t>Forest and Range Practices Act</w:t>
      </w:r>
      <w:r>
        <w:rPr>
          <w:iCs/>
          <w:szCs w:val="22"/>
        </w:rPr>
        <w:t xml:space="preserve"> and regulations) </w:t>
      </w:r>
      <w:r w:rsidRPr="00484833">
        <w:rPr>
          <w:iCs/>
          <w:szCs w:val="22"/>
        </w:rPr>
        <w:t>designation of special management areas</w:t>
      </w:r>
      <w:r>
        <w:rPr>
          <w:iCs/>
          <w:szCs w:val="22"/>
        </w:rPr>
        <w:t xml:space="preserve">, </w:t>
      </w:r>
      <w:r w:rsidRPr="00484833">
        <w:rPr>
          <w:iCs/>
          <w:szCs w:val="22"/>
        </w:rPr>
        <w:t>(e.g., wildlife habitat areas for species at risk, ungulate winter ranges), and the establishment and enforcement of sustainable harvesting levels (e.g. allowable annual cut or wildlife harvest allocations).</w:t>
      </w:r>
      <w:r>
        <w:rPr>
          <w:iCs/>
          <w:szCs w:val="22"/>
        </w:rPr>
        <w:t xml:space="preserve">  Under the CEF </w:t>
      </w:r>
      <w:r>
        <w:rPr>
          <w:color w:val="000000" w:themeColor="text1"/>
          <w:szCs w:val="22"/>
        </w:rPr>
        <w:t xml:space="preserve">the current status of values on the landscape are measured through CE assessments.  These will provide information that will assist in industrial, including forest, planning and management.  In the assessments, maps and reports are provided on the condition of the value in relation to </w:t>
      </w:r>
      <w:r w:rsidR="00350392">
        <w:rPr>
          <w:color w:val="000000" w:themeColor="text1"/>
          <w:szCs w:val="22"/>
        </w:rPr>
        <w:t xml:space="preserve">government policy </w:t>
      </w:r>
      <w:r>
        <w:rPr>
          <w:color w:val="000000" w:themeColor="text1"/>
          <w:szCs w:val="22"/>
        </w:rPr>
        <w:t>objective</w:t>
      </w:r>
      <w:r w:rsidR="00350392">
        <w:rPr>
          <w:color w:val="000000" w:themeColor="text1"/>
          <w:szCs w:val="22"/>
        </w:rPr>
        <w:t>s</w:t>
      </w:r>
      <w:r>
        <w:rPr>
          <w:color w:val="000000" w:themeColor="text1"/>
          <w:szCs w:val="22"/>
        </w:rPr>
        <w:t xml:space="preserve"> </w:t>
      </w:r>
      <w:r w:rsidR="00295738">
        <w:rPr>
          <w:color w:val="000000" w:themeColor="text1"/>
          <w:szCs w:val="22"/>
        </w:rPr>
        <w:t xml:space="preserve">established </w:t>
      </w:r>
      <w:r>
        <w:rPr>
          <w:color w:val="000000" w:themeColor="text1"/>
          <w:szCs w:val="22"/>
        </w:rPr>
        <w:t>using the various strategic tools described above.  Following CE assessment, the next steps in the Northeast CE program are management and monitoring.</w:t>
      </w:r>
    </w:p>
    <w:p w:rsidR="00DA668F" w:rsidRPr="007B40E8" w:rsidRDefault="00DA668F" w:rsidP="00DA668F">
      <w:pPr>
        <w:rPr>
          <w:color w:val="000000" w:themeColor="text1"/>
          <w:szCs w:val="22"/>
        </w:rPr>
      </w:pPr>
      <w:r>
        <w:rPr>
          <w:color w:val="000000" w:themeColor="text1"/>
          <w:szCs w:val="22"/>
        </w:rPr>
        <w:t>Currently CE assessment reports for old forest, riparian habitat and h</w:t>
      </w:r>
      <w:r>
        <w:rPr>
          <w:sz w:val="23"/>
          <w:szCs w:val="23"/>
        </w:rPr>
        <w:t>igh</w:t>
      </w:r>
      <w:r w:rsidR="006F1EEA">
        <w:rPr>
          <w:sz w:val="23"/>
          <w:szCs w:val="23"/>
        </w:rPr>
        <w:noBreakHyphen/>
      </w:r>
      <w:r>
        <w:rPr>
          <w:sz w:val="23"/>
          <w:szCs w:val="23"/>
        </w:rPr>
        <w:t xml:space="preserve">priority wildlife species, </w:t>
      </w:r>
      <w:r w:rsidRPr="007B40E8">
        <w:rPr>
          <w:color w:val="000000" w:themeColor="text1"/>
          <w:szCs w:val="22"/>
        </w:rPr>
        <w:t xml:space="preserve">including Grizzly </w:t>
      </w:r>
      <w:r w:rsidR="00E2597C">
        <w:rPr>
          <w:color w:val="000000" w:themeColor="text1"/>
          <w:szCs w:val="22"/>
        </w:rPr>
        <w:t>b</w:t>
      </w:r>
      <w:r w:rsidRPr="007B40E8">
        <w:rPr>
          <w:color w:val="000000" w:themeColor="text1"/>
          <w:szCs w:val="22"/>
        </w:rPr>
        <w:t xml:space="preserve">ear populations and priority wildlife habitat </w:t>
      </w:r>
      <w:r w:rsidR="00297FA9">
        <w:rPr>
          <w:color w:val="000000" w:themeColor="text1"/>
          <w:szCs w:val="22"/>
        </w:rPr>
        <w:t xml:space="preserve">in Northeast British Columbia </w:t>
      </w:r>
      <w:r w:rsidRPr="007B40E8">
        <w:rPr>
          <w:color w:val="000000" w:themeColor="text1"/>
          <w:szCs w:val="22"/>
        </w:rPr>
        <w:t>are nearing completion.</w:t>
      </w:r>
    </w:p>
    <w:p w:rsidR="00103349" w:rsidRDefault="00103349">
      <w:pPr>
        <w:overflowPunct/>
        <w:autoSpaceDE/>
        <w:autoSpaceDN/>
        <w:adjustRightInd/>
        <w:spacing w:before="0" w:after="0"/>
        <w:textAlignment w:val="auto"/>
        <w:rPr>
          <w:color w:val="000000" w:themeColor="text1"/>
          <w:szCs w:val="22"/>
        </w:rPr>
      </w:pPr>
      <w:r>
        <w:rPr>
          <w:color w:val="000000" w:themeColor="text1"/>
          <w:szCs w:val="22"/>
        </w:rPr>
        <w:br w:type="page"/>
      </w:r>
    </w:p>
    <w:p w:rsidR="00DA668F" w:rsidRDefault="00DA668F" w:rsidP="00DA668F">
      <w:pPr>
        <w:rPr>
          <w:lang w:val="en-US"/>
        </w:rPr>
      </w:pPr>
      <w:r>
        <w:rPr>
          <w:color w:val="000000" w:themeColor="text1"/>
          <w:szCs w:val="22"/>
        </w:rPr>
        <w:t>When</w:t>
      </w:r>
      <w:r w:rsidRPr="007B40E8">
        <w:rPr>
          <w:color w:val="000000" w:themeColor="text1"/>
          <w:szCs w:val="22"/>
        </w:rPr>
        <w:t xml:space="preserve"> making an AAC determination, I </w:t>
      </w:r>
      <w:r>
        <w:rPr>
          <w:color w:val="000000" w:themeColor="text1"/>
          <w:szCs w:val="22"/>
        </w:rPr>
        <w:t>am provided with a base case that incorporates all of government’s current objectives to manage the values that are present on the management unit.  The inventory and land base information used in the base case reflect all industrial activities and non</w:t>
      </w:r>
      <w:r w:rsidR="00E2597C">
        <w:rPr>
          <w:color w:val="000000" w:themeColor="text1"/>
          <w:szCs w:val="22"/>
        </w:rPr>
        <w:noBreakHyphen/>
      </w:r>
      <w:r>
        <w:rPr>
          <w:color w:val="000000" w:themeColor="text1"/>
          <w:szCs w:val="22"/>
        </w:rPr>
        <w:t xml:space="preserve">timber resource uses on the land base of the management unit and the forest cover </w:t>
      </w:r>
      <w:r>
        <w:rPr>
          <w:lang w:val="en-US"/>
        </w:rPr>
        <w:t>inventory is updated for disturbances such as timber harvesting and fires.</w:t>
      </w:r>
      <w:r w:rsidR="00617B01">
        <w:rPr>
          <w:lang w:val="en-US"/>
        </w:rPr>
        <w:t xml:space="preserve">  In the modelled harvest projections the current values and objectives are managed and protected.</w:t>
      </w:r>
    </w:p>
    <w:p w:rsidR="00DA668F" w:rsidRDefault="00DA668F" w:rsidP="00DA668F">
      <w:pPr>
        <w:rPr>
          <w:lang w:val="en-US"/>
        </w:rPr>
      </w:pPr>
      <w:r>
        <w:rPr>
          <w:color w:val="000000" w:themeColor="text1"/>
          <w:szCs w:val="22"/>
        </w:rPr>
        <w:t xml:space="preserve">The base case </w:t>
      </w:r>
      <w:r>
        <w:rPr>
          <w:lang w:val="en-US"/>
        </w:rPr>
        <w:t xml:space="preserve">timber harvesting land base is the area remaining after all other resources and resource uses, identified and established by other statutory decision makers, have been accounted for.  For example, ungulate winter ranges, wildlife habitat areas and riparian zones are excluded from the timber harvesting land base, and the intent of protecting these areas is to provide for habitat for animals.  As described under ‘ungulate winter range’ above, 21 918 hectares on </w:t>
      </w:r>
      <w:r w:rsidR="00297FA9">
        <w:rPr>
          <w:lang w:val="en-US"/>
        </w:rPr>
        <w:t>TFL </w:t>
      </w:r>
      <w:r>
        <w:rPr>
          <w:lang w:val="en-US"/>
        </w:rPr>
        <w:t xml:space="preserve">48 were recently established as ungulate winter range for </w:t>
      </w:r>
      <w:r w:rsidRPr="00EA3B1C">
        <w:rPr>
          <w:lang w:val="en-US"/>
        </w:rPr>
        <w:t>northern caribou, mountain goat</w:t>
      </w:r>
      <w:r>
        <w:rPr>
          <w:lang w:val="en-US"/>
        </w:rPr>
        <w:t>,</w:t>
      </w:r>
      <w:r w:rsidRPr="00EA3B1C">
        <w:rPr>
          <w:lang w:val="en-US"/>
        </w:rPr>
        <w:t xml:space="preserve"> bighorn sheep</w:t>
      </w:r>
      <w:r>
        <w:rPr>
          <w:lang w:val="en-US"/>
        </w:rPr>
        <w:t xml:space="preserve"> and </w:t>
      </w:r>
      <w:r w:rsidRPr="00EA3B1C">
        <w:rPr>
          <w:lang w:val="en-US"/>
        </w:rPr>
        <w:t>Stone’s sheep</w:t>
      </w:r>
      <w:r>
        <w:rPr>
          <w:lang w:val="en-US"/>
        </w:rPr>
        <w:t xml:space="preserve"> and excluded from the timber harvesting land base.  In addition, as described under ‘wildlife habitat areas’ above, 22 252 hectares were established as wildlife habitat area primarily for caribou calving and rutting areas and these were also excluded.</w:t>
      </w:r>
      <w:r w:rsidRPr="00D44D60">
        <w:rPr>
          <w:lang w:val="en-US"/>
        </w:rPr>
        <w:t xml:space="preserve"> </w:t>
      </w:r>
      <w:r>
        <w:rPr>
          <w:lang w:val="en-US"/>
        </w:rPr>
        <w:t xml:space="preserve"> In the base case t</w:t>
      </w:r>
      <w:r w:rsidRPr="00D44D60">
        <w:rPr>
          <w:lang w:val="en-US"/>
        </w:rPr>
        <w:t xml:space="preserve">he rate of timber harvesting on </w:t>
      </w:r>
      <w:r>
        <w:rPr>
          <w:lang w:val="en-US"/>
        </w:rPr>
        <w:t>established visually sensitive areas and some wildlife habitat areas</w:t>
      </w:r>
      <w:r w:rsidRPr="00D44D60">
        <w:rPr>
          <w:lang w:val="en-US"/>
        </w:rPr>
        <w:t xml:space="preserve"> is </w:t>
      </w:r>
      <w:r>
        <w:rPr>
          <w:lang w:val="en-US"/>
        </w:rPr>
        <w:t xml:space="preserve">also </w:t>
      </w:r>
      <w:r w:rsidRPr="00D44D60">
        <w:rPr>
          <w:lang w:val="en-US"/>
        </w:rPr>
        <w:t>constrained to maintain visual quality and cover for wildlife.</w:t>
      </w:r>
    </w:p>
    <w:p w:rsidR="00DA668F" w:rsidRDefault="00DA668F" w:rsidP="00DA668F">
      <w:pPr>
        <w:rPr>
          <w:lang w:val="en-US"/>
        </w:rPr>
      </w:pPr>
      <w:r>
        <w:rPr>
          <w:lang w:val="en-US"/>
        </w:rPr>
        <w:t>A further total area of 2236 hectares covered by current and proposed mines and 1176 hectares of oil and gas well sites, camps, sumps, road access and borrow pits were excluded from the timber harvesting land base.  Seismic lines, pipelines, trails and transmission lines identified on the TFL were also excluded as vegetated non</w:t>
      </w:r>
      <w:r w:rsidR="00391021">
        <w:rPr>
          <w:lang w:val="en-US"/>
        </w:rPr>
        <w:noBreakHyphen/>
      </w:r>
      <w:r>
        <w:rPr>
          <w:lang w:val="en-US"/>
        </w:rPr>
        <w:t xml:space="preserve">treed lands.  FLNR operations </w:t>
      </w:r>
      <w:proofErr w:type="gramStart"/>
      <w:r>
        <w:rPr>
          <w:lang w:val="en-US"/>
        </w:rPr>
        <w:t>staff note</w:t>
      </w:r>
      <w:proofErr w:type="gramEnd"/>
      <w:r>
        <w:rPr>
          <w:lang w:val="en-US"/>
        </w:rPr>
        <w:t xml:space="preserve"> that wind power generation is of high potential in the area but no projects are operating on the TFL at this time.</w:t>
      </w:r>
    </w:p>
    <w:p w:rsidR="00DA668F" w:rsidRDefault="00DA668F" w:rsidP="00DA668F">
      <w:pPr>
        <w:rPr>
          <w:lang w:val="en-US"/>
        </w:rPr>
      </w:pPr>
      <w:r w:rsidRPr="00C91A39">
        <w:rPr>
          <w:lang w:val="en-US"/>
        </w:rPr>
        <w:t xml:space="preserve">According to Canfor, it has developed a process for tracking oil and gas activities on TFL 48.  Canfor notes that the oil and gas activities on the TFL primarily use the existing road network or, where new roads are required, work with Canfor on the placement to meet the needs of both.  </w:t>
      </w:r>
      <w:r w:rsidR="00C91A39" w:rsidRPr="00C91A39">
        <w:rPr>
          <w:lang w:val="en-US"/>
        </w:rPr>
        <w:t>In</w:t>
      </w:r>
      <w:r w:rsidR="001907D3">
        <w:rPr>
          <w:lang w:val="en-US"/>
        </w:rPr>
        <w:t> </w:t>
      </w:r>
      <w:r w:rsidRPr="00C91A39">
        <w:rPr>
          <w:lang w:val="en-US"/>
        </w:rPr>
        <w:t>Sustainable Forest Management Plan</w:t>
      </w:r>
      <w:r w:rsidR="00002748">
        <w:rPr>
          <w:lang w:val="en-US"/>
        </w:rPr>
        <w:t> </w:t>
      </w:r>
      <w:r w:rsidRPr="00C91A39">
        <w:rPr>
          <w:lang w:val="en-US"/>
        </w:rPr>
        <w:t xml:space="preserve">5 </w:t>
      </w:r>
      <w:r w:rsidR="00C91A39" w:rsidRPr="00C91A39">
        <w:rPr>
          <w:lang w:val="en-US"/>
        </w:rPr>
        <w:t xml:space="preserve">Canfor commits to </w:t>
      </w:r>
      <w:r w:rsidR="00C91A39" w:rsidRPr="00C91A39">
        <w:t>track, monitor and report every</w:t>
      </w:r>
      <w:r w:rsidR="00C91A39">
        <w:t xml:space="preserve"> </w:t>
      </w:r>
      <w:r w:rsidR="007C573D">
        <w:t>three</w:t>
      </w:r>
      <w:r w:rsidR="00C91A39">
        <w:t> years to their Public Advisory Committee losses to other non</w:t>
      </w:r>
      <w:r w:rsidR="007C573D">
        <w:noBreakHyphen/>
      </w:r>
      <w:r w:rsidR="00C91A39">
        <w:t>forest industry uses and incorporate these losses when preparing for AAC determinations.</w:t>
      </w:r>
    </w:p>
    <w:p w:rsidR="00DA668F" w:rsidRDefault="00DA668F" w:rsidP="00DA668F">
      <w:pPr>
        <w:rPr>
          <w:lang w:val="en-US"/>
        </w:rPr>
      </w:pPr>
      <w:r>
        <w:rPr>
          <w:lang w:val="en-US"/>
        </w:rPr>
        <w:t>I have discussed the status of the Cumulative Effects Program in the Northeast with FLNR staff.  As stated previously, the Northeast CE program is just starting an engagement phase which will finalize the 2014/15 assessment report and will begin the development of management direction for those values assessed.  Engagement of First Nations will occur through their participation on the Northeast Strategic Advisory Committee, as well as through engagement individually with each First Nati</w:t>
      </w:r>
      <w:r w:rsidRPr="007C573D">
        <w:rPr>
          <w:lang w:val="en-US"/>
        </w:rPr>
        <w:t>on.</w:t>
      </w:r>
    </w:p>
    <w:p w:rsidR="00297FA9" w:rsidRPr="00297FA9" w:rsidRDefault="00DA668F" w:rsidP="00297FA9">
      <w:pPr>
        <w:rPr>
          <w:lang w:val="en-US"/>
        </w:rPr>
      </w:pPr>
      <w:r w:rsidRPr="00297FA9">
        <w:rPr>
          <w:szCs w:val="22"/>
        </w:rPr>
        <w:t xml:space="preserve">In addition to considering the potential impacts on other forest resources such as wildlife, riparian areas and old growth that I am required to take into consideration under </w:t>
      </w:r>
      <w:r w:rsidR="001907D3">
        <w:rPr>
          <w:szCs w:val="22"/>
        </w:rPr>
        <w:t>S</w:t>
      </w:r>
      <w:r w:rsidRPr="00297FA9">
        <w:rPr>
          <w:szCs w:val="22"/>
        </w:rPr>
        <w:t xml:space="preserve">ection 8 of the </w:t>
      </w:r>
      <w:r w:rsidRPr="00297FA9">
        <w:rPr>
          <w:i/>
          <w:iCs/>
          <w:szCs w:val="22"/>
        </w:rPr>
        <w:t>Forest Act</w:t>
      </w:r>
      <w:r w:rsidRPr="00297FA9">
        <w:rPr>
          <w:szCs w:val="22"/>
        </w:rPr>
        <w:t xml:space="preserve">, </w:t>
      </w:r>
      <w:r w:rsidRPr="00297FA9">
        <w:rPr>
          <w:szCs w:val="22"/>
          <w:lang w:val="en-US"/>
        </w:rPr>
        <w:t>I have reviewed the information presented to me regarding cumulative effects on TFL</w:t>
      </w:r>
      <w:r w:rsidR="001907D3">
        <w:rPr>
          <w:szCs w:val="22"/>
          <w:lang w:val="en-US"/>
        </w:rPr>
        <w:t> </w:t>
      </w:r>
      <w:r w:rsidRPr="00297FA9">
        <w:rPr>
          <w:szCs w:val="22"/>
          <w:lang w:val="en-US"/>
        </w:rPr>
        <w:t xml:space="preserve">48.  Both the Provincial Cumulative Effects Framework and the Northeast Cumulative Effects Program are in the process of developing further assessments and associated management considerations.  The information I was provided that describes the current management in place for several values, tracking of the impacts of multiple industries, coordination between the oil and gas sector and forest sector for development activities, reporting to the Public Advisory Committee, and engagement mechanisms that are in place assist me in considering cumulative effects in this determination.  I accept that the licensee is collecting information and monitoring </w:t>
      </w:r>
      <w:r w:rsidRPr="00297FA9">
        <w:rPr>
          <w:lang w:val="en-US"/>
        </w:rPr>
        <w:t>the impacts to the best of its ability at the current time.</w:t>
      </w:r>
    </w:p>
    <w:p w:rsidR="00DA668F" w:rsidRPr="00297FA9" w:rsidRDefault="00DA668F" w:rsidP="00297FA9">
      <w:pPr>
        <w:rPr>
          <w:szCs w:val="22"/>
          <w:lang w:val="en-US"/>
        </w:rPr>
      </w:pPr>
      <w:r w:rsidRPr="00297FA9">
        <w:rPr>
          <w:lang w:val="en-US"/>
        </w:rPr>
        <w:t xml:space="preserve">To assist in ongoing CE assessment, I have included an instruction under </w:t>
      </w:r>
      <w:r w:rsidR="00866BF7">
        <w:rPr>
          <w:lang w:val="en-US"/>
        </w:rPr>
        <w:t>‘</w:t>
      </w:r>
      <w:r w:rsidRPr="001907D3">
        <w:rPr>
          <w:b/>
          <w:lang w:val="en-US"/>
        </w:rPr>
        <w:t>Implementation</w:t>
      </w:r>
      <w:r w:rsidR="00866BF7">
        <w:rPr>
          <w:lang w:val="en-US"/>
        </w:rPr>
        <w:t>’</w:t>
      </w:r>
      <w:r w:rsidRPr="00297FA9">
        <w:rPr>
          <w:lang w:val="en-US"/>
        </w:rPr>
        <w:t xml:space="preserve"> to</w:t>
      </w:r>
      <w:r w:rsidRPr="00297FA9">
        <w:rPr>
          <w:szCs w:val="22"/>
          <w:lang w:val="en-US"/>
        </w:rPr>
        <w:t xml:space="preserve"> direct the licensee to continue to engage with First Nations, as well as the mining and oil and gas industry and government representatives, to understand the implications of CE for timber supply on TFL 48. </w:t>
      </w:r>
      <w:r w:rsidR="00297FA9">
        <w:rPr>
          <w:szCs w:val="22"/>
          <w:lang w:val="en-US"/>
        </w:rPr>
        <w:t xml:space="preserve"> </w:t>
      </w:r>
      <w:r w:rsidRPr="00297FA9">
        <w:rPr>
          <w:szCs w:val="22"/>
          <w:lang w:val="en-US"/>
        </w:rPr>
        <w:t>Any new and relevant information emerging from additional CE assessment work can be reflected in the next timber supply review for the TFL.  If CE information becomes available that suggests timber supply on TFL</w:t>
      </w:r>
      <w:r w:rsidR="001907D3">
        <w:rPr>
          <w:szCs w:val="22"/>
          <w:lang w:val="en-US"/>
        </w:rPr>
        <w:t> </w:t>
      </w:r>
      <w:r w:rsidRPr="00297FA9">
        <w:rPr>
          <w:szCs w:val="22"/>
          <w:lang w:val="en-US"/>
        </w:rPr>
        <w:t>48 will be significantly affected, I can re</w:t>
      </w:r>
      <w:r w:rsidR="001907D3">
        <w:rPr>
          <w:szCs w:val="22"/>
          <w:lang w:val="en-US"/>
        </w:rPr>
        <w:noBreakHyphen/>
      </w:r>
      <w:r w:rsidRPr="00297FA9">
        <w:rPr>
          <w:szCs w:val="22"/>
          <w:lang w:val="en-US"/>
        </w:rPr>
        <w:t xml:space="preserve">determine the AAC sooner than in the </w:t>
      </w:r>
      <w:r w:rsidR="001907D3">
        <w:rPr>
          <w:szCs w:val="22"/>
          <w:lang w:val="en-US"/>
        </w:rPr>
        <w:t>10 </w:t>
      </w:r>
      <w:r w:rsidRPr="00297FA9">
        <w:rPr>
          <w:szCs w:val="22"/>
          <w:lang w:val="en-US"/>
        </w:rPr>
        <w:t>years allowed by legislation.</w:t>
      </w:r>
    </w:p>
    <w:p w:rsidR="003040FE" w:rsidRPr="0056714C" w:rsidRDefault="006D08BC" w:rsidP="0011065E">
      <w:pPr>
        <w:pStyle w:val="Heading3"/>
      </w:pPr>
      <w:bookmarkStart w:id="276" w:name="_Toc432658651"/>
      <w:r w:rsidRPr="00E56C6D">
        <w:t xml:space="preserve">- </w:t>
      </w:r>
      <w:r w:rsidR="003040FE" w:rsidRPr="00E56C6D">
        <w:t xml:space="preserve">First Nations </w:t>
      </w:r>
      <w:bookmarkEnd w:id="267"/>
      <w:r w:rsidR="003040FE" w:rsidRPr="00E56C6D">
        <w:t>considerations</w:t>
      </w:r>
      <w:bookmarkEnd w:id="268"/>
      <w:bookmarkEnd w:id="276"/>
    </w:p>
    <w:bookmarkEnd w:id="269"/>
    <w:bookmarkEnd w:id="270"/>
    <w:bookmarkEnd w:id="271"/>
    <w:bookmarkEnd w:id="272"/>
    <w:p w:rsidR="008D658C" w:rsidRPr="00997222" w:rsidRDefault="008D658C">
      <w:pPr>
        <w:rPr>
          <w:color w:val="000000" w:themeColor="text1"/>
        </w:rPr>
      </w:pPr>
      <w:r w:rsidRPr="00997222">
        <w:rPr>
          <w:color w:val="000000" w:themeColor="text1"/>
        </w:rPr>
        <w:t xml:space="preserve">The Crown has a duty to consult with, and accommodate if necessary, those First </w:t>
      </w:r>
      <w:r w:rsidR="00453C9F" w:rsidRPr="00997222">
        <w:rPr>
          <w:color w:val="000000" w:themeColor="text1"/>
        </w:rPr>
        <w:t>N</w:t>
      </w:r>
      <w:r w:rsidRPr="00997222">
        <w:rPr>
          <w:color w:val="000000" w:themeColor="text1"/>
        </w:rPr>
        <w:t xml:space="preserve">ations for whom it has knowledge of </w:t>
      </w:r>
      <w:r w:rsidR="00124EA9" w:rsidRPr="00997222">
        <w:rPr>
          <w:color w:val="000000" w:themeColor="text1"/>
        </w:rPr>
        <w:t>A</w:t>
      </w:r>
      <w:r w:rsidR="007A0D71" w:rsidRPr="00997222">
        <w:rPr>
          <w:color w:val="000000" w:themeColor="text1"/>
        </w:rPr>
        <w:t xml:space="preserve">boriginal </w:t>
      </w:r>
      <w:r w:rsidR="00124EA9" w:rsidRPr="00997222">
        <w:rPr>
          <w:color w:val="000000" w:themeColor="text1"/>
        </w:rPr>
        <w:t>Interests</w:t>
      </w:r>
      <w:r w:rsidR="003A5941" w:rsidRPr="00997222">
        <w:rPr>
          <w:color w:val="000000" w:themeColor="text1"/>
        </w:rPr>
        <w:t xml:space="preserve"> </w:t>
      </w:r>
      <w:r w:rsidRPr="00997222">
        <w:rPr>
          <w:color w:val="000000" w:themeColor="text1"/>
        </w:rPr>
        <w:t>that may be impacted by a decision, including strategic</w:t>
      </w:r>
      <w:r w:rsidR="00577D9A" w:rsidRPr="00997222">
        <w:rPr>
          <w:color w:val="000000" w:themeColor="text1"/>
        </w:rPr>
        <w:noBreakHyphen/>
      </w:r>
      <w:r w:rsidRPr="00997222">
        <w:rPr>
          <w:color w:val="000000" w:themeColor="text1"/>
        </w:rPr>
        <w:t>level decisions such as AAC determinations.</w:t>
      </w:r>
      <w:r w:rsidR="00B410D1" w:rsidRPr="00997222">
        <w:rPr>
          <w:color w:val="000000" w:themeColor="text1"/>
        </w:rPr>
        <w:t xml:space="preserve"> </w:t>
      </w:r>
      <w:r w:rsidRPr="00997222">
        <w:rPr>
          <w:color w:val="000000" w:themeColor="text1"/>
        </w:rPr>
        <w:t xml:space="preserve"> I must therefore consider information arising from the consultation process with First </w:t>
      </w:r>
      <w:r w:rsidR="00453C9F" w:rsidRPr="00997222">
        <w:rPr>
          <w:color w:val="000000" w:themeColor="text1"/>
        </w:rPr>
        <w:t>N</w:t>
      </w:r>
      <w:r w:rsidRPr="00997222">
        <w:rPr>
          <w:color w:val="000000" w:themeColor="text1"/>
        </w:rPr>
        <w:t xml:space="preserve">ations respecting </w:t>
      </w:r>
      <w:r w:rsidR="00124EA9" w:rsidRPr="00997222">
        <w:rPr>
          <w:color w:val="000000" w:themeColor="text1"/>
        </w:rPr>
        <w:t xml:space="preserve">Aboriginal Interests </w:t>
      </w:r>
      <w:r w:rsidRPr="00997222">
        <w:rPr>
          <w:color w:val="000000" w:themeColor="text1"/>
        </w:rPr>
        <w:t>that may be affected by my AAC determination</w:t>
      </w:r>
      <w:r w:rsidR="005B5DD6" w:rsidRPr="00997222">
        <w:rPr>
          <w:color w:val="000000" w:themeColor="text1"/>
        </w:rPr>
        <w:t xml:space="preserve"> for TFL</w:t>
      </w:r>
      <w:r w:rsidR="001907D3">
        <w:rPr>
          <w:color w:val="000000" w:themeColor="text1"/>
        </w:rPr>
        <w:t> </w:t>
      </w:r>
      <w:r w:rsidR="005B5DD6" w:rsidRPr="00997222">
        <w:rPr>
          <w:color w:val="000000" w:themeColor="text1"/>
        </w:rPr>
        <w:t>48</w:t>
      </w:r>
      <w:r w:rsidRPr="00997222">
        <w:rPr>
          <w:color w:val="000000" w:themeColor="text1"/>
        </w:rPr>
        <w:t xml:space="preserve">. </w:t>
      </w:r>
      <w:r w:rsidR="00B410D1" w:rsidRPr="00997222">
        <w:rPr>
          <w:color w:val="000000" w:themeColor="text1"/>
        </w:rPr>
        <w:t xml:space="preserve"> </w:t>
      </w:r>
      <w:r w:rsidRPr="00997222">
        <w:rPr>
          <w:color w:val="000000" w:themeColor="text1"/>
        </w:rPr>
        <w:t xml:space="preserve">As well, I will consider other relevant information available to the </w:t>
      </w:r>
      <w:r w:rsidR="002A3551" w:rsidRPr="00997222">
        <w:rPr>
          <w:color w:val="000000" w:themeColor="text1"/>
        </w:rPr>
        <w:t xml:space="preserve">Province </w:t>
      </w:r>
      <w:r w:rsidRPr="00997222">
        <w:rPr>
          <w:color w:val="000000" w:themeColor="text1"/>
        </w:rPr>
        <w:t xml:space="preserve">regarding </w:t>
      </w:r>
      <w:r w:rsidR="00124EA9" w:rsidRPr="00997222">
        <w:rPr>
          <w:color w:val="000000" w:themeColor="text1"/>
        </w:rPr>
        <w:t>Aboriginal Interests</w:t>
      </w:r>
      <w:r w:rsidRPr="00997222">
        <w:rPr>
          <w:color w:val="000000" w:themeColor="text1"/>
        </w:rPr>
        <w:t>, including information gathered during other consultation processes.</w:t>
      </w:r>
    </w:p>
    <w:p w:rsidR="00FB3BCE" w:rsidRPr="00997222" w:rsidRDefault="00FB3BCE" w:rsidP="00FB3BCE">
      <w:pPr>
        <w:rPr>
          <w:color w:val="000000" w:themeColor="text1"/>
          <w:szCs w:val="22"/>
        </w:rPr>
      </w:pPr>
      <w:r w:rsidRPr="00997222">
        <w:rPr>
          <w:color w:val="000000" w:themeColor="text1"/>
          <w:lang w:val="en-US"/>
        </w:rPr>
        <w:t xml:space="preserve">In considering </w:t>
      </w:r>
      <w:r w:rsidRPr="00997222">
        <w:rPr>
          <w:color w:val="000000" w:themeColor="text1"/>
          <w:szCs w:val="22"/>
        </w:rPr>
        <w:t xml:space="preserve">whether the Crown has fulfilled its obligations for consultation and accommodation in relation to my ACC determination, I </w:t>
      </w:r>
      <w:r w:rsidRPr="00997222">
        <w:rPr>
          <w:color w:val="000000" w:themeColor="text1"/>
          <w:lang w:val="en-US"/>
        </w:rPr>
        <w:t xml:space="preserve">note that my authority under the </w:t>
      </w:r>
      <w:r w:rsidRPr="00997222">
        <w:rPr>
          <w:i/>
          <w:color w:val="000000" w:themeColor="text1"/>
          <w:lang w:val="en-US"/>
        </w:rPr>
        <w:t>Forest</w:t>
      </w:r>
      <w:r w:rsidR="001907D3">
        <w:rPr>
          <w:i/>
          <w:color w:val="000000" w:themeColor="text1"/>
          <w:lang w:val="en-US"/>
        </w:rPr>
        <w:t> </w:t>
      </w:r>
      <w:r w:rsidRPr="00997222">
        <w:rPr>
          <w:i/>
          <w:color w:val="000000" w:themeColor="text1"/>
          <w:lang w:val="en-US"/>
        </w:rPr>
        <w:t>Act</w:t>
      </w:r>
      <w:r w:rsidRPr="00997222">
        <w:rPr>
          <w:color w:val="000000" w:themeColor="text1"/>
          <w:lang w:val="en-US"/>
        </w:rPr>
        <w:t xml:space="preserve"> is to determine the AAC.  My decisions are </w:t>
      </w:r>
      <w:r w:rsidRPr="00997222">
        <w:rPr>
          <w:color w:val="000000" w:themeColor="text1"/>
          <w:szCs w:val="22"/>
        </w:rPr>
        <w:t xml:space="preserve">independent of any decisions by the Minister of Forests, Lands and Natural Resource Operations with respect to harvesting activities or subsequent allocations of wood supply.  </w:t>
      </w:r>
      <w:r w:rsidRPr="00997222">
        <w:rPr>
          <w:color w:val="000000" w:themeColor="text1"/>
          <w:lang w:val="en-US"/>
        </w:rPr>
        <w:t xml:space="preserve">Furthermore, </w:t>
      </w:r>
      <w:r w:rsidRPr="00997222">
        <w:rPr>
          <w:color w:val="000000" w:themeColor="text1"/>
          <w:szCs w:val="22"/>
        </w:rPr>
        <w:t>AAC determinations should not be construed as limiting the Crown’s legal obligations owed to First Nations in any way.</w:t>
      </w:r>
    </w:p>
    <w:p w:rsidR="00FB3BCE" w:rsidRPr="00997222" w:rsidRDefault="00FB3BCE" w:rsidP="00FB3BCE">
      <w:pPr>
        <w:rPr>
          <w:color w:val="000000" w:themeColor="text1"/>
          <w:szCs w:val="22"/>
        </w:rPr>
      </w:pPr>
      <w:r w:rsidRPr="00997222">
        <w:rPr>
          <w:color w:val="000000" w:themeColor="text1"/>
          <w:szCs w:val="22"/>
        </w:rPr>
        <w:t>TFL</w:t>
      </w:r>
      <w:r w:rsidR="001907D3">
        <w:rPr>
          <w:color w:val="000000" w:themeColor="text1"/>
          <w:szCs w:val="22"/>
        </w:rPr>
        <w:t> </w:t>
      </w:r>
      <w:r w:rsidRPr="00997222">
        <w:rPr>
          <w:color w:val="000000" w:themeColor="text1"/>
          <w:szCs w:val="22"/>
        </w:rPr>
        <w:t>48 is within the geographical area covered by Treaty</w:t>
      </w:r>
      <w:r w:rsidR="001907D3">
        <w:rPr>
          <w:color w:val="000000" w:themeColor="text1"/>
          <w:szCs w:val="22"/>
        </w:rPr>
        <w:t> </w:t>
      </w:r>
      <w:r w:rsidRPr="00997222">
        <w:rPr>
          <w:color w:val="000000" w:themeColor="text1"/>
          <w:szCs w:val="22"/>
        </w:rPr>
        <w:t>8.  In the case of Treaty</w:t>
      </w:r>
      <w:r w:rsidR="001907D3">
        <w:rPr>
          <w:color w:val="000000" w:themeColor="text1"/>
          <w:szCs w:val="22"/>
        </w:rPr>
        <w:t> </w:t>
      </w:r>
      <w:r w:rsidRPr="00997222">
        <w:rPr>
          <w:color w:val="000000" w:themeColor="text1"/>
          <w:szCs w:val="22"/>
        </w:rPr>
        <w:t>8 First</w:t>
      </w:r>
      <w:r w:rsidR="001907D3">
        <w:rPr>
          <w:color w:val="000000" w:themeColor="text1"/>
          <w:szCs w:val="22"/>
        </w:rPr>
        <w:t> </w:t>
      </w:r>
      <w:r w:rsidRPr="00997222">
        <w:rPr>
          <w:color w:val="000000" w:themeColor="text1"/>
          <w:szCs w:val="22"/>
        </w:rPr>
        <w:t>Nations, the duty to consult is triggered when a proposed decision or activity could potentially impact the Treaty</w:t>
      </w:r>
      <w:r w:rsidR="001907D3">
        <w:rPr>
          <w:color w:val="000000" w:themeColor="text1"/>
          <w:szCs w:val="22"/>
        </w:rPr>
        <w:t> </w:t>
      </w:r>
      <w:r w:rsidRPr="00997222">
        <w:rPr>
          <w:color w:val="000000" w:themeColor="text1"/>
          <w:szCs w:val="22"/>
        </w:rPr>
        <w:t>8 right to hunt, trap or fish.</w:t>
      </w:r>
    </w:p>
    <w:p w:rsidR="00AB79D3" w:rsidRPr="00997222" w:rsidRDefault="009E2584" w:rsidP="00AB79D3">
      <w:pPr>
        <w:rPr>
          <w:color w:val="000000" w:themeColor="text1"/>
        </w:rPr>
      </w:pPr>
      <w:r w:rsidRPr="00997222">
        <w:rPr>
          <w:color w:val="000000" w:themeColor="text1"/>
        </w:rPr>
        <w:t xml:space="preserve">Five </w:t>
      </w:r>
      <w:r w:rsidR="00AB79D3" w:rsidRPr="00997222">
        <w:rPr>
          <w:color w:val="000000" w:themeColor="text1"/>
        </w:rPr>
        <w:t>First Nations have traditional territories that overlap the TFL</w:t>
      </w:r>
      <w:r w:rsidR="001907D3">
        <w:rPr>
          <w:color w:val="000000" w:themeColor="text1"/>
        </w:rPr>
        <w:t> </w:t>
      </w:r>
      <w:r w:rsidR="00AB79D3" w:rsidRPr="00997222">
        <w:rPr>
          <w:color w:val="000000" w:themeColor="text1"/>
        </w:rPr>
        <w:t xml:space="preserve">48 area.  These are the McLeod Lake Indian Band, West Moberly First Nations, Halfway River First Nation, </w:t>
      </w:r>
      <w:proofErr w:type="spellStart"/>
      <w:r w:rsidR="00AB79D3" w:rsidRPr="00997222">
        <w:rPr>
          <w:color w:val="000000" w:themeColor="text1"/>
        </w:rPr>
        <w:t>Saulteau</w:t>
      </w:r>
      <w:proofErr w:type="spellEnd"/>
      <w:r w:rsidR="00AB79D3" w:rsidRPr="00997222">
        <w:rPr>
          <w:color w:val="000000" w:themeColor="text1"/>
        </w:rPr>
        <w:t xml:space="preserve"> First Nations</w:t>
      </w:r>
      <w:r w:rsidRPr="00997222">
        <w:rPr>
          <w:color w:val="000000" w:themeColor="text1"/>
        </w:rPr>
        <w:t xml:space="preserve"> and the Blueberry River First Nations</w:t>
      </w:r>
      <w:r w:rsidR="00AB79D3" w:rsidRPr="00997222">
        <w:rPr>
          <w:color w:val="000000" w:themeColor="text1"/>
        </w:rPr>
        <w:t>.  All are signatories to Treaty</w:t>
      </w:r>
      <w:r w:rsidR="001907D3">
        <w:rPr>
          <w:color w:val="000000" w:themeColor="text1"/>
        </w:rPr>
        <w:t> </w:t>
      </w:r>
      <w:r w:rsidR="00AB79D3" w:rsidRPr="00997222">
        <w:rPr>
          <w:color w:val="000000" w:themeColor="text1"/>
        </w:rPr>
        <w:t xml:space="preserve">8.  The West Moberly First Nations, Halfway River First Nation and the </w:t>
      </w:r>
      <w:proofErr w:type="spellStart"/>
      <w:r w:rsidR="00AB79D3" w:rsidRPr="00997222">
        <w:rPr>
          <w:color w:val="000000" w:themeColor="text1"/>
        </w:rPr>
        <w:t>Saulteau</w:t>
      </w:r>
      <w:proofErr w:type="spellEnd"/>
      <w:r w:rsidR="00AB79D3" w:rsidRPr="00997222">
        <w:rPr>
          <w:color w:val="000000" w:themeColor="text1"/>
        </w:rPr>
        <w:t xml:space="preserve"> First Nations are members of the Treaty</w:t>
      </w:r>
      <w:r w:rsidR="001907D3">
        <w:rPr>
          <w:color w:val="000000" w:themeColor="text1"/>
        </w:rPr>
        <w:t> </w:t>
      </w:r>
      <w:r w:rsidR="00AB79D3" w:rsidRPr="00997222">
        <w:rPr>
          <w:color w:val="000000" w:themeColor="text1"/>
        </w:rPr>
        <w:t xml:space="preserve">8 Tribal Association.  This Association has been an incorporated organization under the </w:t>
      </w:r>
      <w:r w:rsidR="00AB79D3" w:rsidRPr="00997222">
        <w:rPr>
          <w:i/>
          <w:color w:val="000000" w:themeColor="text1"/>
        </w:rPr>
        <w:t>BC Societies Act</w:t>
      </w:r>
      <w:r w:rsidR="00AB79D3" w:rsidRPr="00997222">
        <w:rPr>
          <w:color w:val="000000" w:themeColor="text1"/>
        </w:rPr>
        <w:t xml:space="preserve"> since 1982</w:t>
      </w:r>
      <w:r w:rsidR="00B032DD" w:rsidRPr="00997222">
        <w:rPr>
          <w:color w:val="000000" w:themeColor="text1"/>
        </w:rPr>
        <w:t xml:space="preserve"> and was created to provide advisory services to member First Nations</w:t>
      </w:r>
      <w:r w:rsidR="00AB79D3" w:rsidRPr="00997222">
        <w:rPr>
          <w:color w:val="000000" w:themeColor="text1"/>
        </w:rPr>
        <w:t>.</w:t>
      </w:r>
      <w:r w:rsidR="00475FC8" w:rsidRPr="00997222">
        <w:rPr>
          <w:color w:val="000000" w:themeColor="text1"/>
        </w:rPr>
        <w:t xml:space="preserve">  The West Moberly First Nations </w:t>
      </w:r>
      <w:r w:rsidR="00423D42" w:rsidRPr="00997222">
        <w:rPr>
          <w:color w:val="000000" w:themeColor="text1"/>
        </w:rPr>
        <w:t xml:space="preserve">are </w:t>
      </w:r>
      <w:r w:rsidR="00DD37A9" w:rsidRPr="00997222">
        <w:rPr>
          <w:color w:val="000000" w:themeColor="text1"/>
        </w:rPr>
        <w:t>signatories to the Forest</w:t>
      </w:r>
      <w:r w:rsidR="00AF57EF" w:rsidRPr="00997222">
        <w:rPr>
          <w:color w:val="000000" w:themeColor="text1"/>
        </w:rPr>
        <w:t>s</w:t>
      </w:r>
      <w:r w:rsidR="00DD37A9" w:rsidRPr="00997222">
        <w:rPr>
          <w:color w:val="000000" w:themeColor="text1"/>
        </w:rPr>
        <w:t xml:space="preserve"> and Range Resource Management Agreement (FRRMA) and </w:t>
      </w:r>
      <w:r w:rsidR="00475FC8" w:rsidRPr="00997222">
        <w:rPr>
          <w:color w:val="000000" w:themeColor="text1"/>
        </w:rPr>
        <w:t xml:space="preserve">were consulted through the </w:t>
      </w:r>
      <w:r w:rsidR="00DD37A9" w:rsidRPr="00997222">
        <w:rPr>
          <w:color w:val="000000" w:themeColor="text1"/>
        </w:rPr>
        <w:t xml:space="preserve">FRRMA </w:t>
      </w:r>
      <w:r w:rsidR="00475FC8" w:rsidRPr="00997222">
        <w:rPr>
          <w:color w:val="000000" w:themeColor="text1"/>
        </w:rPr>
        <w:t xml:space="preserve">Board as outlined in </w:t>
      </w:r>
      <w:r w:rsidR="00AF57EF" w:rsidRPr="00835CC3">
        <w:rPr>
          <w:color w:val="000000" w:themeColor="text1"/>
        </w:rPr>
        <w:t>Appendix B, Matrix: Guidance for Consultation Processes on MFR Decisions.</w:t>
      </w:r>
    </w:p>
    <w:p w:rsidR="00565E33" w:rsidRPr="00997222" w:rsidRDefault="00565E33" w:rsidP="00AB79D3">
      <w:pPr>
        <w:rPr>
          <w:color w:val="000000" w:themeColor="text1"/>
        </w:rPr>
      </w:pPr>
      <w:r w:rsidRPr="00997222">
        <w:rPr>
          <w:color w:val="000000" w:themeColor="text1"/>
          <w:szCs w:val="22"/>
        </w:rPr>
        <w:t xml:space="preserve">The West Moberly First Nations and </w:t>
      </w:r>
      <w:proofErr w:type="spellStart"/>
      <w:r w:rsidRPr="00997222">
        <w:rPr>
          <w:color w:val="000000" w:themeColor="text1"/>
          <w:szCs w:val="22"/>
        </w:rPr>
        <w:t>Saulteau</w:t>
      </w:r>
      <w:proofErr w:type="spellEnd"/>
      <w:r w:rsidRPr="00997222">
        <w:rPr>
          <w:color w:val="000000" w:themeColor="text1"/>
          <w:szCs w:val="22"/>
        </w:rPr>
        <w:t xml:space="preserve"> First Nations have Indian Reserves that are directly adjacent but outside of the TFL area.  Consequently the timber on these reserve lands does not contribute to the AAC I have determined for the TFL</w:t>
      </w:r>
      <w:r w:rsidR="001907D3">
        <w:rPr>
          <w:color w:val="000000" w:themeColor="text1"/>
          <w:szCs w:val="22"/>
        </w:rPr>
        <w:t> </w:t>
      </w:r>
      <w:r w:rsidRPr="00997222">
        <w:rPr>
          <w:color w:val="000000" w:themeColor="text1"/>
          <w:szCs w:val="22"/>
        </w:rPr>
        <w:t>48 area.</w:t>
      </w:r>
    </w:p>
    <w:p w:rsidR="00D84B46" w:rsidRPr="00C56636" w:rsidRDefault="00D84B46" w:rsidP="00D84B46">
      <w:pPr>
        <w:rPr>
          <w:color w:val="000000" w:themeColor="text1"/>
          <w:szCs w:val="22"/>
        </w:rPr>
      </w:pPr>
      <w:r w:rsidRPr="00C56636">
        <w:rPr>
          <w:color w:val="000000" w:themeColor="text1"/>
          <w:szCs w:val="22"/>
        </w:rPr>
        <w:t xml:space="preserve">In June 2014, the Supreme Court of Canada (SCC) released its decision on the </w:t>
      </w:r>
      <w:proofErr w:type="spellStart"/>
      <w:r w:rsidRPr="00C56636">
        <w:rPr>
          <w:color w:val="000000" w:themeColor="text1"/>
          <w:szCs w:val="22"/>
        </w:rPr>
        <w:t>Tsilhqot’in</w:t>
      </w:r>
      <w:proofErr w:type="spellEnd"/>
      <w:r w:rsidRPr="00C56636">
        <w:rPr>
          <w:color w:val="000000" w:themeColor="text1"/>
          <w:szCs w:val="22"/>
        </w:rPr>
        <w:t xml:space="preserve"> Nation v. British Columbia case (</w:t>
      </w:r>
      <w:proofErr w:type="spellStart"/>
      <w:r w:rsidRPr="00C56636">
        <w:rPr>
          <w:color w:val="000000" w:themeColor="text1"/>
          <w:szCs w:val="22"/>
        </w:rPr>
        <w:t>Tsilhqot’in</w:t>
      </w:r>
      <w:proofErr w:type="spellEnd"/>
      <w:r w:rsidRPr="00C56636">
        <w:rPr>
          <w:color w:val="000000" w:themeColor="text1"/>
          <w:szCs w:val="22"/>
        </w:rPr>
        <w:t xml:space="preserve"> decision).  All five of the First Nations with traditional territory in TFL 48 are signatories to Treaty 8, and </w:t>
      </w:r>
      <w:r w:rsidRPr="00C56636">
        <w:rPr>
          <w:color w:val="000000" w:themeColor="text1"/>
          <w:lang w:val="en-US"/>
        </w:rPr>
        <w:t xml:space="preserve">since aboriginal title claims were surrendered as part of the terms of Treaty 8, </w:t>
      </w:r>
      <w:r w:rsidR="00AF188C">
        <w:rPr>
          <w:color w:val="000000" w:themeColor="text1"/>
          <w:lang w:val="en-US"/>
        </w:rPr>
        <w:t xml:space="preserve">the </w:t>
      </w:r>
      <w:proofErr w:type="spellStart"/>
      <w:r w:rsidRPr="00C56636">
        <w:rPr>
          <w:color w:val="000000" w:themeColor="text1"/>
          <w:lang w:val="en-US"/>
        </w:rPr>
        <w:t>Tsilhqot’in</w:t>
      </w:r>
      <w:proofErr w:type="spellEnd"/>
      <w:r w:rsidR="00AF188C">
        <w:rPr>
          <w:color w:val="000000" w:themeColor="text1"/>
          <w:lang w:val="en-US"/>
        </w:rPr>
        <w:t xml:space="preserve"> decision</w:t>
      </w:r>
      <w:r w:rsidRPr="00C56636">
        <w:rPr>
          <w:color w:val="000000" w:themeColor="text1"/>
          <w:lang w:val="en-US"/>
        </w:rPr>
        <w:t xml:space="preserve"> does not have application to Treaty</w:t>
      </w:r>
      <w:r w:rsidR="007B072F">
        <w:rPr>
          <w:color w:val="000000" w:themeColor="text1"/>
          <w:lang w:val="en-US"/>
        </w:rPr>
        <w:t> </w:t>
      </w:r>
      <w:r w:rsidRPr="00C56636">
        <w:rPr>
          <w:color w:val="000000" w:themeColor="text1"/>
          <w:lang w:val="en-US"/>
        </w:rPr>
        <w:t>8 First Nations.</w:t>
      </w:r>
      <w:r w:rsidRPr="00C56636">
        <w:rPr>
          <w:color w:val="000000" w:themeColor="text1"/>
          <w:szCs w:val="22"/>
        </w:rPr>
        <w:t xml:space="preserve">  Consultation obligations with respect to Treaty 8 rights, as outlined in the SCC </w:t>
      </w:r>
      <w:proofErr w:type="spellStart"/>
      <w:r w:rsidRPr="00C56636">
        <w:rPr>
          <w:color w:val="000000" w:themeColor="text1"/>
          <w:szCs w:val="22"/>
        </w:rPr>
        <w:t>Mikisew</w:t>
      </w:r>
      <w:proofErr w:type="spellEnd"/>
      <w:r w:rsidRPr="00C56636">
        <w:rPr>
          <w:color w:val="000000" w:themeColor="text1"/>
          <w:szCs w:val="22"/>
        </w:rPr>
        <w:t xml:space="preserve">, Sparrow and </w:t>
      </w:r>
      <w:proofErr w:type="spellStart"/>
      <w:r w:rsidRPr="00C56636">
        <w:rPr>
          <w:color w:val="000000" w:themeColor="text1"/>
          <w:szCs w:val="22"/>
        </w:rPr>
        <w:t>Haida</w:t>
      </w:r>
      <w:proofErr w:type="spellEnd"/>
      <w:r w:rsidRPr="00C56636">
        <w:rPr>
          <w:color w:val="000000" w:themeColor="text1"/>
          <w:szCs w:val="22"/>
        </w:rPr>
        <w:t xml:space="preserve"> decisions, apply in TFL 48.</w:t>
      </w:r>
      <w:r w:rsidR="007B072F">
        <w:rPr>
          <w:color w:val="000000" w:themeColor="text1"/>
          <w:szCs w:val="22"/>
        </w:rPr>
        <w:t xml:space="preserve"> </w:t>
      </w:r>
      <w:r w:rsidRPr="00C56636">
        <w:rPr>
          <w:color w:val="000000" w:themeColor="text1"/>
          <w:szCs w:val="22"/>
        </w:rPr>
        <w:t xml:space="preserve"> I discuss the consultation process </w:t>
      </w:r>
      <w:r>
        <w:rPr>
          <w:color w:val="000000" w:themeColor="text1"/>
          <w:szCs w:val="22"/>
        </w:rPr>
        <w:t xml:space="preserve">conducted for this AAC determination </w:t>
      </w:r>
      <w:r w:rsidRPr="00C56636">
        <w:rPr>
          <w:color w:val="000000" w:themeColor="text1"/>
          <w:szCs w:val="22"/>
        </w:rPr>
        <w:t>below.</w:t>
      </w:r>
    </w:p>
    <w:p w:rsidR="00F86990" w:rsidRPr="00AD0EFD" w:rsidRDefault="00F86990" w:rsidP="00F86990">
      <w:pPr>
        <w:rPr>
          <w:color w:val="000000" w:themeColor="text1"/>
          <w:szCs w:val="22"/>
          <w:lang w:val="en-US"/>
        </w:rPr>
      </w:pPr>
      <w:r w:rsidRPr="00AD0EFD">
        <w:rPr>
          <w:color w:val="000000" w:themeColor="text1"/>
        </w:rPr>
        <w:t xml:space="preserve">On </w:t>
      </w:r>
      <w:r w:rsidR="00724701" w:rsidRPr="00AD0EFD">
        <w:rPr>
          <w:color w:val="000000" w:themeColor="text1"/>
        </w:rPr>
        <w:t>A</w:t>
      </w:r>
      <w:r w:rsidR="00AA687C" w:rsidRPr="00AD0EFD">
        <w:rPr>
          <w:color w:val="000000" w:themeColor="text1"/>
        </w:rPr>
        <w:t xml:space="preserve">ugust </w:t>
      </w:r>
      <w:r w:rsidRPr="00AD0EFD">
        <w:rPr>
          <w:color w:val="000000" w:themeColor="text1"/>
        </w:rPr>
        <w:t xml:space="preserve">28, </w:t>
      </w:r>
      <w:r w:rsidR="00AA687C" w:rsidRPr="00AD0EFD">
        <w:rPr>
          <w:color w:val="000000" w:themeColor="text1"/>
        </w:rPr>
        <w:t xml:space="preserve">2013 </w:t>
      </w:r>
      <w:r w:rsidR="00AB79D3" w:rsidRPr="00AD0EFD">
        <w:rPr>
          <w:color w:val="000000" w:themeColor="text1"/>
        </w:rPr>
        <w:t xml:space="preserve">Canfor </w:t>
      </w:r>
      <w:r w:rsidR="00AA687C" w:rsidRPr="00AD0EFD">
        <w:rPr>
          <w:color w:val="000000" w:themeColor="text1"/>
        </w:rPr>
        <w:t xml:space="preserve">initiated </w:t>
      </w:r>
      <w:r w:rsidR="00AB79D3" w:rsidRPr="00AD0EFD">
        <w:rPr>
          <w:color w:val="000000" w:themeColor="text1"/>
        </w:rPr>
        <w:t xml:space="preserve">information </w:t>
      </w:r>
      <w:r w:rsidR="00AA687C" w:rsidRPr="00AD0EFD">
        <w:rPr>
          <w:color w:val="000000" w:themeColor="text1"/>
        </w:rPr>
        <w:t>sharing</w:t>
      </w:r>
      <w:r w:rsidR="00724701" w:rsidRPr="00AD0EFD">
        <w:rPr>
          <w:color w:val="000000" w:themeColor="text1"/>
        </w:rPr>
        <w:t xml:space="preserve"> on the Tree Farm Licence</w:t>
      </w:r>
      <w:r w:rsidR="001907D3">
        <w:rPr>
          <w:color w:val="000000" w:themeColor="text1"/>
        </w:rPr>
        <w:t> </w:t>
      </w:r>
      <w:r w:rsidR="00724701" w:rsidRPr="00AD0EFD">
        <w:rPr>
          <w:color w:val="000000" w:themeColor="text1"/>
        </w:rPr>
        <w:t xml:space="preserve">48 Timber Supply Analysis Data Package with the </w:t>
      </w:r>
      <w:r w:rsidR="00724701" w:rsidRPr="00AD0EFD">
        <w:rPr>
          <w:color w:val="000000" w:themeColor="text1"/>
          <w:szCs w:val="22"/>
        </w:rPr>
        <w:t xml:space="preserve">McLeod Lake Indian Band, West Moberly First Nations, Halfway River First Nation, </w:t>
      </w:r>
      <w:proofErr w:type="spellStart"/>
      <w:r w:rsidR="00724701" w:rsidRPr="00AD0EFD">
        <w:rPr>
          <w:color w:val="000000" w:themeColor="text1"/>
          <w:szCs w:val="22"/>
        </w:rPr>
        <w:t>Saulteau</w:t>
      </w:r>
      <w:proofErr w:type="spellEnd"/>
      <w:r w:rsidR="00724701" w:rsidRPr="00AD0EFD">
        <w:rPr>
          <w:color w:val="000000" w:themeColor="text1"/>
          <w:szCs w:val="22"/>
        </w:rPr>
        <w:t xml:space="preserve"> First Nations and the </w:t>
      </w:r>
      <w:proofErr w:type="spellStart"/>
      <w:r w:rsidR="00724701" w:rsidRPr="00AD0EFD">
        <w:rPr>
          <w:color w:val="000000" w:themeColor="text1"/>
          <w:szCs w:val="22"/>
          <w:lang w:val="en-US"/>
        </w:rPr>
        <w:t>Lheidli</w:t>
      </w:r>
      <w:r w:rsidR="00724701" w:rsidRPr="00AD0EFD">
        <w:rPr>
          <w:color w:val="000000" w:themeColor="text1"/>
          <w:szCs w:val="22"/>
          <w:lang w:val="en-US"/>
        </w:rPr>
        <w:noBreakHyphen/>
        <w:t>T’enneh</w:t>
      </w:r>
      <w:proofErr w:type="spellEnd"/>
      <w:r w:rsidR="00724701" w:rsidRPr="00AD0EFD">
        <w:rPr>
          <w:color w:val="000000" w:themeColor="text1"/>
          <w:szCs w:val="22"/>
          <w:lang w:val="en-US"/>
        </w:rPr>
        <w:t xml:space="preserve"> First Nation.</w:t>
      </w:r>
      <w:r w:rsidR="000E7F49" w:rsidRPr="00AD0EFD">
        <w:rPr>
          <w:color w:val="000000" w:themeColor="text1"/>
        </w:rPr>
        <w:t xml:space="preserve">  </w:t>
      </w:r>
      <w:r w:rsidRPr="00AD0EFD">
        <w:rPr>
          <w:color w:val="000000" w:themeColor="text1"/>
        </w:rPr>
        <w:t>On February</w:t>
      </w:r>
      <w:r w:rsidR="001907D3">
        <w:rPr>
          <w:color w:val="000000" w:themeColor="text1"/>
        </w:rPr>
        <w:t> </w:t>
      </w:r>
      <w:r w:rsidRPr="00AD0EFD">
        <w:rPr>
          <w:color w:val="000000" w:themeColor="text1"/>
        </w:rPr>
        <w:t>10, 2014 Canfor initiated information sharing on the Tree Farm Licence</w:t>
      </w:r>
      <w:r w:rsidR="001907D3">
        <w:rPr>
          <w:color w:val="000000" w:themeColor="text1"/>
        </w:rPr>
        <w:t> </w:t>
      </w:r>
      <w:r w:rsidRPr="00AD0EFD">
        <w:rPr>
          <w:color w:val="000000" w:themeColor="text1"/>
        </w:rPr>
        <w:t>48 Management Plan</w:t>
      </w:r>
      <w:r w:rsidR="007B072F">
        <w:rPr>
          <w:color w:val="000000" w:themeColor="text1"/>
        </w:rPr>
        <w:t> </w:t>
      </w:r>
      <w:r w:rsidRPr="00AD0EFD">
        <w:rPr>
          <w:color w:val="000000" w:themeColor="text1"/>
        </w:rPr>
        <w:t>5, which includes the Data Package and the Timber Supply Analysis</w:t>
      </w:r>
      <w:r w:rsidR="00B032DD" w:rsidRPr="00AD0EFD">
        <w:rPr>
          <w:color w:val="000000" w:themeColor="text1"/>
        </w:rPr>
        <w:t>,</w:t>
      </w:r>
      <w:r w:rsidRPr="00AD0EFD">
        <w:rPr>
          <w:color w:val="000000" w:themeColor="text1"/>
        </w:rPr>
        <w:t xml:space="preserve"> with the </w:t>
      </w:r>
      <w:r w:rsidR="000E7F49" w:rsidRPr="00AD0EFD">
        <w:rPr>
          <w:color w:val="000000" w:themeColor="text1"/>
          <w:szCs w:val="22"/>
        </w:rPr>
        <w:t>First Nations listed immediately above</w:t>
      </w:r>
      <w:r w:rsidRPr="00AD0EFD">
        <w:rPr>
          <w:color w:val="000000" w:themeColor="text1"/>
          <w:szCs w:val="22"/>
          <w:lang w:val="en-US"/>
        </w:rPr>
        <w:t>.</w:t>
      </w:r>
    </w:p>
    <w:p w:rsidR="00423D42" w:rsidRPr="00AD0EFD" w:rsidRDefault="00E3013B" w:rsidP="00423D42">
      <w:pPr>
        <w:pStyle w:val="Default"/>
        <w:rPr>
          <w:rFonts w:eastAsia="Times New Roman"/>
          <w:color w:val="000000" w:themeColor="text1"/>
          <w:sz w:val="22"/>
          <w:szCs w:val="22"/>
          <w:lang w:eastAsia="en-CA"/>
        </w:rPr>
      </w:pPr>
      <w:r w:rsidRPr="00AD0EFD">
        <w:rPr>
          <w:color w:val="000000" w:themeColor="text1"/>
          <w:sz w:val="22"/>
          <w:szCs w:val="22"/>
        </w:rPr>
        <w:t>FLNR operations staff conducted initial impact reviews of potential impacts the proposed A</w:t>
      </w:r>
      <w:r w:rsidR="001907D3">
        <w:rPr>
          <w:color w:val="000000" w:themeColor="text1"/>
          <w:sz w:val="22"/>
          <w:szCs w:val="22"/>
        </w:rPr>
        <w:t>A</w:t>
      </w:r>
      <w:r w:rsidRPr="00AD0EFD">
        <w:rPr>
          <w:color w:val="000000" w:themeColor="text1"/>
          <w:sz w:val="22"/>
          <w:szCs w:val="22"/>
        </w:rPr>
        <w:t>C</w:t>
      </w:r>
      <w:r w:rsidR="001907D3">
        <w:rPr>
          <w:color w:val="000000" w:themeColor="text1"/>
          <w:sz w:val="22"/>
          <w:szCs w:val="22"/>
        </w:rPr>
        <w:t> </w:t>
      </w:r>
      <w:r w:rsidRPr="00AD0EFD">
        <w:rPr>
          <w:color w:val="000000" w:themeColor="text1"/>
          <w:sz w:val="22"/>
          <w:szCs w:val="22"/>
        </w:rPr>
        <w:t>decision and management plan approval may have on Treaty</w:t>
      </w:r>
      <w:r w:rsidR="001907D3">
        <w:rPr>
          <w:color w:val="000000" w:themeColor="text1"/>
          <w:sz w:val="22"/>
          <w:szCs w:val="22"/>
        </w:rPr>
        <w:t> </w:t>
      </w:r>
      <w:r w:rsidRPr="00AD0EFD">
        <w:rPr>
          <w:color w:val="000000" w:themeColor="text1"/>
          <w:sz w:val="22"/>
          <w:szCs w:val="22"/>
        </w:rPr>
        <w:t>8 rights, and how any such impacts or other First Nation concerns are proposed to be addressed.</w:t>
      </w:r>
      <w:r w:rsidR="004B7CE7" w:rsidRPr="00AD0EFD">
        <w:rPr>
          <w:color w:val="000000" w:themeColor="text1"/>
          <w:sz w:val="22"/>
          <w:szCs w:val="22"/>
        </w:rPr>
        <w:t xml:space="preserve">  Based on the reviews, </w:t>
      </w:r>
      <w:r w:rsidR="00DD3862" w:rsidRPr="00AD0EFD">
        <w:rPr>
          <w:color w:val="000000" w:themeColor="text1"/>
          <w:sz w:val="22"/>
          <w:szCs w:val="22"/>
        </w:rPr>
        <w:t>the impacts of these decisions on the Treaty</w:t>
      </w:r>
      <w:r w:rsidR="001907D3">
        <w:rPr>
          <w:color w:val="000000" w:themeColor="text1"/>
          <w:sz w:val="22"/>
          <w:szCs w:val="22"/>
        </w:rPr>
        <w:t> </w:t>
      </w:r>
      <w:r w:rsidR="00DD3862" w:rsidRPr="00AD0EFD">
        <w:rPr>
          <w:color w:val="000000" w:themeColor="text1"/>
          <w:sz w:val="22"/>
          <w:szCs w:val="22"/>
        </w:rPr>
        <w:t xml:space="preserve">8 rights of the McLeod Lake Indian Band, West Moberly First Nations, Halfway River First Nation, and the </w:t>
      </w:r>
      <w:proofErr w:type="spellStart"/>
      <w:r w:rsidR="00DD3862" w:rsidRPr="00AD0EFD">
        <w:rPr>
          <w:color w:val="000000" w:themeColor="text1"/>
          <w:sz w:val="22"/>
          <w:szCs w:val="22"/>
        </w:rPr>
        <w:t>Saulteau</w:t>
      </w:r>
      <w:proofErr w:type="spellEnd"/>
      <w:r w:rsidR="00DD3862" w:rsidRPr="00AD0EFD">
        <w:rPr>
          <w:color w:val="000000" w:themeColor="text1"/>
          <w:sz w:val="22"/>
          <w:szCs w:val="22"/>
        </w:rPr>
        <w:t xml:space="preserve"> First Nations was assessed to be low and the consultation level was </w:t>
      </w:r>
      <w:r w:rsidR="00D46EBD" w:rsidRPr="00AD0EFD">
        <w:rPr>
          <w:color w:val="000000" w:themeColor="text1"/>
          <w:sz w:val="22"/>
          <w:szCs w:val="22"/>
        </w:rPr>
        <w:t xml:space="preserve">proposed </w:t>
      </w:r>
      <w:r w:rsidR="00DD3862" w:rsidRPr="00AD0EFD">
        <w:rPr>
          <w:color w:val="000000" w:themeColor="text1"/>
          <w:sz w:val="22"/>
          <w:szCs w:val="22"/>
        </w:rPr>
        <w:t xml:space="preserve">at the normal level of the consultation spectrum.  </w:t>
      </w:r>
      <w:r w:rsidR="00423D42" w:rsidRPr="00AD0EFD">
        <w:rPr>
          <w:color w:val="000000" w:themeColor="text1"/>
          <w:sz w:val="22"/>
          <w:szCs w:val="22"/>
        </w:rPr>
        <w:t xml:space="preserve">This level is consistent with the </w:t>
      </w:r>
      <w:r w:rsidR="0027059A" w:rsidRPr="00AD0EFD">
        <w:rPr>
          <w:color w:val="000000" w:themeColor="text1"/>
          <w:sz w:val="22"/>
          <w:szCs w:val="22"/>
        </w:rPr>
        <w:t xml:space="preserve">level for TSR assigned in the </w:t>
      </w:r>
      <w:r w:rsidR="00D46EBD" w:rsidRPr="00AD0EFD">
        <w:rPr>
          <w:color w:val="000000" w:themeColor="text1"/>
          <w:sz w:val="22"/>
          <w:szCs w:val="22"/>
        </w:rPr>
        <w:t xml:space="preserve">Matrix in the FRRMA.  </w:t>
      </w:r>
      <w:r w:rsidR="00DD3862" w:rsidRPr="00AD0EFD">
        <w:rPr>
          <w:color w:val="000000" w:themeColor="text1"/>
          <w:sz w:val="22"/>
          <w:szCs w:val="22"/>
        </w:rPr>
        <w:t>Th</w:t>
      </w:r>
      <w:r w:rsidR="00B032DD" w:rsidRPr="00AD0EFD">
        <w:rPr>
          <w:color w:val="000000" w:themeColor="text1"/>
          <w:sz w:val="22"/>
          <w:szCs w:val="22"/>
        </w:rPr>
        <w:t xml:space="preserve">e proposed consultation levels were </w:t>
      </w:r>
      <w:r w:rsidR="00DD3862" w:rsidRPr="00AD0EFD">
        <w:rPr>
          <w:color w:val="000000" w:themeColor="text1"/>
          <w:sz w:val="22"/>
          <w:szCs w:val="22"/>
        </w:rPr>
        <w:t xml:space="preserve">conveyed to </w:t>
      </w:r>
      <w:r w:rsidR="00B032DD" w:rsidRPr="00AD0EFD">
        <w:rPr>
          <w:color w:val="000000" w:themeColor="text1"/>
          <w:sz w:val="22"/>
          <w:szCs w:val="22"/>
        </w:rPr>
        <w:t xml:space="preserve">each of </w:t>
      </w:r>
      <w:r w:rsidR="00DD3862" w:rsidRPr="00AD0EFD">
        <w:rPr>
          <w:color w:val="000000" w:themeColor="text1"/>
          <w:sz w:val="22"/>
          <w:szCs w:val="22"/>
        </w:rPr>
        <w:t>these four First Nations during the consultation process described below.</w:t>
      </w:r>
    </w:p>
    <w:p w:rsidR="008240AD" w:rsidRPr="00AD0EFD" w:rsidRDefault="001120EE" w:rsidP="004726BE">
      <w:pPr>
        <w:spacing w:after="0"/>
        <w:rPr>
          <w:color w:val="000000" w:themeColor="text1"/>
          <w:szCs w:val="22"/>
        </w:rPr>
      </w:pPr>
      <w:r w:rsidRPr="00AD0EFD">
        <w:rPr>
          <w:color w:val="000000" w:themeColor="text1"/>
          <w:szCs w:val="22"/>
        </w:rPr>
        <w:t>On February</w:t>
      </w:r>
      <w:r w:rsidR="00F83052">
        <w:rPr>
          <w:color w:val="000000" w:themeColor="text1"/>
          <w:szCs w:val="22"/>
        </w:rPr>
        <w:t> </w:t>
      </w:r>
      <w:r w:rsidRPr="00AD0EFD">
        <w:rPr>
          <w:color w:val="000000" w:themeColor="text1"/>
          <w:szCs w:val="22"/>
        </w:rPr>
        <w:t>24, 2014 FLNR operations staff initiated consultation on the two pending decisions, the determination of the AAC for TFL</w:t>
      </w:r>
      <w:r w:rsidR="00B23B4C">
        <w:rPr>
          <w:color w:val="000000" w:themeColor="text1"/>
          <w:szCs w:val="22"/>
        </w:rPr>
        <w:t> </w:t>
      </w:r>
      <w:r w:rsidRPr="00AD0EFD">
        <w:rPr>
          <w:color w:val="000000" w:themeColor="text1"/>
          <w:szCs w:val="22"/>
        </w:rPr>
        <w:t>48 and possible approval of Management Plan</w:t>
      </w:r>
      <w:r w:rsidR="00B23B4C">
        <w:rPr>
          <w:color w:val="000000" w:themeColor="text1"/>
          <w:szCs w:val="22"/>
        </w:rPr>
        <w:t> </w:t>
      </w:r>
      <w:r w:rsidRPr="00AD0EFD">
        <w:rPr>
          <w:color w:val="000000" w:themeColor="text1"/>
          <w:szCs w:val="22"/>
        </w:rPr>
        <w:t>5 for TFL 48, with the McLeod Lake Indian Band, West Moberly First Nations</w:t>
      </w:r>
      <w:r w:rsidR="008240AD" w:rsidRPr="00AD0EFD">
        <w:rPr>
          <w:color w:val="000000" w:themeColor="text1"/>
          <w:szCs w:val="22"/>
        </w:rPr>
        <w:t xml:space="preserve"> (through the FRRMA Board)</w:t>
      </w:r>
      <w:r w:rsidRPr="00AD0EFD">
        <w:rPr>
          <w:color w:val="000000" w:themeColor="text1"/>
          <w:szCs w:val="22"/>
        </w:rPr>
        <w:t xml:space="preserve">, Halfway River First Nation and the </w:t>
      </w:r>
      <w:proofErr w:type="spellStart"/>
      <w:r w:rsidRPr="00AD0EFD">
        <w:rPr>
          <w:color w:val="000000" w:themeColor="text1"/>
          <w:szCs w:val="22"/>
        </w:rPr>
        <w:t>Saulteau</w:t>
      </w:r>
      <w:proofErr w:type="spellEnd"/>
      <w:r w:rsidRPr="00AD0EFD">
        <w:rPr>
          <w:color w:val="000000" w:themeColor="text1"/>
          <w:szCs w:val="22"/>
        </w:rPr>
        <w:t xml:space="preserve"> First Nations.</w:t>
      </w:r>
    </w:p>
    <w:p w:rsidR="004726BE" w:rsidRPr="00AD0EFD" w:rsidRDefault="004726BE" w:rsidP="004726BE">
      <w:pPr>
        <w:spacing w:after="0"/>
        <w:rPr>
          <w:color w:val="000000" w:themeColor="text1"/>
          <w:szCs w:val="22"/>
        </w:rPr>
      </w:pPr>
      <w:r w:rsidRPr="00AD0EFD">
        <w:rPr>
          <w:color w:val="000000" w:themeColor="text1"/>
          <w:szCs w:val="22"/>
        </w:rPr>
        <w:t xml:space="preserve">FLNR operations staff did not consult with </w:t>
      </w:r>
      <w:r w:rsidR="001120EE" w:rsidRPr="00AD0EFD">
        <w:rPr>
          <w:color w:val="000000" w:themeColor="text1"/>
          <w:szCs w:val="22"/>
        </w:rPr>
        <w:t xml:space="preserve">the </w:t>
      </w:r>
      <w:proofErr w:type="spellStart"/>
      <w:r w:rsidRPr="00AD0EFD">
        <w:rPr>
          <w:color w:val="000000" w:themeColor="text1"/>
          <w:szCs w:val="22"/>
          <w:lang w:val="en-US"/>
        </w:rPr>
        <w:t>Lheidli</w:t>
      </w:r>
      <w:r w:rsidRPr="00AD0EFD">
        <w:rPr>
          <w:color w:val="000000" w:themeColor="text1"/>
          <w:szCs w:val="22"/>
          <w:lang w:val="en-US"/>
        </w:rPr>
        <w:noBreakHyphen/>
        <w:t>T’enneh</w:t>
      </w:r>
      <w:proofErr w:type="spellEnd"/>
      <w:r w:rsidRPr="00AD0EFD">
        <w:rPr>
          <w:color w:val="000000" w:themeColor="text1"/>
          <w:szCs w:val="22"/>
          <w:lang w:val="en-US"/>
        </w:rPr>
        <w:t xml:space="preserve"> </w:t>
      </w:r>
      <w:r w:rsidR="001120EE" w:rsidRPr="00AD0EFD">
        <w:rPr>
          <w:color w:val="000000" w:themeColor="text1"/>
          <w:szCs w:val="22"/>
          <w:lang w:val="en-US"/>
        </w:rPr>
        <w:t xml:space="preserve">First Nation </w:t>
      </w:r>
      <w:r w:rsidRPr="00AD0EFD">
        <w:rPr>
          <w:color w:val="000000" w:themeColor="text1"/>
          <w:szCs w:val="22"/>
          <w:lang w:val="en-US"/>
        </w:rPr>
        <w:t>based</w:t>
      </w:r>
      <w:r w:rsidRPr="00AD0EFD">
        <w:rPr>
          <w:color w:val="000000" w:themeColor="text1"/>
          <w:szCs w:val="22"/>
        </w:rPr>
        <w:t xml:space="preserve"> on FLNR’s assessment that TFL</w:t>
      </w:r>
      <w:r w:rsidR="00B23B4C">
        <w:rPr>
          <w:color w:val="000000" w:themeColor="text1"/>
          <w:szCs w:val="22"/>
        </w:rPr>
        <w:t> </w:t>
      </w:r>
      <w:r w:rsidRPr="00AD0EFD">
        <w:rPr>
          <w:color w:val="000000" w:themeColor="text1"/>
          <w:szCs w:val="22"/>
        </w:rPr>
        <w:t xml:space="preserve">48 falls outside the boundaries of its traditional territory.  </w:t>
      </w:r>
      <w:r w:rsidR="001120EE" w:rsidRPr="00AD0EFD">
        <w:rPr>
          <w:color w:val="000000" w:themeColor="text1"/>
          <w:szCs w:val="22"/>
        </w:rPr>
        <w:t>This</w:t>
      </w:r>
      <w:r w:rsidR="001120EE" w:rsidRPr="00AD0EFD" w:rsidDel="00F86990">
        <w:rPr>
          <w:color w:val="000000" w:themeColor="text1"/>
          <w:szCs w:val="22"/>
        </w:rPr>
        <w:t xml:space="preserve"> </w:t>
      </w:r>
      <w:r w:rsidR="001120EE" w:rsidRPr="00AD0EFD">
        <w:rPr>
          <w:rFonts w:cs="Arial"/>
          <w:color w:val="000000" w:themeColor="text1"/>
          <w:szCs w:val="22"/>
        </w:rPr>
        <w:t>First Nation</w:t>
      </w:r>
      <w:r w:rsidR="001120EE" w:rsidRPr="00AD0EFD" w:rsidDel="00EB499D">
        <w:rPr>
          <w:color w:val="000000" w:themeColor="text1"/>
          <w:szCs w:val="22"/>
        </w:rPr>
        <w:t xml:space="preserve"> </w:t>
      </w:r>
      <w:r w:rsidR="001120EE" w:rsidRPr="00AD0EFD">
        <w:rPr>
          <w:color w:val="000000" w:themeColor="text1"/>
          <w:szCs w:val="22"/>
        </w:rPr>
        <w:t>is not a signatory to Treaty</w:t>
      </w:r>
      <w:r w:rsidR="00B23B4C">
        <w:rPr>
          <w:color w:val="000000" w:themeColor="text1"/>
          <w:szCs w:val="22"/>
        </w:rPr>
        <w:t> </w:t>
      </w:r>
      <w:r w:rsidR="001120EE" w:rsidRPr="00AD0EFD">
        <w:rPr>
          <w:color w:val="000000" w:themeColor="text1"/>
          <w:szCs w:val="22"/>
        </w:rPr>
        <w:t xml:space="preserve">8.  </w:t>
      </w:r>
      <w:r w:rsidR="001120EE" w:rsidRPr="00AD0EFD">
        <w:rPr>
          <w:rFonts w:cs="Arial"/>
          <w:color w:val="000000" w:themeColor="text1"/>
          <w:szCs w:val="22"/>
        </w:rPr>
        <w:t xml:space="preserve">They provided no input into </w:t>
      </w:r>
      <w:r w:rsidR="001120EE" w:rsidRPr="00AD0EFD">
        <w:rPr>
          <w:color w:val="000000" w:themeColor="text1"/>
          <w:szCs w:val="22"/>
        </w:rPr>
        <w:t>Canfor’s information sharing.</w:t>
      </w:r>
    </w:p>
    <w:p w:rsidR="001120EE" w:rsidRPr="00AD0EFD" w:rsidRDefault="000B5813" w:rsidP="001120EE">
      <w:pPr>
        <w:rPr>
          <w:color w:val="000000" w:themeColor="text1"/>
          <w:szCs w:val="22"/>
        </w:rPr>
      </w:pPr>
      <w:r w:rsidRPr="00AD0EFD">
        <w:rPr>
          <w:color w:val="000000" w:themeColor="text1"/>
          <w:szCs w:val="22"/>
        </w:rPr>
        <w:t>At the time of the information sharing and consultation the Blueberry River First Nations’ traditional territory did not overlap with TFL</w:t>
      </w:r>
      <w:r w:rsidR="00B23B4C">
        <w:rPr>
          <w:color w:val="000000" w:themeColor="text1"/>
          <w:szCs w:val="22"/>
        </w:rPr>
        <w:t> </w:t>
      </w:r>
      <w:r w:rsidRPr="00AD0EFD">
        <w:rPr>
          <w:color w:val="000000" w:themeColor="text1"/>
          <w:szCs w:val="22"/>
        </w:rPr>
        <w:t xml:space="preserve">48.  Therefore </w:t>
      </w:r>
      <w:r w:rsidR="001120EE" w:rsidRPr="00AD0EFD">
        <w:rPr>
          <w:color w:val="000000" w:themeColor="text1"/>
          <w:szCs w:val="22"/>
        </w:rPr>
        <w:t>Canfor did not share the information provided to the other First Nations on August 28, 2013 or February 10, 2014</w:t>
      </w:r>
      <w:r w:rsidR="00880A46" w:rsidRPr="00AD0EFD">
        <w:rPr>
          <w:color w:val="000000" w:themeColor="text1"/>
          <w:szCs w:val="22"/>
        </w:rPr>
        <w:t>, nor did FLNR operations staff consult with</w:t>
      </w:r>
      <w:r w:rsidR="001120EE" w:rsidRPr="00AD0EFD">
        <w:rPr>
          <w:color w:val="000000" w:themeColor="text1"/>
          <w:szCs w:val="22"/>
        </w:rPr>
        <w:t xml:space="preserve"> the Blueberry River First Nations </w:t>
      </w:r>
      <w:r w:rsidRPr="00AD0EFD">
        <w:rPr>
          <w:color w:val="000000" w:themeColor="text1"/>
          <w:szCs w:val="22"/>
        </w:rPr>
        <w:t>at that time.</w:t>
      </w:r>
    </w:p>
    <w:p w:rsidR="00031043" w:rsidRPr="000C2EBB" w:rsidRDefault="009A57AA" w:rsidP="00496741">
      <w:pPr>
        <w:spacing w:after="0"/>
        <w:rPr>
          <w:color w:val="000000" w:themeColor="text1"/>
          <w:szCs w:val="22"/>
        </w:rPr>
      </w:pPr>
      <w:r w:rsidRPr="000C2EBB">
        <w:rPr>
          <w:color w:val="000000" w:themeColor="text1"/>
          <w:szCs w:val="22"/>
        </w:rPr>
        <w:t>On May</w:t>
      </w:r>
      <w:r w:rsidR="00B23B4C">
        <w:rPr>
          <w:color w:val="000000" w:themeColor="text1"/>
          <w:szCs w:val="22"/>
        </w:rPr>
        <w:t> </w:t>
      </w:r>
      <w:r w:rsidRPr="000C2EBB">
        <w:rPr>
          <w:color w:val="000000" w:themeColor="text1"/>
          <w:szCs w:val="22"/>
        </w:rPr>
        <w:t xml:space="preserve">26, 2014, </w:t>
      </w:r>
      <w:r w:rsidR="002B31CF" w:rsidRPr="000C2EBB">
        <w:rPr>
          <w:color w:val="000000" w:themeColor="text1"/>
          <w:szCs w:val="22"/>
        </w:rPr>
        <w:t>after the official consultation p</w:t>
      </w:r>
      <w:r w:rsidR="00C347BB" w:rsidRPr="000C2EBB">
        <w:rPr>
          <w:color w:val="000000" w:themeColor="text1"/>
          <w:szCs w:val="22"/>
        </w:rPr>
        <w:t xml:space="preserve">eriod </w:t>
      </w:r>
      <w:r w:rsidR="002B31CF" w:rsidRPr="000C2EBB">
        <w:rPr>
          <w:color w:val="000000" w:themeColor="text1"/>
          <w:szCs w:val="22"/>
        </w:rPr>
        <w:t xml:space="preserve">for the </w:t>
      </w:r>
      <w:r w:rsidR="009A19DD" w:rsidRPr="000C2EBB">
        <w:rPr>
          <w:color w:val="000000" w:themeColor="text1"/>
          <w:szCs w:val="22"/>
        </w:rPr>
        <w:t xml:space="preserve">AAC determination and Management Plan 5 approval </w:t>
      </w:r>
      <w:r w:rsidR="00C347BB" w:rsidRPr="000C2EBB">
        <w:rPr>
          <w:color w:val="000000" w:themeColor="text1"/>
          <w:szCs w:val="22"/>
        </w:rPr>
        <w:t xml:space="preserve">had ended, </w:t>
      </w:r>
      <w:r w:rsidRPr="000C2EBB">
        <w:rPr>
          <w:color w:val="000000" w:themeColor="text1"/>
          <w:szCs w:val="22"/>
        </w:rPr>
        <w:t xml:space="preserve">the Ministry of Aboriginal Relations and Reconciliation notified </w:t>
      </w:r>
      <w:r w:rsidR="005924DA" w:rsidRPr="000C2EBB">
        <w:rPr>
          <w:color w:val="000000" w:themeColor="text1"/>
          <w:szCs w:val="22"/>
        </w:rPr>
        <w:t xml:space="preserve">the </w:t>
      </w:r>
      <w:r w:rsidRPr="000C2EBB">
        <w:rPr>
          <w:color w:val="000000" w:themeColor="text1"/>
          <w:szCs w:val="22"/>
        </w:rPr>
        <w:t xml:space="preserve">Blueberry River First Nations of the change to </w:t>
      </w:r>
      <w:r w:rsidR="002B31CF" w:rsidRPr="000C2EBB">
        <w:rPr>
          <w:color w:val="000000" w:themeColor="text1"/>
          <w:szCs w:val="22"/>
        </w:rPr>
        <w:t>the consultati</w:t>
      </w:r>
      <w:r w:rsidR="00C347BB" w:rsidRPr="000C2EBB">
        <w:rPr>
          <w:color w:val="000000" w:themeColor="text1"/>
          <w:szCs w:val="22"/>
        </w:rPr>
        <w:t>on</w:t>
      </w:r>
      <w:r w:rsidR="002B31CF" w:rsidRPr="000C2EBB">
        <w:rPr>
          <w:color w:val="000000" w:themeColor="text1"/>
          <w:szCs w:val="22"/>
        </w:rPr>
        <w:t xml:space="preserve"> area</w:t>
      </w:r>
      <w:r w:rsidRPr="000C2EBB">
        <w:rPr>
          <w:color w:val="000000" w:themeColor="text1"/>
          <w:szCs w:val="22"/>
        </w:rPr>
        <w:t xml:space="preserve"> </w:t>
      </w:r>
      <w:r w:rsidR="00C347BB" w:rsidRPr="000C2EBB">
        <w:rPr>
          <w:color w:val="000000" w:themeColor="text1"/>
          <w:szCs w:val="22"/>
        </w:rPr>
        <w:t xml:space="preserve">boundaries </w:t>
      </w:r>
      <w:r w:rsidRPr="000C2EBB">
        <w:rPr>
          <w:color w:val="000000" w:themeColor="text1"/>
          <w:szCs w:val="22"/>
        </w:rPr>
        <w:t xml:space="preserve">that the Province would be implementing </w:t>
      </w:r>
      <w:r w:rsidR="002B31CF" w:rsidRPr="000C2EBB">
        <w:rPr>
          <w:color w:val="000000" w:themeColor="text1"/>
          <w:szCs w:val="22"/>
        </w:rPr>
        <w:t xml:space="preserve">for </w:t>
      </w:r>
      <w:r w:rsidRPr="000C2EBB">
        <w:rPr>
          <w:color w:val="000000" w:themeColor="text1"/>
          <w:szCs w:val="22"/>
        </w:rPr>
        <w:t xml:space="preserve">consultation with </w:t>
      </w:r>
      <w:r w:rsidR="002B31CF" w:rsidRPr="000C2EBB">
        <w:rPr>
          <w:color w:val="000000" w:themeColor="text1"/>
          <w:szCs w:val="22"/>
        </w:rPr>
        <w:t xml:space="preserve">the </w:t>
      </w:r>
      <w:r w:rsidRPr="000C2EBB">
        <w:rPr>
          <w:color w:val="000000" w:themeColor="text1"/>
          <w:szCs w:val="22"/>
        </w:rPr>
        <w:t xml:space="preserve">Blueberry </w:t>
      </w:r>
      <w:r w:rsidR="002B31CF" w:rsidRPr="000C2EBB">
        <w:rPr>
          <w:color w:val="000000" w:themeColor="text1"/>
          <w:szCs w:val="22"/>
        </w:rPr>
        <w:t>River First Nations</w:t>
      </w:r>
      <w:r w:rsidR="00031043" w:rsidRPr="000C2EBB">
        <w:rPr>
          <w:color w:val="000000" w:themeColor="text1"/>
          <w:szCs w:val="22"/>
        </w:rPr>
        <w:t xml:space="preserve"> as follows</w:t>
      </w:r>
      <w:r w:rsidR="002B31CF" w:rsidRPr="000C2EBB">
        <w:rPr>
          <w:color w:val="000000" w:themeColor="text1"/>
          <w:szCs w:val="22"/>
        </w:rPr>
        <w:t>.  Based on an examination of the First Nation`s claimed traditional territory, the Province implemented a three</w:t>
      </w:r>
      <w:r w:rsidR="00B23B4C">
        <w:rPr>
          <w:color w:val="000000" w:themeColor="text1"/>
          <w:szCs w:val="22"/>
        </w:rPr>
        <w:t> </w:t>
      </w:r>
      <w:r w:rsidRPr="000C2EBB">
        <w:rPr>
          <w:color w:val="000000" w:themeColor="text1"/>
          <w:szCs w:val="22"/>
        </w:rPr>
        <w:t>zone area approach</w:t>
      </w:r>
      <w:r w:rsidR="002B31CF" w:rsidRPr="000C2EBB">
        <w:rPr>
          <w:color w:val="000000" w:themeColor="text1"/>
          <w:szCs w:val="22"/>
        </w:rPr>
        <w:t xml:space="preserve"> to be used to guide consultation processes</w:t>
      </w:r>
      <w:r w:rsidR="00C347BB" w:rsidRPr="000C2EBB">
        <w:rPr>
          <w:color w:val="000000" w:themeColor="text1"/>
          <w:szCs w:val="22"/>
        </w:rPr>
        <w:t>.  The consultation level was</w:t>
      </w:r>
      <w:r w:rsidR="002B31CF" w:rsidRPr="000C2EBB">
        <w:rPr>
          <w:color w:val="000000" w:themeColor="text1"/>
          <w:szCs w:val="22"/>
        </w:rPr>
        <w:t xml:space="preserve"> dependant on within which of the zones the proposed activity is located.</w:t>
      </w:r>
    </w:p>
    <w:p w:rsidR="000E7F49" w:rsidRPr="000C2EBB" w:rsidRDefault="009A57AA" w:rsidP="00496741">
      <w:pPr>
        <w:spacing w:after="0"/>
        <w:rPr>
          <w:color w:val="000000" w:themeColor="text1"/>
          <w:szCs w:val="22"/>
        </w:rPr>
      </w:pPr>
      <w:r w:rsidRPr="000C2EBB">
        <w:rPr>
          <w:color w:val="000000" w:themeColor="text1"/>
          <w:szCs w:val="22"/>
        </w:rPr>
        <w:t>TFL</w:t>
      </w:r>
      <w:r w:rsidR="00B23B4C">
        <w:rPr>
          <w:color w:val="000000" w:themeColor="text1"/>
          <w:szCs w:val="22"/>
        </w:rPr>
        <w:t> </w:t>
      </w:r>
      <w:r w:rsidRPr="000C2EBB">
        <w:rPr>
          <w:color w:val="000000" w:themeColor="text1"/>
          <w:szCs w:val="22"/>
        </w:rPr>
        <w:t>48 falls within Consultation Area</w:t>
      </w:r>
      <w:r w:rsidR="007B072F">
        <w:rPr>
          <w:color w:val="000000" w:themeColor="text1"/>
          <w:szCs w:val="22"/>
        </w:rPr>
        <w:t> </w:t>
      </w:r>
      <w:r w:rsidRPr="000C2EBB">
        <w:rPr>
          <w:color w:val="000000" w:themeColor="text1"/>
          <w:szCs w:val="22"/>
        </w:rPr>
        <w:t>B</w:t>
      </w:r>
      <w:r w:rsidR="000B5813" w:rsidRPr="000C2EBB">
        <w:rPr>
          <w:color w:val="000000" w:themeColor="text1"/>
          <w:szCs w:val="22"/>
        </w:rPr>
        <w:t xml:space="preserve"> </w:t>
      </w:r>
      <w:r w:rsidR="00496741" w:rsidRPr="000C2EBB">
        <w:rPr>
          <w:color w:val="000000" w:themeColor="text1"/>
          <w:szCs w:val="22"/>
        </w:rPr>
        <w:t xml:space="preserve">and the consultation level in that area is </w:t>
      </w:r>
      <w:r w:rsidR="006039C5" w:rsidRPr="000C2EBB">
        <w:rPr>
          <w:color w:val="000000" w:themeColor="text1"/>
          <w:szCs w:val="22"/>
        </w:rPr>
        <w:t xml:space="preserve">the </w:t>
      </w:r>
      <w:r w:rsidR="00866BF7">
        <w:rPr>
          <w:color w:val="000000" w:themeColor="text1"/>
          <w:szCs w:val="22"/>
        </w:rPr>
        <w:t>‘</w:t>
      </w:r>
      <w:r w:rsidR="006039C5" w:rsidRPr="000C2EBB">
        <w:rPr>
          <w:color w:val="000000" w:themeColor="text1"/>
          <w:szCs w:val="22"/>
        </w:rPr>
        <w:t>notification</w:t>
      </w:r>
      <w:r w:rsidR="00866BF7">
        <w:rPr>
          <w:color w:val="000000" w:themeColor="text1"/>
          <w:szCs w:val="22"/>
        </w:rPr>
        <w:t>’</w:t>
      </w:r>
      <w:r w:rsidR="006039C5" w:rsidRPr="000C2EBB">
        <w:rPr>
          <w:color w:val="000000" w:themeColor="text1"/>
          <w:szCs w:val="22"/>
        </w:rPr>
        <w:t xml:space="preserve"> level of the consultation spectrum as outlined by the Supreme Court of Canada </w:t>
      </w:r>
      <w:proofErr w:type="spellStart"/>
      <w:r w:rsidR="006039C5" w:rsidRPr="000C2EBB">
        <w:rPr>
          <w:color w:val="000000" w:themeColor="text1"/>
          <w:szCs w:val="22"/>
        </w:rPr>
        <w:t>Haida</w:t>
      </w:r>
      <w:proofErr w:type="spellEnd"/>
      <w:r w:rsidR="006039C5" w:rsidRPr="000C2EBB">
        <w:rPr>
          <w:color w:val="000000" w:themeColor="text1"/>
          <w:szCs w:val="22"/>
        </w:rPr>
        <w:t xml:space="preserve"> decision</w:t>
      </w:r>
      <w:r w:rsidR="002B31CF" w:rsidRPr="000C2EBB">
        <w:rPr>
          <w:color w:val="000000" w:themeColor="text1"/>
          <w:szCs w:val="22"/>
        </w:rPr>
        <w:t>.</w:t>
      </w:r>
    </w:p>
    <w:p w:rsidR="00C347BB" w:rsidRPr="000C2EBB" w:rsidRDefault="000E7F49" w:rsidP="00496741">
      <w:pPr>
        <w:spacing w:after="0"/>
        <w:rPr>
          <w:color w:val="000000" w:themeColor="text1"/>
          <w:szCs w:val="22"/>
        </w:rPr>
      </w:pPr>
      <w:r w:rsidRPr="000C2EBB">
        <w:rPr>
          <w:color w:val="000000" w:themeColor="text1"/>
          <w:szCs w:val="22"/>
        </w:rPr>
        <w:t xml:space="preserve">On August 5, 2015, FLNR operations staff notified the Blueberry River First Nations of the pending AAC determination </w:t>
      </w:r>
      <w:r w:rsidR="0079254B" w:rsidRPr="000C2EBB">
        <w:rPr>
          <w:color w:val="000000" w:themeColor="text1"/>
          <w:szCs w:val="22"/>
        </w:rPr>
        <w:t xml:space="preserve">and the decision regarding </w:t>
      </w:r>
      <w:r w:rsidRPr="000C2EBB">
        <w:rPr>
          <w:color w:val="000000" w:themeColor="text1"/>
          <w:szCs w:val="22"/>
        </w:rPr>
        <w:t>Management Plan</w:t>
      </w:r>
      <w:r w:rsidR="00B23B4C">
        <w:rPr>
          <w:color w:val="000000" w:themeColor="text1"/>
          <w:szCs w:val="22"/>
        </w:rPr>
        <w:t> </w:t>
      </w:r>
      <w:r w:rsidRPr="000C2EBB">
        <w:rPr>
          <w:color w:val="000000" w:themeColor="text1"/>
          <w:szCs w:val="22"/>
        </w:rPr>
        <w:t>5 for TFL</w:t>
      </w:r>
      <w:r w:rsidR="007B072F">
        <w:rPr>
          <w:color w:val="000000" w:themeColor="text1"/>
          <w:szCs w:val="22"/>
        </w:rPr>
        <w:t> </w:t>
      </w:r>
      <w:r w:rsidRPr="000C2EBB">
        <w:rPr>
          <w:color w:val="000000" w:themeColor="text1"/>
          <w:szCs w:val="22"/>
        </w:rPr>
        <w:t>48.</w:t>
      </w:r>
      <w:r w:rsidR="0079254B" w:rsidRPr="000C2EBB">
        <w:rPr>
          <w:color w:val="000000" w:themeColor="text1"/>
          <w:szCs w:val="22"/>
        </w:rPr>
        <w:t xml:space="preserve">  Draft </w:t>
      </w:r>
      <w:r w:rsidR="006039C5" w:rsidRPr="000C2EBB">
        <w:rPr>
          <w:color w:val="000000" w:themeColor="text1"/>
          <w:szCs w:val="22"/>
        </w:rPr>
        <w:t xml:space="preserve">Management </w:t>
      </w:r>
      <w:r w:rsidR="0079254B" w:rsidRPr="000C2EBB">
        <w:rPr>
          <w:color w:val="000000" w:themeColor="text1"/>
          <w:szCs w:val="22"/>
        </w:rPr>
        <w:t>Plan 5, including the Data Package and Timber Supply Analysis, were appended to the letter.  In the letter, FLNR staff asked the Blueberry River First Nations to provide input on how the draft Management Plan</w:t>
      </w:r>
      <w:r w:rsidR="00B23B4C">
        <w:rPr>
          <w:color w:val="000000" w:themeColor="text1"/>
          <w:szCs w:val="22"/>
        </w:rPr>
        <w:t> </w:t>
      </w:r>
      <w:r w:rsidR="0079254B" w:rsidRPr="000C2EBB">
        <w:rPr>
          <w:color w:val="000000" w:themeColor="text1"/>
          <w:szCs w:val="22"/>
        </w:rPr>
        <w:t>5 for TFL 48 and the assumptions in the timber supply analysis may impact the First Nation’s Treaty</w:t>
      </w:r>
      <w:r w:rsidR="007B072F">
        <w:rPr>
          <w:color w:val="000000" w:themeColor="text1"/>
          <w:szCs w:val="22"/>
        </w:rPr>
        <w:t> </w:t>
      </w:r>
      <w:r w:rsidR="0079254B" w:rsidRPr="000C2EBB">
        <w:rPr>
          <w:color w:val="000000" w:themeColor="text1"/>
          <w:szCs w:val="22"/>
        </w:rPr>
        <w:t>8 rights</w:t>
      </w:r>
      <w:r w:rsidR="00031043" w:rsidRPr="000C2EBB">
        <w:rPr>
          <w:color w:val="000000" w:themeColor="text1"/>
          <w:szCs w:val="22"/>
        </w:rPr>
        <w:t>.</w:t>
      </w:r>
      <w:r w:rsidR="0079254B" w:rsidRPr="000C2EBB">
        <w:rPr>
          <w:color w:val="000000" w:themeColor="text1"/>
          <w:szCs w:val="22"/>
        </w:rPr>
        <w:t xml:space="preserve">  The Blueberry River First Nations were </w:t>
      </w:r>
      <w:r w:rsidR="00D6397D" w:rsidRPr="000C2EBB">
        <w:rPr>
          <w:color w:val="000000" w:themeColor="text1"/>
          <w:szCs w:val="22"/>
        </w:rPr>
        <w:t>reminded that TFL 48 is located in Area B and that therefore the Province would consult at the notification level</w:t>
      </w:r>
      <w:r w:rsidR="00135BB1" w:rsidRPr="000C2EBB">
        <w:rPr>
          <w:color w:val="000000" w:themeColor="text1"/>
          <w:szCs w:val="22"/>
        </w:rPr>
        <w:t>.  They were asked</w:t>
      </w:r>
      <w:r w:rsidR="0079254B" w:rsidRPr="000C2EBB">
        <w:rPr>
          <w:color w:val="000000" w:themeColor="text1"/>
          <w:szCs w:val="22"/>
        </w:rPr>
        <w:t xml:space="preserve"> to provide input by September</w:t>
      </w:r>
      <w:r w:rsidR="007B072F">
        <w:rPr>
          <w:color w:val="000000" w:themeColor="text1"/>
          <w:szCs w:val="22"/>
        </w:rPr>
        <w:t> </w:t>
      </w:r>
      <w:r w:rsidR="0079254B" w:rsidRPr="000C2EBB">
        <w:rPr>
          <w:color w:val="000000" w:themeColor="text1"/>
          <w:szCs w:val="22"/>
        </w:rPr>
        <w:t>11, 2015.  On September</w:t>
      </w:r>
      <w:r w:rsidR="007B072F">
        <w:rPr>
          <w:color w:val="000000" w:themeColor="text1"/>
          <w:szCs w:val="22"/>
        </w:rPr>
        <w:t> </w:t>
      </w:r>
      <w:r w:rsidR="0079254B" w:rsidRPr="000C2EBB">
        <w:rPr>
          <w:color w:val="000000" w:themeColor="text1"/>
          <w:szCs w:val="22"/>
        </w:rPr>
        <w:t>1, 2015 FLNR operations staff sent the Blueberry River First Nations an e</w:t>
      </w:r>
      <w:r w:rsidR="00B23B4C">
        <w:rPr>
          <w:color w:val="000000" w:themeColor="text1"/>
          <w:szCs w:val="22"/>
        </w:rPr>
        <w:noBreakHyphen/>
      </w:r>
      <w:r w:rsidR="0079254B" w:rsidRPr="000C2EBB">
        <w:rPr>
          <w:color w:val="000000" w:themeColor="text1"/>
          <w:szCs w:val="22"/>
        </w:rPr>
        <w:t>mail reminding them of the pending decisions.</w:t>
      </w:r>
    </w:p>
    <w:p w:rsidR="005E6B9C" w:rsidRPr="000C2EBB" w:rsidRDefault="005E6B9C" w:rsidP="00496741">
      <w:pPr>
        <w:spacing w:after="0"/>
        <w:rPr>
          <w:color w:val="000000" w:themeColor="text1"/>
          <w:szCs w:val="22"/>
        </w:rPr>
      </w:pPr>
      <w:r w:rsidRPr="000C2EBB">
        <w:rPr>
          <w:rFonts w:cs="Arial"/>
          <w:color w:val="000000" w:themeColor="text1"/>
          <w:szCs w:val="22"/>
        </w:rPr>
        <w:t xml:space="preserve">The McLeod Lake Indian Band, </w:t>
      </w:r>
      <w:proofErr w:type="spellStart"/>
      <w:r w:rsidRPr="000C2EBB">
        <w:rPr>
          <w:rFonts w:cs="Arial"/>
          <w:color w:val="000000" w:themeColor="text1"/>
          <w:szCs w:val="22"/>
        </w:rPr>
        <w:t>Saulteau</w:t>
      </w:r>
      <w:proofErr w:type="spellEnd"/>
      <w:r w:rsidRPr="000C2EBB">
        <w:rPr>
          <w:rFonts w:cs="Arial"/>
          <w:color w:val="000000" w:themeColor="text1"/>
          <w:szCs w:val="22"/>
        </w:rPr>
        <w:t xml:space="preserve"> First Nations</w:t>
      </w:r>
      <w:r w:rsidR="00655BC4" w:rsidRPr="000C2EBB">
        <w:rPr>
          <w:rFonts w:cs="Arial"/>
          <w:color w:val="000000" w:themeColor="text1"/>
        </w:rPr>
        <w:t>, Blueberry River First Nations</w:t>
      </w:r>
      <w:r w:rsidRPr="000C2EBB">
        <w:rPr>
          <w:rFonts w:cs="Arial"/>
          <w:color w:val="000000" w:themeColor="text1"/>
        </w:rPr>
        <w:t xml:space="preserve"> and, as mentioned above, the </w:t>
      </w:r>
      <w:proofErr w:type="spellStart"/>
      <w:r w:rsidRPr="000C2EBB">
        <w:rPr>
          <w:rFonts w:cs="Arial"/>
          <w:color w:val="000000" w:themeColor="text1"/>
        </w:rPr>
        <w:t>Lheidli</w:t>
      </w:r>
      <w:r w:rsidRPr="000C2EBB">
        <w:rPr>
          <w:rFonts w:cs="Arial"/>
          <w:color w:val="000000" w:themeColor="text1"/>
        </w:rPr>
        <w:noBreakHyphen/>
        <w:t>T’enneh</w:t>
      </w:r>
      <w:proofErr w:type="spellEnd"/>
      <w:r w:rsidRPr="000C2EBB">
        <w:rPr>
          <w:rFonts w:cs="Arial"/>
          <w:color w:val="000000" w:themeColor="text1"/>
        </w:rPr>
        <w:t xml:space="preserve"> First Nation provided no input into this process.</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D826F8" w:rsidRPr="000C2EBB" w:rsidRDefault="00A22B70" w:rsidP="00AB79D3">
      <w:pPr>
        <w:rPr>
          <w:color w:val="000000" w:themeColor="text1"/>
        </w:rPr>
      </w:pPr>
      <w:r w:rsidRPr="000C2EBB">
        <w:rPr>
          <w:color w:val="000000" w:themeColor="text1"/>
        </w:rPr>
        <w:t xml:space="preserve">As described above under ‘wildlife habitat areas’, in </w:t>
      </w:r>
      <w:r w:rsidR="000C2EBB">
        <w:rPr>
          <w:color w:val="000000" w:themeColor="text1"/>
        </w:rPr>
        <w:t>their</w:t>
      </w:r>
      <w:r w:rsidR="000C2EBB" w:rsidRPr="000C2EBB">
        <w:rPr>
          <w:color w:val="000000" w:themeColor="text1"/>
        </w:rPr>
        <w:t xml:space="preserve"> </w:t>
      </w:r>
      <w:r w:rsidR="00D826F8" w:rsidRPr="000C2EBB">
        <w:rPr>
          <w:color w:val="000000" w:themeColor="text1"/>
        </w:rPr>
        <w:t>communication with Canfor, the West Moberly First Nation</w:t>
      </w:r>
      <w:r w:rsidR="00387F91" w:rsidRPr="000C2EBB">
        <w:rPr>
          <w:color w:val="000000" w:themeColor="text1"/>
        </w:rPr>
        <w:t>s</w:t>
      </w:r>
      <w:r w:rsidR="00D826F8" w:rsidRPr="000C2EBB">
        <w:rPr>
          <w:color w:val="000000" w:themeColor="text1"/>
        </w:rPr>
        <w:t xml:space="preserve"> expressed concern about the unresolved discussion </w:t>
      </w:r>
      <w:r w:rsidR="00282CCF" w:rsidRPr="000C2EBB">
        <w:rPr>
          <w:color w:val="000000" w:themeColor="text1"/>
        </w:rPr>
        <w:t>concerning</w:t>
      </w:r>
      <w:r w:rsidR="00655BC4" w:rsidRPr="000C2EBB">
        <w:rPr>
          <w:color w:val="000000" w:themeColor="text1"/>
        </w:rPr>
        <w:t xml:space="preserve"> </w:t>
      </w:r>
      <w:r w:rsidR="00D826F8" w:rsidRPr="000C2EBB">
        <w:rPr>
          <w:color w:val="000000" w:themeColor="text1"/>
        </w:rPr>
        <w:t xml:space="preserve">the </w:t>
      </w:r>
      <w:r w:rsidR="006365D4" w:rsidRPr="000C2EBB">
        <w:rPr>
          <w:color w:val="000000" w:themeColor="text1"/>
        </w:rPr>
        <w:t xml:space="preserve">draft </w:t>
      </w:r>
      <w:r w:rsidR="00866BF7">
        <w:rPr>
          <w:color w:val="000000" w:themeColor="text1"/>
        </w:rPr>
        <w:t>‘</w:t>
      </w:r>
      <w:r w:rsidR="006365D4" w:rsidRPr="000C2EBB">
        <w:rPr>
          <w:color w:val="000000" w:themeColor="text1"/>
        </w:rPr>
        <w:t xml:space="preserve">Action Plan for the </w:t>
      </w:r>
      <w:proofErr w:type="spellStart"/>
      <w:r w:rsidR="006365D4" w:rsidRPr="000C2EBB">
        <w:rPr>
          <w:color w:val="000000" w:themeColor="text1"/>
        </w:rPr>
        <w:t>Klinse</w:t>
      </w:r>
      <w:r w:rsidR="00B23B4C">
        <w:rPr>
          <w:color w:val="000000" w:themeColor="text1"/>
        </w:rPr>
        <w:noBreakHyphen/>
      </w:r>
      <w:r w:rsidR="006365D4" w:rsidRPr="000C2EBB">
        <w:rPr>
          <w:color w:val="000000" w:themeColor="text1"/>
        </w:rPr>
        <w:t>Za</w:t>
      </w:r>
      <w:proofErr w:type="spellEnd"/>
      <w:r w:rsidR="006365D4" w:rsidRPr="000C2EBB">
        <w:rPr>
          <w:color w:val="000000" w:themeColor="text1"/>
        </w:rPr>
        <w:t xml:space="preserve"> Herd of Woodland Caribou (</w:t>
      </w:r>
      <w:r w:rsidR="006365D4" w:rsidRPr="000C2EBB">
        <w:rPr>
          <w:i/>
          <w:color w:val="000000" w:themeColor="text1"/>
        </w:rPr>
        <w:t xml:space="preserve">Rangifer </w:t>
      </w:r>
      <w:proofErr w:type="spellStart"/>
      <w:r w:rsidR="006365D4" w:rsidRPr="000C2EBB">
        <w:rPr>
          <w:i/>
          <w:color w:val="000000" w:themeColor="text1"/>
        </w:rPr>
        <w:t>tarandus</w:t>
      </w:r>
      <w:proofErr w:type="spellEnd"/>
      <w:r w:rsidR="006365D4" w:rsidRPr="000C2EBB">
        <w:rPr>
          <w:color w:val="000000" w:themeColor="text1"/>
        </w:rPr>
        <w:t xml:space="preserve"> </w:t>
      </w:r>
      <w:r w:rsidR="006365D4" w:rsidRPr="000C2EBB">
        <w:rPr>
          <w:i/>
          <w:color w:val="000000" w:themeColor="text1"/>
        </w:rPr>
        <w:t>caribou</w:t>
      </w:r>
      <w:r w:rsidR="006365D4" w:rsidRPr="000C2EBB">
        <w:rPr>
          <w:color w:val="000000" w:themeColor="text1"/>
        </w:rPr>
        <w:t>) in Canada</w:t>
      </w:r>
      <w:r w:rsidR="00866BF7">
        <w:rPr>
          <w:color w:val="000000" w:themeColor="text1"/>
        </w:rPr>
        <w:t>’</w:t>
      </w:r>
      <w:r w:rsidR="00D826F8" w:rsidRPr="000C2EBB">
        <w:rPr>
          <w:color w:val="000000" w:themeColor="text1"/>
        </w:rPr>
        <w:t xml:space="preserve"> as well as the impact of cumulative effects on the landscape.</w:t>
      </w:r>
    </w:p>
    <w:p w:rsidR="0096388C" w:rsidRPr="000C2EBB" w:rsidRDefault="00C56D89" w:rsidP="00AB79D3">
      <w:pPr>
        <w:rPr>
          <w:color w:val="000000" w:themeColor="text1"/>
        </w:rPr>
      </w:pPr>
      <w:r w:rsidRPr="000C2EBB">
        <w:rPr>
          <w:color w:val="000000" w:themeColor="text1"/>
        </w:rPr>
        <w:t xml:space="preserve">Following the official end of the consultation period in April, 2014, the West Moberly First Nations continued to express concerns over the pending AAC determination at FRRMA Board meetings.  </w:t>
      </w:r>
      <w:r w:rsidR="0096388C" w:rsidRPr="000C2EBB">
        <w:rPr>
          <w:color w:val="000000" w:themeColor="text1"/>
        </w:rPr>
        <w:t xml:space="preserve">At a FRRMA Board meeting in January, 2015 </w:t>
      </w:r>
      <w:r w:rsidRPr="000C2EBB">
        <w:rPr>
          <w:color w:val="000000" w:themeColor="text1"/>
        </w:rPr>
        <w:t xml:space="preserve">FLNR </w:t>
      </w:r>
      <w:r w:rsidR="0096388C" w:rsidRPr="000C2EBB">
        <w:rPr>
          <w:color w:val="000000" w:themeColor="text1"/>
        </w:rPr>
        <w:t xml:space="preserve">resource management </w:t>
      </w:r>
      <w:r w:rsidRPr="000C2EBB">
        <w:rPr>
          <w:color w:val="000000" w:themeColor="text1"/>
        </w:rPr>
        <w:t xml:space="preserve">staff </w:t>
      </w:r>
      <w:r w:rsidR="0096388C" w:rsidRPr="000C2EBB">
        <w:rPr>
          <w:color w:val="000000" w:themeColor="text1"/>
        </w:rPr>
        <w:t xml:space="preserve">provided a </w:t>
      </w:r>
      <w:r w:rsidRPr="000C2EBB">
        <w:rPr>
          <w:color w:val="000000" w:themeColor="text1"/>
        </w:rPr>
        <w:t xml:space="preserve">presentation on the </w:t>
      </w:r>
      <w:r w:rsidR="0096388C" w:rsidRPr="001907D3">
        <w:rPr>
          <w:i/>
          <w:color w:val="000000" w:themeColor="text1"/>
        </w:rPr>
        <w:t xml:space="preserve">Government </w:t>
      </w:r>
      <w:r w:rsidRPr="001907D3">
        <w:rPr>
          <w:i/>
          <w:color w:val="000000" w:themeColor="text1"/>
        </w:rPr>
        <w:t>A</w:t>
      </w:r>
      <w:r w:rsidR="0096388C" w:rsidRPr="001907D3">
        <w:rPr>
          <w:i/>
          <w:color w:val="000000" w:themeColor="text1"/>
        </w:rPr>
        <w:t xml:space="preserve">ctions </w:t>
      </w:r>
      <w:r w:rsidRPr="001907D3">
        <w:rPr>
          <w:i/>
          <w:color w:val="000000" w:themeColor="text1"/>
        </w:rPr>
        <w:t>R</w:t>
      </w:r>
      <w:r w:rsidR="0096388C" w:rsidRPr="001907D3">
        <w:rPr>
          <w:i/>
          <w:color w:val="000000" w:themeColor="text1"/>
        </w:rPr>
        <w:t>egulation</w:t>
      </w:r>
      <w:r w:rsidRPr="000C2EBB">
        <w:rPr>
          <w:color w:val="000000" w:themeColor="text1"/>
        </w:rPr>
        <w:t xml:space="preserve"> process and other legislative mechanisms in place for protection of wildlife and wildlife habitat</w:t>
      </w:r>
      <w:r w:rsidR="0096388C" w:rsidRPr="000C2EBB">
        <w:rPr>
          <w:color w:val="000000" w:themeColor="text1"/>
        </w:rPr>
        <w:t>.</w:t>
      </w:r>
    </w:p>
    <w:p w:rsidR="00C56D89" w:rsidRPr="000C2EBB" w:rsidRDefault="0096388C" w:rsidP="00AB79D3">
      <w:pPr>
        <w:rPr>
          <w:color w:val="000000" w:themeColor="text1"/>
        </w:rPr>
      </w:pPr>
      <w:r w:rsidRPr="000C2EBB">
        <w:rPr>
          <w:color w:val="000000" w:themeColor="text1"/>
        </w:rPr>
        <w:t xml:space="preserve">In March, 2015 FLNR operations staff sent the FRRMA Board a letter summarizing the consultation process and listing the three major concerns that had been expressed </w:t>
      </w:r>
      <w:r w:rsidR="00423D42" w:rsidRPr="000C2EBB">
        <w:rPr>
          <w:color w:val="000000" w:themeColor="text1"/>
        </w:rPr>
        <w:t xml:space="preserve">by the West Moberly First Nations </w:t>
      </w:r>
      <w:r w:rsidRPr="000C2EBB">
        <w:rPr>
          <w:color w:val="000000" w:themeColor="text1"/>
        </w:rPr>
        <w:t xml:space="preserve">concerning this AAC determination.  These were </w:t>
      </w:r>
      <w:r w:rsidR="00AA27AC" w:rsidRPr="000C2EBB">
        <w:rPr>
          <w:color w:val="000000" w:themeColor="text1"/>
        </w:rPr>
        <w:t xml:space="preserve">regarding </w:t>
      </w:r>
      <w:r w:rsidRPr="000C2EBB">
        <w:rPr>
          <w:color w:val="000000" w:themeColor="text1"/>
        </w:rPr>
        <w:t>the adequacy of planning for caribou, the harvest level proposed by Canfor and the effect harvesting of beetle</w:t>
      </w:r>
      <w:r w:rsidR="00B23B4C">
        <w:rPr>
          <w:color w:val="000000" w:themeColor="text1"/>
        </w:rPr>
        <w:noBreakHyphen/>
      </w:r>
      <w:r w:rsidRPr="000C2EBB">
        <w:rPr>
          <w:color w:val="000000" w:themeColor="text1"/>
        </w:rPr>
        <w:t xml:space="preserve">killed pine stands would have on the remaining live spruce and aspen stands, and that in the West Moberly First Nation’s opinion there </w:t>
      </w:r>
      <w:r w:rsidR="00423D42" w:rsidRPr="000C2EBB">
        <w:rPr>
          <w:color w:val="000000" w:themeColor="text1"/>
        </w:rPr>
        <w:t>had not been consultation on the management plan.</w:t>
      </w:r>
    </w:p>
    <w:p w:rsidR="00AA27AC" w:rsidRPr="000C2EBB" w:rsidRDefault="00AA27AC" w:rsidP="00AB79D3">
      <w:pPr>
        <w:rPr>
          <w:color w:val="000000" w:themeColor="text1"/>
        </w:rPr>
      </w:pPr>
      <w:r w:rsidRPr="000C2EBB">
        <w:rPr>
          <w:color w:val="000000" w:themeColor="text1"/>
        </w:rPr>
        <w:t xml:space="preserve">Finally, </w:t>
      </w:r>
      <w:r w:rsidR="00C8168E" w:rsidRPr="000C2EBB">
        <w:rPr>
          <w:color w:val="000000" w:themeColor="text1"/>
        </w:rPr>
        <w:t xml:space="preserve">at </w:t>
      </w:r>
      <w:r w:rsidRPr="000C2EBB">
        <w:rPr>
          <w:color w:val="000000" w:themeColor="text1"/>
        </w:rPr>
        <w:t>the April</w:t>
      </w:r>
      <w:r w:rsidR="007B072F">
        <w:rPr>
          <w:color w:val="000000" w:themeColor="text1"/>
        </w:rPr>
        <w:t> </w:t>
      </w:r>
      <w:r w:rsidRPr="000C2EBB">
        <w:rPr>
          <w:color w:val="000000" w:themeColor="text1"/>
        </w:rPr>
        <w:t xml:space="preserve">2015 FRRMA Board meeting the West Moberly First Nations again expressed concern over caribou </w:t>
      </w:r>
      <w:r w:rsidR="00E01C87" w:rsidRPr="000C2EBB">
        <w:rPr>
          <w:color w:val="000000" w:themeColor="text1"/>
        </w:rPr>
        <w:t xml:space="preserve">management and harvesting of </w:t>
      </w:r>
      <w:r w:rsidR="00866BF7">
        <w:rPr>
          <w:color w:val="000000" w:themeColor="text1"/>
        </w:rPr>
        <w:t>‘</w:t>
      </w:r>
      <w:r w:rsidRPr="000C2EBB">
        <w:rPr>
          <w:color w:val="000000" w:themeColor="text1"/>
        </w:rPr>
        <w:t>beetle</w:t>
      </w:r>
      <w:r w:rsidR="00B23B4C">
        <w:rPr>
          <w:color w:val="000000" w:themeColor="text1"/>
        </w:rPr>
        <w:noBreakHyphen/>
      </w:r>
      <w:r w:rsidRPr="000C2EBB">
        <w:rPr>
          <w:color w:val="000000" w:themeColor="text1"/>
        </w:rPr>
        <w:t>killed</w:t>
      </w:r>
      <w:r w:rsidR="00866BF7">
        <w:rPr>
          <w:color w:val="000000" w:themeColor="text1"/>
        </w:rPr>
        <w:t>’</w:t>
      </w:r>
      <w:r w:rsidRPr="000C2EBB">
        <w:rPr>
          <w:color w:val="000000" w:themeColor="text1"/>
        </w:rPr>
        <w:t xml:space="preserve"> wood</w:t>
      </w:r>
      <w:r w:rsidR="00E01C87" w:rsidRPr="000C2EBB">
        <w:rPr>
          <w:color w:val="000000" w:themeColor="text1"/>
        </w:rPr>
        <w:t xml:space="preserve">.  They indicated they have not had any substantive resolution with any of this with </w:t>
      </w:r>
      <w:r w:rsidRPr="000C2EBB">
        <w:rPr>
          <w:color w:val="000000" w:themeColor="text1"/>
        </w:rPr>
        <w:t>Canfor</w:t>
      </w:r>
      <w:r w:rsidR="00E01C87" w:rsidRPr="000C2EBB">
        <w:rPr>
          <w:color w:val="000000" w:themeColor="text1"/>
        </w:rPr>
        <w:t xml:space="preserve"> and that they</w:t>
      </w:r>
      <w:r w:rsidRPr="000C2EBB">
        <w:rPr>
          <w:color w:val="000000" w:themeColor="text1"/>
        </w:rPr>
        <w:t xml:space="preserve"> are having discussions </w:t>
      </w:r>
      <w:r w:rsidR="00E01C87" w:rsidRPr="000C2EBB">
        <w:rPr>
          <w:color w:val="000000" w:themeColor="text1"/>
        </w:rPr>
        <w:t>with the Province but it is premature to make a decision.</w:t>
      </w:r>
    </w:p>
    <w:p w:rsidR="00EF5E04" w:rsidRPr="000C2EBB" w:rsidRDefault="00A83C98" w:rsidP="00EF5E04">
      <w:pPr>
        <w:pStyle w:val="BodyText"/>
        <w:overflowPunct/>
        <w:autoSpaceDE/>
        <w:autoSpaceDN/>
        <w:adjustRightInd/>
        <w:spacing w:before="0" w:after="120"/>
        <w:textAlignment w:val="auto"/>
        <w:rPr>
          <w:color w:val="000000" w:themeColor="text1"/>
        </w:rPr>
      </w:pPr>
      <w:r w:rsidRPr="000C2EBB">
        <w:rPr>
          <w:rFonts w:cs="Arial"/>
          <w:color w:val="000000" w:themeColor="text1"/>
        </w:rPr>
        <w:t xml:space="preserve">The Halfway River First Nation participated in the consultation process, indicating that </w:t>
      </w:r>
      <w:r w:rsidR="00EF5E04" w:rsidRPr="000C2EBB">
        <w:rPr>
          <w:rFonts w:cs="Arial"/>
          <w:color w:val="000000" w:themeColor="text1"/>
        </w:rPr>
        <w:t>the</w:t>
      </w:r>
      <w:r w:rsidR="00282CCF" w:rsidRPr="000C2EBB">
        <w:rPr>
          <w:rFonts w:cs="Arial"/>
          <w:color w:val="000000" w:themeColor="text1"/>
        </w:rPr>
        <w:t xml:space="preserve">y are mostly </w:t>
      </w:r>
      <w:r w:rsidR="00EF5E04" w:rsidRPr="000C2EBB">
        <w:rPr>
          <w:rFonts w:cs="Arial"/>
          <w:color w:val="000000" w:themeColor="text1"/>
        </w:rPr>
        <w:t>concern</w:t>
      </w:r>
      <w:r w:rsidR="00282CCF" w:rsidRPr="000C2EBB">
        <w:rPr>
          <w:rFonts w:cs="Arial"/>
          <w:color w:val="000000" w:themeColor="text1"/>
        </w:rPr>
        <w:t>ed about</w:t>
      </w:r>
      <w:r w:rsidR="00EF5E04" w:rsidRPr="000C2EBB">
        <w:rPr>
          <w:rFonts w:cs="Arial"/>
          <w:color w:val="000000" w:themeColor="text1"/>
        </w:rPr>
        <w:t xml:space="preserve"> the area around Dunleavy/Butler Ridge</w:t>
      </w:r>
      <w:r w:rsidRPr="000C2EBB">
        <w:rPr>
          <w:rFonts w:cs="Arial"/>
          <w:color w:val="000000" w:themeColor="text1"/>
        </w:rPr>
        <w:t xml:space="preserve"> </w:t>
      </w:r>
      <w:r w:rsidR="00EF5E04" w:rsidRPr="000C2EBB">
        <w:rPr>
          <w:rFonts w:cs="Arial"/>
          <w:color w:val="000000" w:themeColor="text1"/>
        </w:rPr>
        <w:t xml:space="preserve">in the most northerly block of the TFL.  They noted </w:t>
      </w:r>
      <w:r w:rsidR="00056AD9" w:rsidRPr="000C2EBB">
        <w:rPr>
          <w:rFonts w:cs="Arial"/>
          <w:color w:val="000000" w:themeColor="text1"/>
        </w:rPr>
        <w:t>the analysis</w:t>
      </w:r>
      <w:r w:rsidR="00EF5E04" w:rsidRPr="000C2EBB">
        <w:rPr>
          <w:rFonts w:cs="Arial"/>
          <w:color w:val="000000" w:themeColor="text1"/>
        </w:rPr>
        <w:t xml:space="preserve"> includes no specific First Nations consideration</w:t>
      </w:r>
      <w:r w:rsidR="00056AD9" w:rsidRPr="000C2EBB">
        <w:rPr>
          <w:rFonts w:cs="Arial"/>
          <w:color w:val="000000" w:themeColor="text1"/>
        </w:rPr>
        <w:t xml:space="preserve"> </w:t>
      </w:r>
      <w:r w:rsidR="00EF5E04" w:rsidRPr="000C2EBB">
        <w:rPr>
          <w:rFonts w:cs="Arial"/>
          <w:color w:val="000000" w:themeColor="text1"/>
        </w:rPr>
        <w:t xml:space="preserve">other than </w:t>
      </w:r>
      <w:r w:rsidR="00056AD9" w:rsidRPr="000C2EBB">
        <w:rPr>
          <w:rFonts w:cs="Arial"/>
          <w:color w:val="000000" w:themeColor="text1"/>
        </w:rPr>
        <w:t>c</w:t>
      </w:r>
      <w:r w:rsidR="00EF5E04" w:rsidRPr="000C2EBB">
        <w:rPr>
          <w:rFonts w:cs="Arial"/>
          <w:color w:val="000000" w:themeColor="text1"/>
        </w:rPr>
        <w:t>aribou in the Dunleavy area (Dunleavy S</w:t>
      </w:r>
      <w:r w:rsidR="00E01C87" w:rsidRPr="000C2EBB">
        <w:rPr>
          <w:rFonts w:cs="Arial"/>
          <w:color w:val="000000" w:themeColor="text1"/>
        </w:rPr>
        <w:t xml:space="preserve">pecial </w:t>
      </w:r>
      <w:r w:rsidR="00EF5E04" w:rsidRPr="000C2EBB">
        <w:rPr>
          <w:rFonts w:cs="Arial"/>
          <w:color w:val="000000" w:themeColor="text1"/>
        </w:rPr>
        <w:t>M</w:t>
      </w:r>
      <w:r w:rsidR="00E01C87" w:rsidRPr="000C2EBB">
        <w:rPr>
          <w:rFonts w:cs="Arial"/>
          <w:color w:val="000000" w:themeColor="text1"/>
        </w:rPr>
        <w:t xml:space="preserve">anagement </w:t>
      </w:r>
      <w:r w:rsidR="00EF5E04" w:rsidRPr="000C2EBB">
        <w:rPr>
          <w:rFonts w:cs="Arial"/>
          <w:color w:val="000000" w:themeColor="text1"/>
        </w:rPr>
        <w:t>Z</w:t>
      </w:r>
      <w:r w:rsidR="00E01C87" w:rsidRPr="000C2EBB">
        <w:rPr>
          <w:rFonts w:cs="Arial"/>
          <w:color w:val="000000" w:themeColor="text1"/>
        </w:rPr>
        <w:t>one</w:t>
      </w:r>
      <w:r w:rsidR="00EF5E04" w:rsidRPr="000C2EBB">
        <w:rPr>
          <w:rFonts w:cs="Arial"/>
          <w:color w:val="000000" w:themeColor="text1"/>
        </w:rPr>
        <w:t>).</w:t>
      </w:r>
      <w:r w:rsidR="00056AD9" w:rsidRPr="000C2EBB">
        <w:rPr>
          <w:rFonts w:cs="Arial"/>
          <w:color w:val="000000" w:themeColor="text1"/>
        </w:rPr>
        <w:t xml:space="preserve">  </w:t>
      </w:r>
      <w:r w:rsidR="00EF5E04" w:rsidRPr="000C2EBB">
        <w:rPr>
          <w:color w:val="000000" w:themeColor="text1"/>
        </w:rPr>
        <w:t>They also noted that cultural heritage sites accounte</w:t>
      </w:r>
      <w:r w:rsidR="00056AD9" w:rsidRPr="000C2EBB">
        <w:rPr>
          <w:color w:val="000000" w:themeColor="text1"/>
        </w:rPr>
        <w:t>d for in the analysis are only those p</w:t>
      </w:r>
      <w:r w:rsidR="00EF5E04" w:rsidRPr="000C2EBB">
        <w:rPr>
          <w:color w:val="000000" w:themeColor="text1"/>
        </w:rPr>
        <w:t xml:space="preserve">rovided by the Archaeology </w:t>
      </w:r>
      <w:proofErr w:type="gramStart"/>
      <w:r w:rsidR="00EF5E04" w:rsidRPr="000C2EBB">
        <w:rPr>
          <w:color w:val="000000" w:themeColor="text1"/>
        </w:rPr>
        <w:t>Branch,</w:t>
      </w:r>
      <w:proofErr w:type="gramEnd"/>
      <w:r w:rsidR="00EF5E04" w:rsidRPr="000C2EBB">
        <w:rPr>
          <w:color w:val="000000" w:themeColor="text1"/>
        </w:rPr>
        <w:t xml:space="preserve"> and that they are not specific to First Nations.</w:t>
      </w:r>
      <w:r w:rsidR="00056AD9" w:rsidRPr="000C2EBB">
        <w:rPr>
          <w:color w:val="000000" w:themeColor="text1"/>
        </w:rPr>
        <w:t xml:space="preserve">  The Halfwa</w:t>
      </w:r>
      <w:r w:rsidR="00EF5E04" w:rsidRPr="000C2EBB">
        <w:rPr>
          <w:color w:val="000000" w:themeColor="text1"/>
        </w:rPr>
        <w:t xml:space="preserve">y River First Nation </w:t>
      </w:r>
      <w:r w:rsidR="00056AD9" w:rsidRPr="000C2EBB">
        <w:rPr>
          <w:color w:val="000000" w:themeColor="text1"/>
        </w:rPr>
        <w:t xml:space="preserve">also </w:t>
      </w:r>
      <w:r w:rsidR="00EF5E04" w:rsidRPr="000C2EBB">
        <w:rPr>
          <w:color w:val="000000" w:themeColor="text1"/>
        </w:rPr>
        <w:t xml:space="preserve">requested that Canfor provide them with </w:t>
      </w:r>
      <w:r w:rsidR="00056AD9" w:rsidRPr="000C2EBB">
        <w:rPr>
          <w:color w:val="000000" w:themeColor="text1"/>
        </w:rPr>
        <w:t xml:space="preserve">operational information including </w:t>
      </w:r>
      <w:r w:rsidR="00EF5E04" w:rsidRPr="000C2EBB">
        <w:rPr>
          <w:color w:val="000000" w:themeColor="text1"/>
        </w:rPr>
        <w:t>plans for using pesticides in the area</w:t>
      </w:r>
      <w:r w:rsidR="00056AD9" w:rsidRPr="000C2EBB">
        <w:rPr>
          <w:color w:val="000000" w:themeColor="text1"/>
        </w:rPr>
        <w:t xml:space="preserve"> and </w:t>
      </w:r>
      <w:r w:rsidR="00EF5E04" w:rsidRPr="000C2EBB">
        <w:rPr>
          <w:color w:val="000000" w:themeColor="text1"/>
        </w:rPr>
        <w:t>specifically</w:t>
      </w:r>
      <w:r w:rsidR="00056AD9" w:rsidRPr="000C2EBB">
        <w:rPr>
          <w:color w:val="000000" w:themeColor="text1"/>
        </w:rPr>
        <w:t xml:space="preserve"> how</w:t>
      </w:r>
      <w:r w:rsidR="00EF5E04" w:rsidRPr="000C2EBB">
        <w:rPr>
          <w:color w:val="000000" w:themeColor="text1"/>
        </w:rPr>
        <w:t xml:space="preserve"> Canfor is going to protect or enhance First Nations interest in this area. </w:t>
      </w:r>
      <w:r w:rsidR="00387F91" w:rsidRPr="000C2EBB">
        <w:rPr>
          <w:color w:val="000000" w:themeColor="text1"/>
        </w:rPr>
        <w:t xml:space="preserve"> </w:t>
      </w:r>
      <w:r w:rsidR="00056AD9" w:rsidRPr="000C2EBB">
        <w:rPr>
          <w:color w:val="000000" w:themeColor="text1"/>
        </w:rPr>
        <w:t xml:space="preserve">The licensee responded to the request for operational information and noted </w:t>
      </w:r>
      <w:r w:rsidR="00EF5E04" w:rsidRPr="000C2EBB">
        <w:rPr>
          <w:color w:val="000000" w:themeColor="text1"/>
        </w:rPr>
        <w:t>that they would consider input from the Halfway River First Nation any time.</w:t>
      </w:r>
    </w:p>
    <w:p w:rsidR="00ED101B" w:rsidRPr="000C2EBB" w:rsidRDefault="00074514" w:rsidP="00ED101B">
      <w:pPr>
        <w:rPr>
          <w:rFonts w:cs="Arial"/>
          <w:color w:val="000000" w:themeColor="text1"/>
        </w:rPr>
      </w:pPr>
      <w:r w:rsidRPr="00074514">
        <w:rPr>
          <w:color w:val="000000" w:themeColor="text1"/>
        </w:rPr>
        <w:t>While the Blueberry River First Nations did not raise any specific concerns regarding the level of consultation employed or this A</w:t>
      </w:r>
      <w:r w:rsidR="00D627B9">
        <w:rPr>
          <w:color w:val="000000" w:themeColor="text1"/>
        </w:rPr>
        <w:t>A</w:t>
      </w:r>
      <w:r w:rsidRPr="00074514">
        <w:rPr>
          <w:color w:val="000000" w:themeColor="text1"/>
        </w:rPr>
        <w:t>C determination during the consultation period, I am aware that the Province has received input from this First Nation on other provincial referrals.  The Blueberry River First Nations have raised concern over the consultation process, and cumulative effects on Treaty</w:t>
      </w:r>
      <w:r>
        <w:rPr>
          <w:color w:val="000000" w:themeColor="text1"/>
        </w:rPr>
        <w:t> </w:t>
      </w:r>
      <w:r w:rsidRPr="00074514">
        <w:rPr>
          <w:color w:val="000000" w:themeColor="text1"/>
        </w:rPr>
        <w:t>8 rights.</w:t>
      </w:r>
    </w:p>
    <w:p w:rsidR="009A357F" w:rsidRPr="000C2EBB" w:rsidRDefault="009A357F" w:rsidP="00E01C87">
      <w:pPr>
        <w:pStyle w:val="BodyText"/>
        <w:overflowPunct/>
        <w:autoSpaceDE/>
        <w:autoSpaceDN/>
        <w:adjustRightInd/>
        <w:spacing w:before="0" w:after="120"/>
        <w:textAlignment w:val="auto"/>
        <w:rPr>
          <w:color w:val="000000" w:themeColor="text1"/>
        </w:rPr>
      </w:pPr>
      <w:r w:rsidRPr="000C2EBB">
        <w:rPr>
          <w:color w:val="000000" w:themeColor="text1"/>
        </w:rPr>
        <w:t>Regarding the West Moberly First Nation’s concern about caribou management</w:t>
      </w:r>
      <w:r w:rsidR="00B01B4D" w:rsidRPr="000C2EBB">
        <w:rPr>
          <w:color w:val="000000" w:themeColor="text1"/>
        </w:rPr>
        <w:t>, I discussed my conclusions regarding caribou management under the ‘wildlife habitat areas’ factor.</w:t>
      </w:r>
      <w:r w:rsidRPr="000C2EBB">
        <w:rPr>
          <w:color w:val="000000" w:themeColor="text1"/>
        </w:rPr>
        <w:t xml:space="preserve"> </w:t>
      </w:r>
      <w:r w:rsidR="00B01B4D" w:rsidRPr="000C2EBB">
        <w:rPr>
          <w:color w:val="000000" w:themeColor="text1"/>
        </w:rPr>
        <w:t xml:space="preserve"> </w:t>
      </w:r>
      <w:r w:rsidRPr="000C2EBB">
        <w:rPr>
          <w:color w:val="000000" w:themeColor="text1"/>
        </w:rPr>
        <w:t xml:space="preserve">I </w:t>
      </w:r>
      <w:r w:rsidR="00B01B4D" w:rsidRPr="000C2EBB">
        <w:rPr>
          <w:color w:val="000000" w:themeColor="text1"/>
        </w:rPr>
        <w:t xml:space="preserve">further </w:t>
      </w:r>
      <w:r w:rsidRPr="000C2EBB">
        <w:rPr>
          <w:color w:val="000000" w:themeColor="text1"/>
        </w:rPr>
        <w:t xml:space="preserve">note that while the Province does not endorse the draft </w:t>
      </w:r>
      <w:proofErr w:type="spellStart"/>
      <w:r w:rsidRPr="000C2EBB">
        <w:rPr>
          <w:color w:val="000000" w:themeColor="text1"/>
        </w:rPr>
        <w:t>Klinse</w:t>
      </w:r>
      <w:r w:rsidR="00B23B4C">
        <w:rPr>
          <w:color w:val="000000" w:themeColor="text1"/>
        </w:rPr>
        <w:noBreakHyphen/>
      </w:r>
      <w:r w:rsidRPr="000C2EBB">
        <w:rPr>
          <w:color w:val="000000" w:themeColor="text1"/>
        </w:rPr>
        <w:t>Za</w:t>
      </w:r>
      <w:proofErr w:type="spellEnd"/>
      <w:r w:rsidRPr="000C2EBB">
        <w:rPr>
          <w:color w:val="000000" w:themeColor="text1"/>
        </w:rPr>
        <w:t xml:space="preserve"> action plan, many aspects of this plan and the </w:t>
      </w:r>
      <w:r w:rsidR="00866BF7">
        <w:rPr>
          <w:color w:val="000000" w:themeColor="text1"/>
        </w:rPr>
        <w:t>‘</w:t>
      </w:r>
      <w:r w:rsidRPr="000C2EBB">
        <w:rPr>
          <w:color w:val="000000" w:themeColor="text1"/>
        </w:rPr>
        <w:t>Implementation Plan</w:t>
      </w:r>
      <w:r w:rsidR="00866BF7">
        <w:rPr>
          <w:color w:val="000000" w:themeColor="text1"/>
        </w:rPr>
        <w:t>’</w:t>
      </w:r>
      <w:r w:rsidRPr="000C2EBB">
        <w:rPr>
          <w:color w:val="000000" w:themeColor="text1"/>
        </w:rPr>
        <w:t xml:space="preserve"> prepared by the Province are similar.  I am encouraged that the West Moberly First Nations and the Province are continuing the dialogue about this issue.  I</w:t>
      </w:r>
      <w:r w:rsidR="007B072F">
        <w:rPr>
          <w:color w:val="000000" w:themeColor="text1"/>
        </w:rPr>
        <w:t> </w:t>
      </w:r>
      <w:r w:rsidRPr="000C2EBB">
        <w:rPr>
          <w:color w:val="000000" w:themeColor="text1"/>
        </w:rPr>
        <w:t>have accounted for current management of caribou in this determination.  If management practices for caribou change, the changes will be accounted for in future determinations.</w:t>
      </w:r>
    </w:p>
    <w:p w:rsidR="00A61F70" w:rsidRDefault="005A33A4" w:rsidP="00E01C87">
      <w:pPr>
        <w:pStyle w:val="BodyText"/>
        <w:overflowPunct/>
        <w:autoSpaceDE/>
        <w:autoSpaceDN/>
        <w:adjustRightInd/>
        <w:spacing w:before="0" w:after="120"/>
        <w:textAlignment w:val="auto"/>
        <w:rPr>
          <w:color w:val="000000" w:themeColor="text1"/>
        </w:rPr>
      </w:pPr>
      <w:r w:rsidRPr="000C2EBB">
        <w:rPr>
          <w:color w:val="000000" w:themeColor="text1"/>
        </w:rPr>
        <w:t>Regarding the salvage of beetle</w:t>
      </w:r>
      <w:r w:rsidR="00B23B4C">
        <w:rPr>
          <w:color w:val="000000" w:themeColor="text1"/>
        </w:rPr>
        <w:noBreakHyphen/>
      </w:r>
      <w:r w:rsidRPr="000C2EBB">
        <w:rPr>
          <w:color w:val="000000" w:themeColor="text1"/>
        </w:rPr>
        <w:t xml:space="preserve">killed pine, I have considered that the economic value of this resource will be lost if it is not harvested before it deteriorates and becomes </w:t>
      </w:r>
      <w:proofErr w:type="spellStart"/>
      <w:r w:rsidRPr="000C2EBB">
        <w:rPr>
          <w:color w:val="000000" w:themeColor="text1"/>
        </w:rPr>
        <w:t>unmerchantable</w:t>
      </w:r>
      <w:proofErr w:type="spellEnd"/>
      <w:r w:rsidRPr="000C2EBB">
        <w:rPr>
          <w:color w:val="000000" w:themeColor="text1"/>
        </w:rPr>
        <w:t xml:space="preserve">.  In addition, the harvested areas will be regenerated following harvest and a new forest will grow on </w:t>
      </w:r>
    </w:p>
    <w:p w:rsidR="00A61F70" w:rsidRDefault="00A61F70">
      <w:pPr>
        <w:overflowPunct/>
        <w:autoSpaceDE/>
        <w:autoSpaceDN/>
        <w:adjustRightInd/>
        <w:spacing w:before="0" w:after="0"/>
        <w:textAlignment w:val="auto"/>
        <w:rPr>
          <w:color w:val="000000" w:themeColor="text1"/>
          <w:lang w:val="en-US"/>
        </w:rPr>
      </w:pPr>
      <w:r>
        <w:rPr>
          <w:color w:val="000000" w:themeColor="text1"/>
        </w:rPr>
        <w:br w:type="page"/>
      </w:r>
    </w:p>
    <w:p w:rsidR="002471D6" w:rsidRPr="000C2EBB" w:rsidRDefault="005A33A4" w:rsidP="00E01C87">
      <w:pPr>
        <w:pStyle w:val="BodyText"/>
        <w:overflowPunct/>
        <w:autoSpaceDE/>
        <w:autoSpaceDN/>
        <w:adjustRightInd/>
        <w:spacing w:before="0" w:after="120"/>
        <w:textAlignment w:val="auto"/>
        <w:rPr>
          <w:color w:val="000000" w:themeColor="text1"/>
        </w:rPr>
      </w:pPr>
      <w:proofErr w:type="gramStart"/>
      <w:r w:rsidRPr="000C2EBB">
        <w:rPr>
          <w:color w:val="000000" w:themeColor="text1"/>
        </w:rPr>
        <w:t>these</w:t>
      </w:r>
      <w:proofErr w:type="gramEnd"/>
      <w:r w:rsidRPr="000C2EBB">
        <w:rPr>
          <w:color w:val="000000" w:themeColor="text1"/>
        </w:rPr>
        <w:t xml:space="preserve"> areas much sooner than if these stands were not harvested.  I have instructed the licensee to report on the amount of live and dead timber harvested annually to ensure Canfor concentrates its activities in stands with a high proportion of dead pine.  Finally, the increased AAC will be in place for five years after which the AAC will decline to what is essentially the long</w:t>
      </w:r>
      <w:r w:rsidR="00570916">
        <w:rPr>
          <w:color w:val="000000" w:themeColor="text1"/>
        </w:rPr>
        <w:noBreakHyphen/>
      </w:r>
      <w:r w:rsidRPr="000C2EBB">
        <w:rPr>
          <w:color w:val="000000" w:themeColor="text1"/>
        </w:rPr>
        <w:t>term harvest level for TFL</w:t>
      </w:r>
      <w:r w:rsidR="002C1769">
        <w:rPr>
          <w:color w:val="000000" w:themeColor="text1"/>
        </w:rPr>
        <w:t> </w:t>
      </w:r>
      <w:r w:rsidRPr="000C2EBB">
        <w:rPr>
          <w:color w:val="000000" w:themeColor="text1"/>
        </w:rPr>
        <w:t>48.</w:t>
      </w:r>
    </w:p>
    <w:p w:rsidR="00B01B4D" w:rsidRPr="000C2EBB" w:rsidRDefault="00B01B4D" w:rsidP="00E01C87">
      <w:pPr>
        <w:pStyle w:val="BodyText"/>
        <w:overflowPunct/>
        <w:autoSpaceDE/>
        <w:autoSpaceDN/>
        <w:adjustRightInd/>
        <w:spacing w:before="0" w:after="120"/>
        <w:textAlignment w:val="auto"/>
        <w:rPr>
          <w:color w:val="000000" w:themeColor="text1"/>
        </w:rPr>
      </w:pPr>
      <w:r w:rsidRPr="000C2EBB">
        <w:rPr>
          <w:color w:val="000000" w:themeColor="text1"/>
        </w:rPr>
        <w:t>Regarding The West Moberly First Nation’s concern about cumulative effects, I have discussed the current status of management for this topic</w:t>
      </w:r>
      <w:r w:rsidR="008510C8" w:rsidRPr="000C2EBB">
        <w:rPr>
          <w:color w:val="000000" w:themeColor="text1"/>
        </w:rPr>
        <w:t xml:space="preserve"> </w:t>
      </w:r>
      <w:r w:rsidRPr="000C2EBB">
        <w:rPr>
          <w:color w:val="000000" w:themeColor="text1"/>
        </w:rPr>
        <w:t>above, under ‘cumulative effects’.</w:t>
      </w:r>
    </w:p>
    <w:p w:rsidR="00E01C87" w:rsidRPr="00243C00" w:rsidRDefault="002471D6" w:rsidP="00E01C87">
      <w:pPr>
        <w:pStyle w:val="BodyText"/>
        <w:overflowPunct/>
        <w:autoSpaceDE/>
        <w:autoSpaceDN/>
        <w:adjustRightInd/>
        <w:spacing w:before="0" w:after="120"/>
        <w:textAlignment w:val="auto"/>
        <w:rPr>
          <w:rFonts w:cs="Arial"/>
          <w:color w:val="000000" w:themeColor="text1"/>
        </w:rPr>
      </w:pPr>
      <w:r w:rsidRPr="00243C00">
        <w:rPr>
          <w:color w:val="000000" w:themeColor="text1"/>
        </w:rPr>
        <w:t xml:space="preserve">I have also </w:t>
      </w:r>
      <w:r w:rsidR="00E01C87" w:rsidRPr="00243C00">
        <w:rPr>
          <w:color w:val="000000" w:themeColor="text1"/>
        </w:rPr>
        <w:t>considered the input from the Halfway River First Nation and the licensee’s response</w:t>
      </w:r>
      <w:r w:rsidRPr="00243C00">
        <w:rPr>
          <w:color w:val="000000" w:themeColor="text1"/>
        </w:rPr>
        <w:t xml:space="preserve">.  </w:t>
      </w:r>
      <w:r w:rsidR="00E01C87" w:rsidRPr="00243C00">
        <w:rPr>
          <w:color w:val="000000" w:themeColor="text1"/>
        </w:rPr>
        <w:t>I am aware that exclusions from the timber harvesting land base applied in the base case to account for various resource values may provide for a measure of protection of cultural heritage values in the absence of site</w:t>
      </w:r>
      <w:r w:rsidR="007B072F">
        <w:rPr>
          <w:color w:val="000000" w:themeColor="text1"/>
        </w:rPr>
        <w:noBreakHyphen/>
      </w:r>
      <w:r w:rsidR="00E01C87" w:rsidRPr="00243C00">
        <w:rPr>
          <w:color w:val="000000" w:themeColor="text1"/>
        </w:rPr>
        <w:t>specific information regarding these values at the current time.  I</w:t>
      </w:r>
      <w:r w:rsidR="002C1769">
        <w:rPr>
          <w:color w:val="000000" w:themeColor="text1"/>
        </w:rPr>
        <w:t> </w:t>
      </w:r>
      <w:r w:rsidR="00E01C87" w:rsidRPr="00243C00">
        <w:rPr>
          <w:color w:val="000000" w:themeColor="text1"/>
        </w:rPr>
        <w:t>am satisfied that the licensee is committed to working with the Halfway River</w:t>
      </w:r>
      <w:r w:rsidRPr="00243C00">
        <w:rPr>
          <w:color w:val="000000" w:themeColor="text1"/>
        </w:rPr>
        <w:t xml:space="preserve"> First Nation</w:t>
      </w:r>
      <w:r w:rsidR="00E01C87" w:rsidRPr="00243C00">
        <w:rPr>
          <w:color w:val="000000" w:themeColor="text1"/>
        </w:rPr>
        <w:t xml:space="preserve"> to share information and address site</w:t>
      </w:r>
      <w:r w:rsidR="002C1769">
        <w:rPr>
          <w:color w:val="000000" w:themeColor="text1"/>
        </w:rPr>
        <w:noBreakHyphen/>
      </w:r>
      <w:r w:rsidR="00E01C87" w:rsidRPr="00243C00">
        <w:rPr>
          <w:color w:val="000000" w:themeColor="text1"/>
        </w:rPr>
        <w:t>specific concerns operationally.</w:t>
      </w:r>
    </w:p>
    <w:p w:rsidR="00EB6182" w:rsidRPr="00243C00" w:rsidRDefault="000838B9" w:rsidP="00154EC7">
      <w:pPr>
        <w:rPr>
          <w:color w:val="000000" w:themeColor="text1"/>
          <w:lang w:val="en-US"/>
        </w:rPr>
      </w:pPr>
      <w:r w:rsidRPr="00243C00">
        <w:rPr>
          <w:color w:val="000000" w:themeColor="text1"/>
          <w:lang w:val="en-US"/>
        </w:rPr>
        <w:t>T</w:t>
      </w:r>
      <w:r w:rsidR="002471D6" w:rsidRPr="00243C00">
        <w:rPr>
          <w:color w:val="000000" w:themeColor="text1"/>
          <w:lang w:val="en-US"/>
        </w:rPr>
        <w:t xml:space="preserve">he Blueberry River </w:t>
      </w:r>
      <w:r w:rsidRPr="00243C00">
        <w:rPr>
          <w:color w:val="000000" w:themeColor="text1"/>
          <w:lang w:val="en-US"/>
        </w:rPr>
        <w:t>First N</w:t>
      </w:r>
      <w:r w:rsidR="002471D6" w:rsidRPr="00243C00">
        <w:rPr>
          <w:color w:val="000000" w:themeColor="text1"/>
          <w:lang w:val="en-US"/>
        </w:rPr>
        <w:t>ation</w:t>
      </w:r>
      <w:r w:rsidRPr="00243C00">
        <w:rPr>
          <w:color w:val="000000" w:themeColor="text1"/>
          <w:lang w:val="en-US"/>
        </w:rPr>
        <w:t>s</w:t>
      </w:r>
      <w:r w:rsidR="002471D6" w:rsidRPr="00243C00">
        <w:rPr>
          <w:color w:val="000000" w:themeColor="text1"/>
          <w:lang w:val="en-US"/>
        </w:rPr>
        <w:t xml:space="preserve"> </w:t>
      </w:r>
      <w:r w:rsidR="001A5B28" w:rsidRPr="00243C00">
        <w:rPr>
          <w:color w:val="000000" w:themeColor="text1"/>
          <w:lang w:val="en-US"/>
        </w:rPr>
        <w:t>are generally concerned about consultation processes and I</w:t>
      </w:r>
      <w:r w:rsidR="002C1769">
        <w:rPr>
          <w:color w:val="000000" w:themeColor="text1"/>
          <w:lang w:val="en-US"/>
        </w:rPr>
        <w:t> </w:t>
      </w:r>
      <w:r w:rsidR="001A5B28" w:rsidRPr="00243C00">
        <w:rPr>
          <w:color w:val="000000" w:themeColor="text1"/>
          <w:lang w:val="en-US"/>
        </w:rPr>
        <w:t>note that they were provided with the initial impact review conducted by operations staff</w:t>
      </w:r>
      <w:r w:rsidR="008510C8" w:rsidRPr="00243C00">
        <w:rPr>
          <w:color w:val="000000" w:themeColor="text1"/>
          <w:lang w:val="en-US"/>
        </w:rPr>
        <w:t>, as well as</w:t>
      </w:r>
      <w:r w:rsidR="001A5B28" w:rsidRPr="00243C00">
        <w:rPr>
          <w:color w:val="000000" w:themeColor="text1"/>
          <w:lang w:val="en-US"/>
        </w:rPr>
        <w:t xml:space="preserve"> </w:t>
      </w:r>
      <w:r w:rsidR="008510C8" w:rsidRPr="00243C00">
        <w:rPr>
          <w:color w:val="000000" w:themeColor="text1"/>
          <w:lang w:val="en-US"/>
        </w:rPr>
        <w:t xml:space="preserve">Draft </w:t>
      </w:r>
      <w:r w:rsidR="001A5B28" w:rsidRPr="00243C00">
        <w:rPr>
          <w:color w:val="000000" w:themeColor="text1"/>
          <w:lang w:val="en-US"/>
        </w:rPr>
        <w:t>Management Plan 5, the timber supply analysis and the data package.  They provided no comment regarding the content of these documents and did not suggest the level of consultation should exceed the ‘notification’ level.</w:t>
      </w:r>
    </w:p>
    <w:p w:rsidR="000838B9" w:rsidRPr="00243C00" w:rsidRDefault="001A5B28" w:rsidP="00154EC7">
      <w:pPr>
        <w:rPr>
          <w:color w:val="000000" w:themeColor="text1"/>
          <w:lang w:val="en-US"/>
        </w:rPr>
      </w:pPr>
      <w:r w:rsidRPr="00243C00">
        <w:rPr>
          <w:color w:val="000000" w:themeColor="text1"/>
          <w:lang w:val="en-US"/>
        </w:rPr>
        <w:t xml:space="preserve">The Blueberry River First Nations have </w:t>
      </w:r>
      <w:r w:rsidR="000838B9" w:rsidRPr="00243C00">
        <w:rPr>
          <w:color w:val="000000" w:themeColor="text1"/>
          <w:lang w:val="en-US"/>
        </w:rPr>
        <w:t xml:space="preserve">expressed </w:t>
      </w:r>
      <w:r w:rsidRPr="00243C00">
        <w:rPr>
          <w:color w:val="000000" w:themeColor="text1"/>
          <w:lang w:val="en-US"/>
        </w:rPr>
        <w:t xml:space="preserve">a general </w:t>
      </w:r>
      <w:r w:rsidR="002471D6" w:rsidRPr="00243C00">
        <w:rPr>
          <w:color w:val="000000" w:themeColor="text1"/>
          <w:lang w:val="en-US"/>
        </w:rPr>
        <w:t>concern about</w:t>
      </w:r>
      <w:r w:rsidRPr="00243C00">
        <w:rPr>
          <w:color w:val="000000" w:themeColor="text1"/>
          <w:lang w:val="en-US"/>
        </w:rPr>
        <w:t xml:space="preserve"> </w:t>
      </w:r>
      <w:r w:rsidR="002471D6" w:rsidRPr="00243C00">
        <w:rPr>
          <w:color w:val="000000" w:themeColor="text1"/>
          <w:lang w:val="en-US"/>
        </w:rPr>
        <w:t>how cumulative effects of industrial activity are affecting their Treaty</w:t>
      </w:r>
      <w:r w:rsidR="002C1769">
        <w:rPr>
          <w:color w:val="000000" w:themeColor="text1"/>
          <w:lang w:val="en-US"/>
        </w:rPr>
        <w:t> </w:t>
      </w:r>
      <w:r w:rsidR="002471D6" w:rsidRPr="00243C00">
        <w:rPr>
          <w:color w:val="000000" w:themeColor="text1"/>
          <w:lang w:val="en-US"/>
        </w:rPr>
        <w:t>8 rights of hunting, trapping and fishing</w:t>
      </w:r>
      <w:r w:rsidR="000838B9" w:rsidRPr="00243C00">
        <w:rPr>
          <w:color w:val="000000" w:themeColor="text1"/>
          <w:lang w:val="en-US"/>
        </w:rPr>
        <w:t>.  I</w:t>
      </w:r>
      <w:r w:rsidR="002C1769">
        <w:rPr>
          <w:color w:val="000000" w:themeColor="text1"/>
          <w:lang w:val="en-US"/>
        </w:rPr>
        <w:t> </w:t>
      </w:r>
      <w:r w:rsidR="000838B9" w:rsidRPr="00243C00">
        <w:rPr>
          <w:color w:val="000000" w:themeColor="text1"/>
          <w:lang w:val="en-US"/>
        </w:rPr>
        <w:t xml:space="preserve">understand all the </w:t>
      </w:r>
      <w:r w:rsidR="000340E9" w:rsidRPr="00243C00">
        <w:rPr>
          <w:color w:val="000000" w:themeColor="text1"/>
          <w:lang w:val="en-US"/>
        </w:rPr>
        <w:t>Treaty</w:t>
      </w:r>
      <w:r w:rsidR="002C1769">
        <w:rPr>
          <w:color w:val="000000" w:themeColor="text1"/>
          <w:lang w:val="en-US"/>
        </w:rPr>
        <w:t> </w:t>
      </w:r>
      <w:r w:rsidR="000340E9" w:rsidRPr="00243C00">
        <w:rPr>
          <w:color w:val="000000" w:themeColor="text1"/>
          <w:lang w:val="en-US"/>
        </w:rPr>
        <w:t xml:space="preserve">8 </w:t>
      </w:r>
      <w:r w:rsidR="000838B9" w:rsidRPr="00243C00">
        <w:rPr>
          <w:color w:val="000000" w:themeColor="text1"/>
          <w:lang w:val="en-US"/>
        </w:rPr>
        <w:t>First Nations with traditional territory on TFL</w:t>
      </w:r>
      <w:r w:rsidR="002C1769">
        <w:rPr>
          <w:color w:val="000000" w:themeColor="text1"/>
          <w:lang w:val="en-US"/>
        </w:rPr>
        <w:t> </w:t>
      </w:r>
      <w:r w:rsidR="000838B9" w:rsidRPr="00243C00">
        <w:rPr>
          <w:color w:val="000000" w:themeColor="text1"/>
          <w:lang w:val="en-US"/>
        </w:rPr>
        <w:t>48 have s</w:t>
      </w:r>
      <w:r w:rsidRPr="00243C00">
        <w:rPr>
          <w:color w:val="000000" w:themeColor="text1"/>
          <w:lang w:val="en-US"/>
        </w:rPr>
        <w:t>imilar</w:t>
      </w:r>
      <w:r w:rsidR="000838B9" w:rsidRPr="00243C00">
        <w:rPr>
          <w:color w:val="000000" w:themeColor="text1"/>
          <w:lang w:val="en-US"/>
        </w:rPr>
        <w:t xml:space="preserve"> concern</w:t>
      </w:r>
      <w:r w:rsidRPr="00243C00">
        <w:rPr>
          <w:color w:val="000000" w:themeColor="text1"/>
          <w:lang w:val="en-US"/>
        </w:rPr>
        <w:t>s</w:t>
      </w:r>
      <w:r w:rsidR="000838B9" w:rsidRPr="00243C00">
        <w:rPr>
          <w:color w:val="000000" w:themeColor="text1"/>
          <w:lang w:val="en-US"/>
        </w:rPr>
        <w:t xml:space="preserve">.  </w:t>
      </w:r>
      <w:r w:rsidR="00F32518" w:rsidRPr="00243C00">
        <w:rPr>
          <w:color w:val="000000" w:themeColor="text1"/>
          <w:lang w:val="en-US"/>
        </w:rPr>
        <w:t xml:space="preserve">I have described above under ‘cumulative effects’ what the current status is of the cumulative effects program in the Northeast Region.  </w:t>
      </w:r>
      <w:r w:rsidR="000838B9" w:rsidRPr="00243C00">
        <w:rPr>
          <w:color w:val="000000" w:themeColor="text1"/>
          <w:lang w:val="en-US"/>
        </w:rPr>
        <w:t>I mentioned that the base case harvest forecast is a reflection of the current condition of the land base and current management, or a reasonable extrapolation of current management.  All the provisions currently enacted or established or that form a part of current management that are aimed at protecting values that contribute to the protection of Treaty</w:t>
      </w:r>
      <w:r w:rsidR="002C1769">
        <w:rPr>
          <w:color w:val="000000" w:themeColor="text1"/>
          <w:lang w:val="en-US"/>
        </w:rPr>
        <w:t> </w:t>
      </w:r>
      <w:r w:rsidR="000838B9" w:rsidRPr="00243C00">
        <w:rPr>
          <w:color w:val="000000" w:themeColor="text1"/>
          <w:lang w:val="en-US"/>
        </w:rPr>
        <w:t>8 rights are reflected in the base case and either do not contribute to timber supply or constrain timber supply</w:t>
      </w:r>
      <w:r w:rsidRPr="00243C00">
        <w:rPr>
          <w:color w:val="000000" w:themeColor="text1"/>
          <w:lang w:val="en-US"/>
        </w:rPr>
        <w:t xml:space="preserve"> during the 250</w:t>
      </w:r>
      <w:r w:rsidR="002C1769">
        <w:rPr>
          <w:color w:val="000000" w:themeColor="text1"/>
          <w:lang w:val="en-US"/>
        </w:rPr>
        <w:noBreakHyphen/>
      </w:r>
      <w:r w:rsidRPr="00243C00">
        <w:rPr>
          <w:color w:val="000000" w:themeColor="text1"/>
          <w:lang w:val="en-US"/>
        </w:rPr>
        <w:t>year forecast period</w:t>
      </w:r>
      <w:r w:rsidR="000838B9" w:rsidRPr="00243C00">
        <w:rPr>
          <w:color w:val="000000" w:themeColor="text1"/>
          <w:lang w:val="en-US"/>
        </w:rPr>
        <w:t>.  In</w:t>
      </w:r>
      <w:r w:rsidR="002C1769">
        <w:rPr>
          <w:color w:val="000000" w:themeColor="text1"/>
          <w:lang w:val="en-US"/>
        </w:rPr>
        <w:t> </w:t>
      </w:r>
      <w:r w:rsidR="000838B9" w:rsidRPr="00243C00">
        <w:rPr>
          <w:color w:val="000000" w:themeColor="text1"/>
          <w:lang w:val="en-US"/>
        </w:rPr>
        <w:t xml:space="preserve">addition many areas are excluded from contributing to timber supply </w:t>
      </w:r>
      <w:r w:rsidR="000340E9" w:rsidRPr="00243C00">
        <w:rPr>
          <w:color w:val="000000" w:themeColor="text1"/>
          <w:lang w:val="en-US"/>
        </w:rPr>
        <w:t xml:space="preserve">for other reasons such as </w:t>
      </w:r>
      <w:r w:rsidR="006F3209" w:rsidRPr="00243C00">
        <w:rPr>
          <w:color w:val="000000" w:themeColor="text1"/>
          <w:lang w:val="en-US"/>
        </w:rPr>
        <w:t xml:space="preserve">high elevation areas, </w:t>
      </w:r>
      <w:r w:rsidR="000340E9" w:rsidRPr="00243C00">
        <w:rPr>
          <w:color w:val="000000" w:themeColor="text1"/>
          <w:lang w:val="en-US"/>
        </w:rPr>
        <w:t xml:space="preserve">unstable terrain, stands that are unmerchantable or low timber growing potential, </w:t>
      </w:r>
      <w:r w:rsidR="006F3209" w:rsidRPr="00243C00">
        <w:rPr>
          <w:color w:val="000000" w:themeColor="text1"/>
          <w:lang w:val="en-US"/>
        </w:rPr>
        <w:t>and stands described as mature stand problem forest types from a timber management perspective.</w:t>
      </w:r>
    </w:p>
    <w:p w:rsidR="00BC34CD" w:rsidRPr="00243C00" w:rsidRDefault="00D411D0" w:rsidP="00BC34CD">
      <w:pPr>
        <w:rPr>
          <w:color w:val="000000" w:themeColor="text1"/>
          <w:szCs w:val="22"/>
        </w:rPr>
      </w:pPr>
      <w:r w:rsidRPr="00243C00">
        <w:rPr>
          <w:color w:val="000000" w:themeColor="text1"/>
          <w:lang w:val="en-US"/>
        </w:rPr>
        <w:t xml:space="preserve">In making an AAC determination I review each of the </w:t>
      </w:r>
      <w:r w:rsidRPr="00243C00">
        <w:rPr>
          <w:bCs/>
          <w:color w:val="000000" w:themeColor="text1"/>
          <w:lang w:val="en-US"/>
        </w:rPr>
        <w:t>base case</w:t>
      </w:r>
      <w:r w:rsidRPr="00243C00">
        <w:rPr>
          <w:color w:val="000000" w:themeColor="text1"/>
          <w:lang w:val="en-US"/>
        </w:rPr>
        <w:t xml:space="preserve"> factors that </w:t>
      </w:r>
      <w:proofErr w:type="gramStart"/>
      <w:r w:rsidRPr="00243C00">
        <w:rPr>
          <w:color w:val="000000" w:themeColor="text1"/>
          <w:lang w:val="en-US"/>
        </w:rPr>
        <w:t>describes</w:t>
      </w:r>
      <w:proofErr w:type="gramEnd"/>
      <w:r w:rsidRPr="00243C00">
        <w:rPr>
          <w:color w:val="000000" w:themeColor="text1"/>
          <w:lang w:val="en-US"/>
        </w:rPr>
        <w:t xml:space="preserve"> current performance</w:t>
      </w:r>
      <w:r w:rsidR="002C1769">
        <w:rPr>
          <w:color w:val="000000" w:themeColor="text1"/>
          <w:lang w:val="en-US"/>
        </w:rPr>
        <w:t xml:space="preserve"> </w:t>
      </w:r>
      <w:r w:rsidRPr="00243C00">
        <w:rPr>
          <w:color w:val="000000" w:themeColor="text1"/>
          <w:lang w:val="en-US"/>
        </w:rPr>
        <w:t xml:space="preserve">and I evaluate with FLNR staff if </w:t>
      </w:r>
      <w:r w:rsidRPr="00243C00">
        <w:rPr>
          <w:bCs/>
          <w:color w:val="000000" w:themeColor="text1"/>
          <w:lang w:val="en-US"/>
        </w:rPr>
        <w:t>these</w:t>
      </w:r>
      <w:r w:rsidRPr="00243C00">
        <w:rPr>
          <w:color w:val="000000" w:themeColor="text1"/>
          <w:lang w:val="en-US"/>
        </w:rPr>
        <w:t xml:space="preserve"> assumptions indeed represent current practice and the best available information.  Having considered each of the factors</w:t>
      </w:r>
      <w:r w:rsidRPr="00243C00">
        <w:rPr>
          <w:b/>
          <w:bCs/>
          <w:color w:val="000000" w:themeColor="text1"/>
          <w:lang w:val="en-US"/>
        </w:rPr>
        <w:t>,</w:t>
      </w:r>
      <w:r w:rsidRPr="00243C00">
        <w:rPr>
          <w:bCs/>
          <w:color w:val="000000" w:themeColor="text1"/>
          <w:lang w:val="en-US"/>
        </w:rPr>
        <w:t xml:space="preserve"> where warranted</w:t>
      </w:r>
      <w:r w:rsidRPr="00243C00">
        <w:rPr>
          <w:color w:val="000000" w:themeColor="text1"/>
          <w:lang w:val="en-US"/>
        </w:rPr>
        <w:t xml:space="preserve"> I make adjustments to the harvest levels projected in the base case to reflect my</w:t>
      </w:r>
      <w:r w:rsidR="002C1769">
        <w:rPr>
          <w:color w:val="000000" w:themeColor="text1"/>
          <w:lang w:val="en-US"/>
        </w:rPr>
        <w:t> </w:t>
      </w:r>
      <w:r w:rsidRPr="00243C00">
        <w:rPr>
          <w:color w:val="000000" w:themeColor="text1"/>
          <w:lang w:val="en-US"/>
        </w:rPr>
        <w:t xml:space="preserve">understanding of </w:t>
      </w:r>
      <w:r w:rsidRPr="00243C00">
        <w:rPr>
          <w:bCs/>
          <w:color w:val="000000" w:themeColor="text1"/>
          <w:lang w:val="en-US"/>
        </w:rPr>
        <w:t>all</w:t>
      </w:r>
      <w:r w:rsidRPr="00243C00">
        <w:rPr>
          <w:color w:val="000000" w:themeColor="text1"/>
          <w:lang w:val="en-US"/>
        </w:rPr>
        <w:t xml:space="preserve"> </w:t>
      </w:r>
      <w:r w:rsidRPr="00243C00">
        <w:rPr>
          <w:bCs/>
          <w:color w:val="000000" w:themeColor="text1"/>
          <w:lang w:val="en-US"/>
        </w:rPr>
        <w:t>available and relevant information</w:t>
      </w:r>
      <w:r w:rsidRPr="00243C00">
        <w:rPr>
          <w:color w:val="000000" w:themeColor="text1"/>
          <w:lang w:val="en-US"/>
        </w:rPr>
        <w:t>, and factor these adjustments into my</w:t>
      </w:r>
      <w:r w:rsidR="002C1769">
        <w:rPr>
          <w:color w:val="000000" w:themeColor="text1"/>
          <w:lang w:val="en-US"/>
        </w:rPr>
        <w:t> </w:t>
      </w:r>
      <w:r w:rsidRPr="00243C00">
        <w:rPr>
          <w:color w:val="000000" w:themeColor="text1"/>
          <w:lang w:val="en-US"/>
        </w:rPr>
        <w:t>determination.</w:t>
      </w:r>
      <w:r w:rsidR="00EB6182" w:rsidRPr="00243C00">
        <w:rPr>
          <w:color w:val="000000" w:themeColor="text1"/>
          <w:lang w:val="en-US"/>
        </w:rPr>
        <w:t xml:space="preserve">  </w:t>
      </w:r>
      <w:r w:rsidR="00243C00" w:rsidRPr="00243C00">
        <w:rPr>
          <w:color w:val="000000" w:themeColor="text1"/>
          <w:szCs w:val="22"/>
        </w:rPr>
        <w:t>T</w:t>
      </w:r>
      <w:r w:rsidR="00BC34CD" w:rsidRPr="00243C00">
        <w:rPr>
          <w:color w:val="000000" w:themeColor="text1"/>
          <w:szCs w:val="22"/>
        </w:rPr>
        <w:t>he AAC determin</w:t>
      </w:r>
      <w:r w:rsidR="00243C00" w:rsidRPr="00243C00">
        <w:rPr>
          <w:color w:val="000000" w:themeColor="text1"/>
          <w:szCs w:val="22"/>
        </w:rPr>
        <w:t>ation</w:t>
      </w:r>
      <w:r w:rsidR="00243C00">
        <w:rPr>
          <w:color w:val="000000" w:themeColor="text1"/>
          <w:szCs w:val="22"/>
        </w:rPr>
        <w:t xml:space="preserve"> </w:t>
      </w:r>
      <w:r w:rsidR="00243C00" w:rsidRPr="00243C00">
        <w:rPr>
          <w:color w:val="000000" w:themeColor="text1"/>
          <w:szCs w:val="22"/>
        </w:rPr>
        <w:t xml:space="preserve">is a strategic decision.  </w:t>
      </w:r>
      <w:r w:rsidR="00BC34CD" w:rsidRPr="00243C00">
        <w:rPr>
          <w:color w:val="000000" w:themeColor="text1"/>
          <w:szCs w:val="22"/>
        </w:rPr>
        <w:t>I have no authority in legislation or through the AAC determination process to direct the timing, location and nature of harvesting operations.  Those decisions are made by other statutory decision makers</w:t>
      </w:r>
      <w:r w:rsidR="00BC34CD" w:rsidRPr="002C1769">
        <w:rPr>
          <w:color w:val="000000" w:themeColor="text1"/>
          <w:szCs w:val="22"/>
        </w:rPr>
        <w:t>.</w:t>
      </w:r>
      <w:r w:rsidR="00243C00" w:rsidRPr="002C1769">
        <w:rPr>
          <w:color w:val="000000" w:themeColor="text1"/>
          <w:szCs w:val="22"/>
        </w:rPr>
        <w:t xml:space="preserve">  As elucidated in the ‘guiding principles’, AAC determinations should not be construed as limiting the Crown’s legal obligations owed to First Nations in any way.</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B723D6" w:rsidRPr="00321746" w:rsidRDefault="00B723D6">
      <w:pPr>
        <w:rPr>
          <w:color w:val="000000" w:themeColor="text1"/>
        </w:rPr>
      </w:pPr>
      <w:r w:rsidRPr="00321746">
        <w:rPr>
          <w:color w:val="000000" w:themeColor="text1"/>
        </w:rPr>
        <w:t xml:space="preserve">Opportunities were provided to all First Nations to share their concerns related to specific aboriginal interests that may be impacted by this decision. </w:t>
      </w:r>
      <w:r w:rsidR="00EE4EFC" w:rsidRPr="00321746">
        <w:rPr>
          <w:color w:val="000000" w:themeColor="text1"/>
        </w:rPr>
        <w:t xml:space="preserve"> </w:t>
      </w:r>
      <w:r w:rsidRPr="00321746">
        <w:rPr>
          <w:color w:val="000000" w:themeColor="text1"/>
        </w:rPr>
        <w:t>If new information regarding First</w:t>
      </w:r>
      <w:r w:rsidR="00644478" w:rsidRPr="00321746">
        <w:rPr>
          <w:color w:val="000000" w:themeColor="text1"/>
        </w:rPr>
        <w:t> </w:t>
      </w:r>
      <w:r w:rsidRPr="00321746">
        <w:rPr>
          <w:color w:val="000000" w:themeColor="text1"/>
        </w:rPr>
        <w:t xml:space="preserve">Nations’ aboriginal interests becomes available that significantly varies from the information that was available for this determination and that may affect timber supply, </w:t>
      </w:r>
      <w:r w:rsidR="00FF77E6" w:rsidRPr="00321746">
        <w:rPr>
          <w:color w:val="000000" w:themeColor="text1"/>
        </w:rPr>
        <w:t xml:space="preserve">a new TSR can be initiated leading to a </w:t>
      </w:r>
      <w:r w:rsidRPr="00321746">
        <w:rPr>
          <w:color w:val="000000" w:themeColor="text1"/>
        </w:rPr>
        <w:t>determination sooner tha</w:t>
      </w:r>
      <w:r w:rsidR="00EE4EFC" w:rsidRPr="00321746">
        <w:rPr>
          <w:color w:val="000000" w:themeColor="text1"/>
        </w:rPr>
        <w:t>n</w:t>
      </w:r>
      <w:r w:rsidRPr="00321746">
        <w:rPr>
          <w:color w:val="000000" w:themeColor="text1"/>
        </w:rPr>
        <w:t xml:space="preserve"> </w:t>
      </w:r>
      <w:r w:rsidR="00AD48AD" w:rsidRPr="00321746">
        <w:rPr>
          <w:color w:val="000000" w:themeColor="text1"/>
        </w:rPr>
        <w:t xml:space="preserve">the </w:t>
      </w:r>
      <w:r w:rsidR="001D30DD" w:rsidRPr="00321746">
        <w:rPr>
          <w:color w:val="000000" w:themeColor="text1"/>
        </w:rPr>
        <w:t xml:space="preserve">maximum </w:t>
      </w:r>
      <w:r w:rsidRPr="00321746">
        <w:rPr>
          <w:color w:val="000000" w:themeColor="text1"/>
        </w:rPr>
        <w:t>10</w:t>
      </w:r>
      <w:r w:rsidR="00644478" w:rsidRPr="00321746">
        <w:rPr>
          <w:color w:val="000000" w:themeColor="text1"/>
        </w:rPr>
        <w:t> </w:t>
      </w:r>
      <w:r w:rsidRPr="00321746">
        <w:rPr>
          <w:color w:val="000000" w:themeColor="text1"/>
        </w:rPr>
        <w:t xml:space="preserve">years </w:t>
      </w:r>
      <w:r w:rsidR="001761E3" w:rsidRPr="00321746">
        <w:rPr>
          <w:color w:val="000000" w:themeColor="text1"/>
        </w:rPr>
        <w:t>allowed</w:t>
      </w:r>
      <w:r w:rsidRPr="00321746">
        <w:rPr>
          <w:color w:val="000000" w:themeColor="text1"/>
        </w:rPr>
        <w:t xml:space="preserve"> by legislation.</w:t>
      </w:r>
    </w:p>
    <w:p w:rsidR="003E3688" w:rsidRDefault="003E3688">
      <w:pPr>
        <w:rPr>
          <w:color w:val="000000" w:themeColor="text1"/>
        </w:rPr>
      </w:pPr>
    </w:p>
    <w:p w:rsidR="002E6364" w:rsidRPr="001136AC" w:rsidRDefault="002E6364" w:rsidP="002E6364">
      <w:pPr>
        <w:keepNext/>
        <w:keepLines/>
        <w:spacing w:before="240" w:line="240" w:lineRule="atLeast"/>
        <w:ind w:left="851" w:hanging="284"/>
        <w:rPr>
          <w:b/>
          <w:color w:val="000000" w:themeColor="text1"/>
          <w:sz w:val="20"/>
        </w:rPr>
      </w:pPr>
      <w:r w:rsidRPr="00D60225">
        <w:rPr>
          <w:b/>
          <w:color w:val="000000" w:themeColor="text1"/>
          <w:sz w:val="20"/>
        </w:rPr>
        <w:t>Section 8(8)</w:t>
      </w:r>
      <w:r w:rsidR="00221685">
        <w:rPr>
          <w:b/>
          <w:color w:val="000000" w:themeColor="text1"/>
          <w:sz w:val="20"/>
        </w:rPr>
        <w:t xml:space="preserve"> </w:t>
      </w:r>
      <w:r w:rsidRPr="001136AC">
        <w:rPr>
          <w:b/>
          <w:color w:val="000000" w:themeColor="text1"/>
          <w:sz w:val="20"/>
        </w:rPr>
        <w:t>(b)</w:t>
      </w:r>
      <w:r w:rsidR="00221685">
        <w:rPr>
          <w:b/>
          <w:color w:val="000000" w:themeColor="text1"/>
          <w:sz w:val="20"/>
        </w:rPr>
        <w:tab/>
      </w:r>
      <w:r w:rsidRPr="001136AC">
        <w:rPr>
          <w:b/>
          <w:color w:val="000000" w:themeColor="text1"/>
          <w:sz w:val="20"/>
        </w:rPr>
        <w:t xml:space="preserve"> the short and long term implications to British Columbia of alternative rates of timber harvesting from the area;</w:t>
      </w:r>
    </w:p>
    <w:p w:rsidR="008156EF" w:rsidRDefault="008156EF" w:rsidP="008156EF">
      <w:pPr>
        <w:pStyle w:val="Heading2"/>
        <w:rPr>
          <w:color w:val="000000" w:themeColor="text1"/>
        </w:rPr>
      </w:pPr>
      <w:bookmarkStart w:id="277" w:name="_Toc378842838"/>
      <w:bookmarkStart w:id="278" w:name="_Toc378846243"/>
      <w:bookmarkStart w:id="279" w:name="_Toc432658652"/>
      <w:r w:rsidRPr="005A69E7">
        <w:rPr>
          <w:color w:val="000000" w:themeColor="text1"/>
        </w:rPr>
        <w:t>Factors considered under Section 8(8)</w:t>
      </w:r>
      <w:r w:rsidR="00003B96">
        <w:rPr>
          <w:color w:val="000000" w:themeColor="text1"/>
        </w:rPr>
        <w:t xml:space="preserve"> </w:t>
      </w:r>
      <w:r>
        <w:rPr>
          <w:color w:val="000000" w:themeColor="text1"/>
        </w:rPr>
        <w:t>(</w:t>
      </w:r>
      <w:r w:rsidRPr="005A69E7">
        <w:rPr>
          <w:color w:val="000000" w:themeColor="text1"/>
        </w:rPr>
        <w:t>b</w:t>
      </w:r>
      <w:bookmarkEnd w:id="277"/>
      <w:bookmarkEnd w:id="278"/>
      <w:r>
        <w:rPr>
          <w:color w:val="000000" w:themeColor="text1"/>
        </w:rPr>
        <w:t>)</w:t>
      </w:r>
      <w:bookmarkEnd w:id="279"/>
    </w:p>
    <w:p w:rsidR="008156EF" w:rsidRDefault="008156EF" w:rsidP="008156EF">
      <w:pPr>
        <w:pStyle w:val="Heading3"/>
      </w:pPr>
      <w:bookmarkStart w:id="280" w:name="_Toc245192107"/>
      <w:bookmarkStart w:id="281" w:name="_Toc245261110"/>
      <w:bookmarkStart w:id="282" w:name="_Toc245283442"/>
      <w:bookmarkStart w:id="283" w:name="_Toc245283580"/>
      <w:bookmarkStart w:id="284" w:name="_Toc248897551"/>
      <w:bookmarkStart w:id="285" w:name="_Toc378842839"/>
      <w:bookmarkStart w:id="286" w:name="_Toc378846244"/>
      <w:bookmarkStart w:id="287" w:name="_Toc432658653"/>
      <w:r w:rsidRPr="000D04C5">
        <w:t xml:space="preserve">- </w:t>
      </w:r>
      <w:proofErr w:type="gramStart"/>
      <w:r w:rsidRPr="000D04C5">
        <w:t>alternative</w:t>
      </w:r>
      <w:proofErr w:type="gramEnd"/>
      <w:r w:rsidRPr="000D04C5">
        <w:t xml:space="preserve"> rates of harvest</w:t>
      </w:r>
      <w:bookmarkEnd w:id="280"/>
      <w:bookmarkEnd w:id="281"/>
      <w:bookmarkEnd w:id="282"/>
      <w:bookmarkEnd w:id="283"/>
      <w:bookmarkEnd w:id="284"/>
      <w:bookmarkEnd w:id="285"/>
      <w:bookmarkEnd w:id="286"/>
      <w:bookmarkEnd w:id="287"/>
    </w:p>
    <w:p w:rsidR="00BC4D35" w:rsidRDefault="00BC4D35" w:rsidP="00BC4D35">
      <w:pPr>
        <w:rPr>
          <w:color w:val="000000" w:themeColor="text1"/>
        </w:rPr>
      </w:pPr>
      <w:r w:rsidRPr="001136AC">
        <w:rPr>
          <w:color w:val="000000" w:themeColor="text1"/>
        </w:rPr>
        <w:t>In addition to the base case, the licensee provide</w:t>
      </w:r>
      <w:r>
        <w:rPr>
          <w:color w:val="000000" w:themeColor="text1"/>
        </w:rPr>
        <w:t xml:space="preserve">d </w:t>
      </w:r>
      <w:r w:rsidR="00D35722">
        <w:rPr>
          <w:color w:val="000000" w:themeColor="text1"/>
        </w:rPr>
        <w:t xml:space="preserve">five </w:t>
      </w:r>
      <w:r>
        <w:rPr>
          <w:color w:val="000000" w:themeColor="text1"/>
        </w:rPr>
        <w:t>alternative harvest flows</w:t>
      </w:r>
      <w:r w:rsidR="00D35722">
        <w:rPr>
          <w:color w:val="000000" w:themeColor="text1"/>
        </w:rPr>
        <w:t xml:space="preserve"> for the coniferous component of the timber supply</w:t>
      </w:r>
      <w:r>
        <w:rPr>
          <w:color w:val="000000" w:themeColor="text1"/>
        </w:rPr>
        <w:t xml:space="preserve">.  </w:t>
      </w:r>
      <w:r w:rsidR="00955185">
        <w:rPr>
          <w:color w:val="000000" w:themeColor="text1"/>
        </w:rPr>
        <w:t>T</w:t>
      </w:r>
      <w:r>
        <w:rPr>
          <w:color w:val="000000" w:themeColor="text1"/>
        </w:rPr>
        <w:t>he assumptions used for the</w:t>
      </w:r>
      <w:r w:rsidR="00955185">
        <w:rPr>
          <w:color w:val="000000" w:themeColor="text1"/>
        </w:rPr>
        <w:t xml:space="preserve"> majority of the</w:t>
      </w:r>
      <w:r>
        <w:rPr>
          <w:color w:val="000000" w:themeColor="text1"/>
        </w:rPr>
        <w:t>se harvest forecasts, other than harvest flow assumptions, were the same as those used in the base case.</w:t>
      </w:r>
    </w:p>
    <w:p w:rsidR="00DB10B2" w:rsidRDefault="00DB10B2" w:rsidP="00BC4D35">
      <w:pPr>
        <w:rPr>
          <w:color w:val="000000" w:themeColor="text1"/>
        </w:rPr>
      </w:pPr>
      <w:r>
        <w:rPr>
          <w:color w:val="000000" w:themeColor="text1"/>
        </w:rPr>
        <w:t>One scenario assessed the impact of imposing a 1.5</w:t>
      </w:r>
      <w:r w:rsidR="00C43290">
        <w:rPr>
          <w:color w:val="000000" w:themeColor="text1"/>
        </w:rPr>
        <w:t> </w:t>
      </w:r>
      <w:r>
        <w:rPr>
          <w:color w:val="000000" w:themeColor="text1"/>
        </w:rPr>
        <w:t>million cubic metre per year maximum harvest limit on the forecast.  In th</w:t>
      </w:r>
      <w:r w:rsidR="00955185">
        <w:rPr>
          <w:color w:val="000000" w:themeColor="text1"/>
        </w:rPr>
        <w:t>is</w:t>
      </w:r>
      <w:r>
        <w:rPr>
          <w:color w:val="000000" w:themeColor="text1"/>
        </w:rPr>
        <w:t xml:space="preserve"> scenario</w:t>
      </w:r>
      <w:r w:rsidR="00955185">
        <w:rPr>
          <w:color w:val="000000" w:themeColor="text1"/>
        </w:rPr>
        <w:t>,</w:t>
      </w:r>
      <w:r>
        <w:rPr>
          <w:color w:val="000000" w:themeColor="text1"/>
        </w:rPr>
        <w:t xml:space="preserve"> the mid</w:t>
      </w:r>
      <w:r w:rsidR="002C1769">
        <w:rPr>
          <w:color w:val="000000" w:themeColor="text1"/>
        </w:rPr>
        <w:noBreakHyphen/>
      </w:r>
      <w:r>
        <w:rPr>
          <w:color w:val="000000" w:themeColor="text1"/>
        </w:rPr>
        <w:t xml:space="preserve">term timber supply was reduced by </w:t>
      </w:r>
      <w:r w:rsidR="002C1769">
        <w:rPr>
          <w:color w:val="000000" w:themeColor="text1"/>
        </w:rPr>
        <w:t>three</w:t>
      </w:r>
      <w:r>
        <w:rPr>
          <w:color w:val="000000" w:themeColor="text1"/>
        </w:rPr>
        <w:t xml:space="preserve"> to </w:t>
      </w:r>
      <w:r w:rsidR="002C1769">
        <w:rPr>
          <w:color w:val="000000" w:themeColor="text1"/>
        </w:rPr>
        <w:t>four</w:t>
      </w:r>
      <w:r w:rsidR="00501CED">
        <w:rPr>
          <w:color w:val="000000" w:themeColor="text1"/>
        </w:rPr>
        <w:t> </w:t>
      </w:r>
      <w:r>
        <w:rPr>
          <w:color w:val="000000" w:themeColor="text1"/>
        </w:rPr>
        <w:t>percent</w:t>
      </w:r>
      <w:r w:rsidR="0050525C">
        <w:rPr>
          <w:color w:val="000000" w:themeColor="text1"/>
        </w:rPr>
        <w:t xml:space="preserve">.  According to the licensee, this suggests </w:t>
      </w:r>
      <w:r w:rsidR="00955185">
        <w:rPr>
          <w:color w:val="000000" w:themeColor="text1"/>
        </w:rPr>
        <w:t>that</w:t>
      </w:r>
      <w:r>
        <w:rPr>
          <w:color w:val="000000" w:themeColor="text1"/>
        </w:rPr>
        <w:t xml:space="preserve"> mid</w:t>
      </w:r>
      <w:r w:rsidR="002C1769">
        <w:rPr>
          <w:color w:val="000000" w:themeColor="text1"/>
        </w:rPr>
        <w:noBreakHyphen/>
      </w:r>
      <w:r>
        <w:rPr>
          <w:color w:val="000000" w:themeColor="text1"/>
        </w:rPr>
        <w:t xml:space="preserve">term timber supply </w:t>
      </w:r>
      <w:r w:rsidR="00501CED">
        <w:rPr>
          <w:color w:val="000000" w:themeColor="text1"/>
        </w:rPr>
        <w:t>would be</w:t>
      </w:r>
      <w:r>
        <w:rPr>
          <w:color w:val="000000" w:themeColor="text1"/>
        </w:rPr>
        <w:t xml:space="preserve"> reduced if salvage harvest</w:t>
      </w:r>
      <w:r w:rsidR="00955185">
        <w:rPr>
          <w:color w:val="000000" w:themeColor="text1"/>
        </w:rPr>
        <w:t>ing is less than what is shown in the base case.</w:t>
      </w:r>
    </w:p>
    <w:p w:rsidR="00D35722" w:rsidRDefault="00B816DF" w:rsidP="00BC4D35">
      <w:pPr>
        <w:rPr>
          <w:color w:val="000000" w:themeColor="text1"/>
        </w:rPr>
      </w:pPr>
      <w:r>
        <w:rPr>
          <w:color w:val="000000" w:themeColor="text1"/>
        </w:rPr>
        <w:t xml:space="preserve">Two of the alternative harvest forecasts assessed </w:t>
      </w:r>
      <w:r w:rsidR="00D33815">
        <w:rPr>
          <w:color w:val="000000" w:themeColor="text1"/>
        </w:rPr>
        <w:t xml:space="preserve">the timber supply implications of </w:t>
      </w:r>
      <w:r>
        <w:rPr>
          <w:color w:val="000000" w:themeColor="text1"/>
        </w:rPr>
        <w:t>scenarios designed to maximize salvage in the first five</w:t>
      </w:r>
      <w:r w:rsidR="002C1769">
        <w:rPr>
          <w:color w:val="000000" w:themeColor="text1"/>
        </w:rPr>
        <w:noBreakHyphen/>
      </w:r>
      <w:r>
        <w:rPr>
          <w:color w:val="000000" w:themeColor="text1"/>
        </w:rPr>
        <w:t>year period</w:t>
      </w:r>
      <w:r w:rsidR="00501CED">
        <w:rPr>
          <w:color w:val="000000" w:themeColor="text1"/>
        </w:rPr>
        <w:t>.  These were</w:t>
      </w:r>
      <w:r w:rsidR="0066102D">
        <w:rPr>
          <w:color w:val="000000" w:themeColor="text1"/>
        </w:rPr>
        <w:t xml:space="preserve"> prepared by the licensee in part to evaluate the intended salvage strategy for the MPB</w:t>
      </w:r>
      <w:r w:rsidR="002C1769">
        <w:rPr>
          <w:color w:val="000000" w:themeColor="text1"/>
        </w:rPr>
        <w:noBreakHyphen/>
      </w:r>
      <w:r w:rsidR="0066102D">
        <w:rPr>
          <w:color w:val="000000" w:themeColor="text1"/>
        </w:rPr>
        <w:t>killed stands on TFL</w:t>
      </w:r>
      <w:r w:rsidR="002C1769">
        <w:rPr>
          <w:color w:val="000000" w:themeColor="text1"/>
        </w:rPr>
        <w:t> </w:t>
      </w:r>
      <w:r w:rsidR="0066102D">
        <w:rPr>
          <w:color w:val="000000" w:themeColor="text1"/>
        </w:rPr>
        <w:t>48</w:t>
      </w:r>
      <w:r>
        <w:rPr>
          <w:color w:val="000000" w:themeColor="text1"/>
        </w:rPr>
        <w:t xml:space="preserve">.  </w:t>
      </w:r>
      <w:r w:rsidR="00D35722">
        <w:rPr>
          <w:color w:val="000000" w:themeColor="text1"/>
        </w:rPr>
        <w:t xml:space="preserve">In one alternative forecast, </w:t>
      </w:r>
      <w:r>
        <w:rPr>
          <w:color w:val="000000" w:themeColor="text1"/>
        </w:rPr>
        <w:t>the i</w:t>
      </w:r>
      <w:r w:rsidR="00D33815">
        <w:rPr>
          <w:color w:val="000000" w:themeColor="text1"/>
        </w:rPr>
        <w:t xml:space="preserve">nitial harvest level </w:t>
      </w:r>
      <w:r w:rsidR="00E82A35">
        <w:rPr>
          <w:color w:val="000000" w:themeColor="text1"/>
        </w:rPr>
        <w:t>attained was</w:t>
      </w:r>
      <w:r>
        <w:rPr>
          <w:color w:val="000000" w:themeColor="text1"/>
        </w:rPr>
        <w:t xml:space="preserve"> 2.53</w:t>
      </w:r>
      <w:r w:rsidR="002C1769">
        <w:rPr>
          <w:color w:val="000000" w:themeColor="text1"/>
        </w:rPr>
        <w:t> </w:t>
      </w:r>
      <w:r>
        <w:rPr>
          <w:color w:val="000000" w:themeColor="text1"/>
        </w:rPr>
        <w:t>million cubic metres per year</w:t>
      </w:r>
      <w:r w:rsidR="00D35722">
        <w:rPr>
          <w:color w:val="000000" w:themeColor="text1"/>
        </w:rPr>
        <w:t xml:space="preserve">. </w:t>
      </w:r>
      <w:r w:rsidR="00D33815">
        <w:rPr>
          <w:color w:val="000000" w:themeColor="text1"/>
        </w:rPr>
        <w:t xml:space="preserve"> In this forecast, the mid</w:t>
      </w:r>
      <w:r w:rsidR="002C1769">
        <w:rPr>
          <w:color w:val="000000" w:themeColor="text1"/>
        </w:rPr>
        <w:noBreakHyphen/>
      </w:r>
      <w:r w:rsidR="00D33815">
        <w:rPr>
          <w:color w:val="000000" w:themeColor="text1"/>
        </w:rPr>
        <w:t xml:space="preserve">term level attainable was approximately </w:t>
      </w:r>
      <w:r w:rsidR="002C1769">
        <w:rPr>
          <w:color w:val="000000" w:themeColor="text1"/>
        </w:rPr>
        <w:t>eight</w:t>
      </w:r>
      <w:r w:rsidR="00D33815">
        <w:rPr>
          <w:color w:val="000000" w:themeColor="text1"/>
        </w:rPr>
        <w:t xml:space="preserve"> percent lower than in the base case. </w:t>
      </w:r>
      <w:r w:rsidR="00D35722">
        <w:rPr>
          <w:color w:val="000000" w:themeColor="text1"/>
        </w:rPr>
        <w:t xml:space="preserve"> </w:t>
      </w:r>
      <w:r w:rsidR="00D33815">
        <w:rPr>
          <w:color w:val="000000" w:themeColor="text1"/>
        </w:rPr>
        <w:t>In a second forecast, the visual quality objectives</w:t>
      </w:r>
      <w:r w:rsidR="00501CED">
        <w:rPr>
          <w:color w:val="000000" w:themeColor="text1"/>
        </w:rPr>
        <w:t xml:space="preserve"> on the TFL</w:t>
      </w:r>
      <w:r w:rsidR="00D33815">
        <w:rPr>
          <w:color w:val="000000" w:themeColor="text1"/>
        </w:rPr>
        <w:t xml:space="preserve"> were not modelled to assess their impact on timber supply.  The initial harvest level attained in this scenario was 2.58</w:t>
      </w:r>
      <w:r w:rsidR="002C1769">
        <w:rPr>
          <w:color w:val="000000" w:themeColor="text1"/>
        </w:rPr>
        <w:t> </w:t>
      </w:r>
      <w:r w:rsidR="00D33815">
        <w:rPr>
          <w:color w:val="000000" w:themeColor="text1"/>
        </w:rPr>
        <w:t>million cubic metres per year, with mid</w:t>
      </w:r>
      <w:r w:rsidR="002C1769">
        <w:rPr>
          <w:color w:val="000000" w:themeColor="text1"/>
        </w:rPr>
        <w:noBreakHyphen/>
      </w:r>
      <w:r w:rsidR="00D33815">
        <w:rPr>
          <w:color w:val="000000" w:themeColor="text1"/>
        </w:rPr>
        <w:t xml:space="preserve"> and long</w:t>
      </w:r>
      <w:r w:rsidR="002C1769">
        <w:rPr>
          <w:color w:val="000000" w:themeColor="text1"/>
        </w:rPr>
        <w:noBreakHyphen/>
      </w:r>
      <w:r w:rsidR="00D33815">
        <w:rPr>
          <w:color w:val="000000" w:themeColor="text1"/>
        </w:rPr>
        <w:t xml:space="preserve">term levels </w:t>
      </w:r>
      <w:r w:rsidR="002C1769">
        <w:rPr>
          <w:color w:val="000000" w:themeColor="text1"/>
        </w:rPr>
        <w:t>three</w:t>
      </w:r>
      <w:r w:rsidR="00D33815">
        <w:rPr>
          <w:color w:val="000000" w:themeColor="text1"/>
        </w:rPr>
        <w:t xml:space="preserve"> and </w:t>
      </w:r>
      <w:r w:rsidR="002C1769">
        <w:rPr>
          <w:color w:val="000000" w:themeColor="text1"/>
        </w:rPr>
        <w:t>four</w:t>
      </w:r>
      <w:r w:rsidR="00D33815">
        <w:rPr>
          <w:color w:val="000000" w:themeColor="text1"/>
        </w:rPr>
        <w:t xml:space="preserve"> percent higher than the base case, respectively.</w:t>
      </w:r>
      <w:r w:rsidR="0066102D">
        <w:rPr>
          <w:color w:val="000000" w:themeColor="text1"/>
        </w:rPr>
        <w:t xml:space="preserve">  In this scenario, visual quality objectives were violated for most of the planning horizon.</w:t>
      </w:r>
      <w:r w:rsidR="00DB10B2">
        <w:rPr>
          <w:color w:val="000000" w:themeColor="text1"/>
        </w:rPr>
        <w:t xml:space="preserve">  The licensee concluded that neither scenario presented a more effective salvage strategy than what is presented in the base case.</w:t>
      </w:r>
    </w:p>
    <w:p w:rsidR="000D04C5" w:rsidRDefault="00D35722" w:rsidP="00BC4D35">
      <w:pPr>
        <w:rPr>
          <w:color w:val="000000" w:themeColor="text1"/>
        </w:rPr>
      </w:pPr>
      <w:r>
        <w:rPr>
          <w:color w:val="000000" w:themeColor="text1"/>
        </w:rPr>
        <w:t>I have reviewed the information presented to me regarding a</w:t>
      </w:r>
      <w:r w:rsidR="00955185">
        <w:rPr>
          <w:color w:val="000000" w:themeColor="text1"/>
        </w:rPr>
        <w:t>lternative harvest flows, which provide information about the timber supply dynamics on TFL</w:t>
      </w:r>
      <w:r w:rsidR="002C1769">
        <w:rPr>
          <w:color w:val="000000" w:themeColor="text1"/>
        </w:rPr>
        <w:t> </w:t>
      </w:r>
      <w:r w:rsidR="00955185">
        <w:rPr>
          <w:color w:val="000000" w:themeColor="text1"/>
        </w:rPr>
        <w:t xml:space="preserve">48.  </w:t>
      </w:r>
      <w:r w:rsidR="00955185" w:rsidRPr="000D04C5">
        <w:rPr>
          <w:color w:val="000000" w:themeColor="text1"/>
        </w:rPr>
        <w:t>I note that the alternative flows</w:t>
      </w:r>
      <w:r w:rsidR="000D04C5">
        <w:rPr>
          <w:color w:val="000000" w:themeColor="text1"/>
        </w:rPr>
        <w:t xml:space="preserve"> suggest that the higher short</w:t>
      </w:r>
      <w:r w:rsidR="002C1769">
        <w:rPr>
          <w:color w:val="000000" w:themeColor="text1"/>
        </w:rPr>
        <w:noBreakHyphen/>
      </w:r>
      <w:r w:rsidR="000D04C5">
        <w:rPr>
          <w:color w:val="000000" w:themeColor="text1"/>
        </w:rPr>
        <w:t>term harvest levels shown in the base case do not unduly impact the mid</w:t>
      </w:r>
      <w:r w:rsidR="002C1769">
        <w:rPr>
          <w:color w:val="000000" w:themeColor="text1"/>
        </w:rPr>
        <w:noBreakHyphen/>
      </w:r>
      <w:r w:rsidR="000D04C5">
        <w:rPr>
          <w:color w:val="000000" w:themeColor="text1"/>
        </w:rPr>
        <w:t xml:space="preserve"> to long</w:t>
      </w:r>
      <w:r w:rsidR="002C1769">
        <w:rPr>
          <w:color w:val="000000" w:themeColor="text1"/>
        </w:rPr>
        <w:noBreakHyphen/>
      </w:r>
      <w:r w:rsidR="000D04C5">
        <w:rPr>
          <w:color w:val="000000" w:themeColor="text1"/>
        </w:rPr>
        <w:t>term timber supply on the TFL.</w:t>
      </w:r>
    </w:p>
    <w:p w:rsidR="00D35722" w:rsidRPr="001136AC" w:rsidRDefault="00955185" w:rsidP="00BC4D35">
      <w:pPr>
        <w:rPr>
          <w:color w:val="000000" w:themeColor="text1"/>
        </w:rPr>
      </w:pPr>
      <w:r>
        <w:rPr>
          <w:color w:val="000000" w:themeColor="text1"/>
        </w:rPr>
        <w:t>The salvage of MPB</w:t>
      </w:r>
      <w:r w:rsidR="002C1769">
        <w:rPr>
          <w:color w:val="000000" w:themeColor="text1"/>
        </w:rPr>
        <w:noBreakHyphen/>
      </w:r>
      <w:r>
        <w:rPr>
          <w:color w:val="000000" w:themeColor="text1"/>
        </w:rPr>
        <w:t>killed volume is important to forest stewardship and supporting a transition to healthy stands for the mid</w:t>
      </w:r>
      <w:r w:rsidR="002C1769">
        <w:rPr>
          <w:color w:val="000000" w:themeColor="text1"/>
        </w:rPr>
        <w:noBreakHyphen/>
      </w:r>
      <w:r>
        <w:rPr>
          <w:color w:val="000000" w:themeColor="text1"/>
        </w:rPr>
        <w:t>term.  I have considered the information provided in the base case as well as these alternative flows in my determination.</w:t>
      </w:r>
    </w:p>
    <w:p w:rsidR="0091095A" w:rsidRPr="002E6364" w:rsidRDefault="0091095A" w:rsidP="002E6364">
      <w:pPr>
        <w:rPr>
          <w:lang w:val="en-US"/>
        </w:rPr>
      </w:pPr>
    </w:p>
    <w:p w:rsidR="002E6364" w:rsidRDefault="002E6364" w:rsidP="002E6364">
      <w:pPr>
        <w:keepNext/>
        <w:keepLines/>
        <w:spacing w:before="240" w:line="240" w:lineRule="atLeast"/>
        <w:ind w:left="851" w:hanging="284"/>
        <w:rPr>
          <w:b/>
          <w:color w:val="000000" w:themeColor="text1"/>
          <w:sz w:val="20"/>
        </w:rPr>
      </w:pPr>
      <w:r w:rsidRPr="00D60225">
        <w:rPr>
          <w:b/>
          <w:color w:val="000000" w:themeColor="text1"/>
          <w:sz w:val="20"/>
        </w:rPr>
        <w:t>Section 8(8)</w:t>
      </w:r>
      <w:r w:rsidRPr="001136AC">
        <w:rPr>
          <w:b/>
          <w:color w:val="000000" w:themeColor="text1"/>
          <w:sz w:val="20"/>
        </w:rPr>
        <w:t xml:space="preserve"> (c)</w:t>
      </w:r>
      <w:r w:rsidRPr="001136AC">
        <w:rPr>
          <w:b/>
          <w:color w:val="000000" w:themeColor="text1"/>
          <w:sz w:val="20"/>
        </w:rPr>
        <w:tab/>
        <w:t>repealed [2003-31-2 (B.C. Reg. 401/2003)]</w:t>
      </w:r>
    </w:p>
    <w:p w:rsidR="002E6364" w:rsidRDefault="002E6364" w:rsidP="002E6364">
      <w:pPr>
        <w:spacing w:before="0" w:after="200" w:line="276" w:lineRule="auto"/>
        <w:rPr>
          <w:color w:val="000000" w:themeColor="text1"/>
        </w:rPr>
      </w:pPr>
      <w:r w:rsidRPr="001136AC">
        <w:rPr>
          <w:color w:val="000000" w:themeColor="text1"/>
        </w:rPr>
        <w:t xml:space="preserve">This section of the </w:t>
      </w:r>
      <w:r w:rsidRPr="001136AC">
        <w:rPr>
          <w:i/>
          <w:color w:val="000000" w:themeColor="text1"/>
        </w:rPr>
        <w:t>Forest Act</w:t>
      </w:r>
      <w:r w:rsidRPr="001136AC">
        <w:rPr>
          <w:color w:val="000000" w:themeColor="text1"/>
        </w:rPr>
        <w:t xml:space="preserve"> has been repealed [2003-31-2 (B.C. Reg. 401/2003)].</w:t>
      </w:r>
    </w:p>
    <w:p w:rsidR="002E6364" w:rsidRPr="001136AC" w:rsidRDefault="002E6364" w:rsidP="002E6364">
      <w:pPr>
        <w:spacing w:before="0" w:after="200" w:line="276" w:lineRule="auto"/>
        <w:rPr>
          <w:color w:val="000000" w:themeColor="text1"/>
        </w:rPr>
      </w:pPr>
    </w:p>
    <w:p w:rsidR="003040FE" w:rsidRPr="00D60225" w:rsidRDefault="000B50AF" w:rsidP="00B257B6">
      <w:pPr>
        <w:keepNext/>
        <w:spacing w:line="240" w:lineRule="atLeast"/>
        <w:ind w:left="2127" w:hanging="1560"/>
        <w:rPr>
          <w:b/>
          <w:color w:val="000000" w:themeColor="text1"/>
          <w:sz w:val="20"/>
        </w:rPr>
      </w:pPr>
      <w:r w:rsidRPr="00D60225">
        <w:rPr>
          <w:b/>
          <w:color w:val="000000" w:themeColor="text1"/>
          <w:sz w:val="20"/>
        </w:rPr>
        <w:t>Section 8(8)</w:t>
      </w:r>
      <w:r w:rsidR="003040FE" w:rsidRPr="00D60225">
        <w:rPr>
          <w:b/>
          <w:color w:val="000000" w:themeColor="text1"/>
          <w:sz w:val="20"/>
        </w:rPr>
        <w:t xml:space="preserve"> (d)</w:t>
      </w:r>
      <w:r w:rsidR="00B257B6" w:rsidRPr="00D60225">
        <w:rPr>
          <w:b/>
          <w:color w:val="000000" w:themeColor="text1"/>
          <w:sz w:val="20"/>
        </w:rPr>
        <w:tab/>
      </w:r>
      <w:r w:rsidR="003040FE" w:rsidRPr="00D60225">
        <w:rPr>
          <w:b/>
          <w:color w:val="000000" w:themeColor="text1"/>
          <w:sz w:val="20"/>
        </w:rPr>
        <w:t>the economic and social objectives of the government, as expressed by the minister, for the area, for the general region and for British Columbia;</w:t>
      </w:r>
    </w:p>
    <w:p w:rsidR="00221685" w:rsidRDefault="00221685" w:rsidP="00221685">
      <w:pPr>
        <w:pStyle w:val="Heading2"/>
        <w:rPr>
          <w:color w:val="000000" w:themeColor="text1"/>
        </w:rPr>
      </w:pPr>
      <w:bookmarkStart w:id="288" w:name="_Toc432658654"/>
      <w:bookmarkStart w:id="289" w:name="_Toc256501023"/>
      <w:bookmarkStart w:id="290" w:name="_Toc257612743"/>
      <w:bookmarkStart w:id="291" w:name="_Toc317667259"/>
      <w:bookmarkStart w:id="292" w:name="_Toc256501024"/>
      <w:bookmarkStart w:id="293" w:name="_Toc406409058"/>
      <w:bookmarkStart w:id="294" w:name="_Toc406464447"/>
      <w:bookmarkStart w:id="295" w:name="_Toc421290369"/>
      <w:r w:rsidRPr="005A69E7">
        <w:rPr>
          <w:color w:val="000000" w:themeColor="text1"/>
        </w:rPr>
        <w:t>Factors considered under Section 8(8)</w:t>
      </w:r>
      <w:r w:rsidR="00003B96">
        <w:rPr>
          <w:color w:val="000000" w:themeColor="text1"/>
        </w:rPr>
        <w:t xml:space="preserve"> </w:t>
      </w:r>
      <w:r>
        <w:rPr>
          <w:color w:val="000000" w:themeColor="text1"/>
        </w:rPr>
        <w:t>(d)</w:t>
      </w:r>
      <w:bookmarkEnd w:id="288"/>
    </w:p>
    <w:p w:rsidR="003040FE" w:rsidRPr="00D60225" w:rsidRDefault="003040FE">
      <w:pPr>
        <w:pStyle w:val="Heading3"/>
        <w:rPr>
          <w:color w:val="000000" w:themeColor="text1"/>
          <w:lang w:val="en-CA"/>
        </w:rPr>
      </w:pPr>
      <w:bookmarkStart w:id="296" w:name="_Toc432658655"/>
      <w:r w:rsidRPr="005965D2">
        <w:rPr>
          <w:color w:val="000000" w:themeColor="text1"/>
          <w:lang w:val="en-CA"/>
        </w:rPr>
        <w:t>-</w:t>
      </w:r>
      <w:r w:rsidR="00172FFD" w:rsidRPr="005965D2">
        <w:rPr>
          <w:color w:val="000000" w:themeColor="text1"/>
          <w:lang w:val="en-CA"/>
        </w:rPr>
        <w:t xml:space="preserve"> </w:t>
      </w:r>
      <w:r w:rsidRPr="005965D2">
        <w:rPr>
          <w:color w:val="000000" w:themeColor="text1"/>
          <w:lang w:val="en-CA"/>
        </w:rPr>
        <w:t>Minister’s letter</w:t>
      </w:r>
      <w:bookmarkEnd w:id="289"/>
      <w:bookmarkEnd w:id="290"/>
      <w:bookmarkEnd w:id="291"/>
      <w:bookmarkEnd w:id="296"/>
    </w:p>
    <w:p w:rsidR="005E7E78" w:rsidRDefault="003040FE">
      <w:pPr>
        <w:rPr>
          <w:color w:val="000000" w:themeColor="text1"/>
        </w:rPr>
      </w:pPr>
      <w:r w:rsidRPr="00D60225">
        <w:rPr>
          <w:color w:val="000000" w:themeColor="text1"/>
        </w:rPr>
        <w:t>The Minister of Forests and Range (now the Minister of Forests, Lands and Natural Resource Operations) expressed the economic and social objectives of the Crown for the province in a letter to the chief forester, date</w:t>
      </w:r>
      <w:r w:rsidR="00DE6ACF" w:rsidRPr="00D60225">
        <w:rPr>
          <w:color w:val="000000" w:themeColor="text1"/>
        </w:rPr>
        <w:t>d July 4, 2006</w:t>
      </w:r>
      <w:r w:rsidRPr="00D60225">
        <w:rPr>
          <w:color w:val="000000" w:themeColor="text1"/>
        </w:rPr>
        <w:t xml:space="preserve">.  Two of the government’s stated goals are to create more jobs per capita than anywhere </w:t>
      </w:r>
      <w:r w:rsidR="00E448EE" w:rsidRPr="00D60225">
        <w:rPr>
          <w:color w:val="000000" w:themeColor="text1"/>
        </w:rPr>
        <w:t xml:space="preserve">else </w:t>
      </w:r>
      <w:r w:rsidRPr="00D60225">
        <w:rPr>
          <w:color w:val="000000" w:themeColor="text1"/>
        </w:rPr>
        <w:t>in Canada, and to lead the world in sustainable environmental management.  The Minister asked for consideration, during AAC determinations, of the importance of a stable timber supply in maintaining a competitive and sustainable forest industry while being mindful of other forest values.</w:t>
      </w:r>
    </w:p>
    <w:p w:rsidR="00BF75B0" w:rsidRDefault="003040FE">
      <w:pPr>
        <w:rPr>
          <w:color w:val="000000" w:themeColor="text1"/>
        </w:rPr>
      </w:pPr>
      <w:r w:rsidRPr="00D60225">
        <w:rPr>
          <w:color w:val="000000" w:themeColor="text1"/>
        </w:rPr>
        <w:t xml:space="preserve">In respect of this, in the base case projection described </w:t>
      </w:r>
      <w:r w:rsidR="005E7E78">
        <w:rPr>
          <w:color w:val="000000" w:themeColor="text1"/>
        </w:rPr>
        <w:t>earlier in this document</w:t>
      </w:r>
      <w:r w:rsidRPr="00D60225">
        <w:rPr>
          <w:color w:val="000000" w:themeColor="text1"/>
        </w:rPr>
        <w:t xml:space="preserve">, a primary objective in the harvest flow </w:t>
      </w:r>
      <w:r w:rsidR="002B6BB6">
        <w:rPr>
          <w:color w:val="000000" w:themeColor="text1"/>
        </w:rPr>
        <w:t>was</w:t>
      </w:r>
      <w:r w:rsidRPr="00D60225">
        <w:rPr>
          <w:color w:val="000000" w:themeColor="text1"/>
        </w:rPr>
        <w:t xml:space="preserve"> to attain a stable, </w:t>
      </w:r>
      <w:r w:rsidR="00BB0609">
        <w:rPr>
          <w:color w:val="000000" w:themeColor="text1"/>
        </w:rPr>
        <w:t>mid</w:t>
      </w:r>
      <w:r w:rsidR="002C1769">
        <w:rPr>
          <w:color w:val="000000" w:themeColor="text1"/>
        </w:rPr>
        <w:noBreakHyphen/>
      </w:r>
      <w:r w:rsidR="00BB0609">
        <w:rPr>
          <w:color w:val="000000" w:themeColor="text1"/>
        </w:rPr>
        <w:t xml:space="preserve"> and </w:t>
      </w:r>
      <w:r w:rsidRPr="00D60225">
        <w:rPr>
          <w:color w:val="000000" w:themeColor="text1"/>
        </w:rPr>
        <w:t>long</w:t>
      </w:r>
      <w:r w:rsidR="002C1769">
        <w:rPr>
          <w:color w:val="000000" w:themeColor="text1"/>
        </w:rPr>
        <w:noBreakHyphen/>
      </w:r>
      <w:r w:rsidRPr="00D60225">
        <w:rPr>
          <w:color w:val="000000" w:themeColor="text1"/>
        </w:rPr>
        <w:t>term harvest level where the growing stock also stabilizes.  I have also considered with care the adequacy of the provisions made both in current practice, and assumed in the analyses, for maintaining a range of forest values.</w:t>
      </w:r>
    </w:p>
    <w:p w:rsidR="00BF75B0" w:rsidRDefault="00BF75B0">
      <w:pPr>
        <w:rPr>
          <w:color w:val="000000" w:themeColor="text1"/>
        </w:rPr>
      </w:pPr>
      <w:r w:rsidRPr="00BF75B0">
        <w:rPr>
          <w:color w:val="000000" w:themeColor="text1"/>
        </w:rPr>
        <w:t>The Minister also emphasizes the mountain pine beetle outbreak in the interior of British Columbia.  He indicates that of particular relevance to AAC determinations are the objectives of encouraging long</w:t>
      </w:r>
      <w:r w:rsidR="002C1769">
        <w:rPr>
          <w:color w:val="000000" w:themeColor="text1"/>
        </w:rPr>
        <w:noBreakHyphen/>
      </w:r>
      <w:r w:rsidRPr="00BF75B0">
        <w:rPr>
          <w:color w:val="000000" w:themeColor="text1"/>
        </w:rPr>
        <w:t xml:space="preserve">term economic sustainability for communities affected by the epidemic; recovering the greatest value from dead timber before it burns or decays, while respecting other forest values; and conserving the </w:t>
      </w:r>
      <w:r w:rsidR="00EB682C" w:rsidRPr="00BF75B0">
        <w:rPr>
          <w:color w:val="000000" w:themeColor="text1"/>
        </w:rPr>
        <w:t>long</w:t>
      </w:r>
      <w:r w:rsidR="002C1769">
        <w:rPr>
          <w:color w:val="000000" w:themeColor="text1"/>
        </w:rPr>
        <w:noBreakHyphen/>
      </w:r>
      <w:r w:rsidRPr="00BF75B0">
        <w:rPr>
          <w:color w:val="000000" w:themeColor="text1"/>
        </w:rPr>
        <w:t>term forest values identified in land use plans.</w:t>
      </w:r>
    </w:p>
    <w:p w:rsidR="003040FE" w:rsidRDefault="00BF75B0">
      <w:pPr>
        <w:rPr>
          <w:color w:val="000000" w:themeColor="text1"/>
        </w:rPr>
      </w:pPr>
      <w:r>
        <w:rPr>
          <w:color w:val="000000" w:themeColor="text1"/>
        </w:rPr>
        <w:t>As well, t</w:t>
      </w:r>
      <w:r w:rsidR="003040FE" w:rsidRPr="00D60225">
        <w:rPr>
          <w:color w:val="000000" w:themeColor="text1"/>
        </w:rPr>
        <w:t xml:space="preserve">he Minister </w:t>
      </w:r>
      <w:r w:rsidR="00FC105F" w:rsidRPr="00D802CC">
        <w:rPr>
          <w:color w:val="000000" w:themeColor="text1"/>
        </w:rPr>
        <w:t>requested</w:t>
      </w:r>
      <w:r w:rsidR="003040FE" w:rsidRPr="00D802CC">
        <w:rPr>
          <w:color w:val="000000" w:themeColor="text1"/>
        </w:rPr>
        <w:t xml:space="preserve"> t</w:t>
      </w:r>
      <w:r w:rsidR="003040FE" w:rsidRPr="00D60225">
        <w:rPr>
          <w:color w:val="000000" w:themeColor="text1"/>
        </w:rPr>
        <w:t>hat the chief forester consider the local social and economic objectives expressed by the public, and information received from First</w:t>
      </w:r>
      <w:r w:rsidR="00644478" w:rsidRPr="00D60225">
        <w:rPr>
          <w:color w:val="000000" w:themeColor="text1"/>
        </w:rPr>
        <w:t> </w:t>
      </w:r>
      <w:r w:rsidR="003040FE" w:rsidRPr="00D60225">
        <w:rPr>
          <w:color w:val="000000" w:themeColor="text1"/>
        </w:rPr>
        <w:t>Nations.</w:t>
      </w:r>
    </w:p>
    <w:p w:rsidR="007F2294" w:rsidRDefault="007F2294">
      <w:pPr>
        <w:pStyle w:val="BodyText3"/>
        <w:rPr>
          <w:color w:val="000000" w:themeColor="text1"/>
          <w:szCs w:val="22"/>
        </w:rPr>
      </w:pPr>
      <w:r>
        <w:rPr>
          <w:color w:val="000000" w:themeColor="text1"/>
          <w:szCs w:val="22"/>
        </w:rPr>
        <w:t>The Minister sent a second letter</w:t>
      </w:r>
      <w:r w:rsidR="00BB0609">
        <w:rPr>
          <w:color w:val="000000" w:themeColor="text1"/>
          <w:szCs w:val="22"/>
        </w:rPr>
        <w:t xml:space="preserve"> to the chief forester on </w:t>
      </w:r>
      <w:r>
        <w:rPr>
          <w:color w:val="000000" w:themeColor="text1"/>
          <w:szCs w:val="22"/>
        </w:rPr>
        <w:t xml:space="preserve">October 27, 2010, </w:t>
      </w:r>
      <w:r w:rsidR="00BB0609">
        <w:rPr>
          <w:color w:val="000000" w:themeColor="text1"/>
          <w:szCs w:val="22"/>
        </w:rPr>
        <w:t>in which he</w:t>
      </w:r>
      <w:r>
        <w:rPr>
          <w:color w:val="000000" w:themeColor="text1"/>
          <w:szCs w:val="22"/>
        </w:rPr>
        <w:t xml:space="preserve"> expressed objectives regarding mid</w:t>
      </w:r>
      <w:r w:rsidR="002C1769">
        <w:rPr>
          <w:color w:val="000000" w:themeColor="text1"/>
          <w:szCs w:val="22"/>
        </w:rPr>
        <w:noBreakHyphen/>
      </w:r>
      <w:r>
        <w:rPr>
          <w:color w:val="000000" w:themeColor="text1"/>
          <w:szCs w:val="22"/>
        </w:rPr>
        <w:t>term timber supply in areas affected by the mountain pine beetle.</w:t>
      </w:r>
    </w:p>
    <w:p w:rsidR="005965D2" w:rsidRDefault="005965D2" w:rsidP="005965D2">
      <w:pPr>
        <w:rPr>
          <w:color w:val="000000" w:themeColor="text1"/>
        </w:rPr>
      </w:pPr>
      <w:r>
        <w:rPr>
          <w:color w:val="000000" w:themeColor="text1"/>
        </w:rPr>
        <w:t>I am satisfied that the timber supply analysis for TFL</w:t>
      </w:r>
      <w:r w:rsidR="00F676DD">
        <w:rPr>
          <w:color w:val="000000" w:themeColor="text1"/>
        </w:rPr>
        <w:t> </w:t>
      </w:r>
      <w:r>
        <w:rPr>
          <w:color w:val="000000" w:themeColor="text1"/>
        </w:rPr>
        <w:t>48 in combination with information from, and discussions with, Ministry and licensee staff has provided me with the information necessary to make a determination for TFL</w:t>
      </w:r>
      <w:r w:rsidR="00F676DD">
        <w:rPr>
          <w:color w:val="000000" w:themeColor="text1"/>
        </w:rPr>
        <w:t> </w:t>
      </w:r>
      <w:r>
        <w:rPr>
          <w:color w:val="000000" w:themeColor="text1"/>
        </w:rPr>
        <w:t>48 that meets the objectives expressed in these letters.</w:t>
      </w:r>
    </w:p>
    <w:p w:rsidR="00D62F08" w:rsidRDefault="00270B5A">
      <w:pPr>
        <w:pStyle w:val="BodyText3"/>
        <w:rPr>
          <w:color w:val="000000" w:themeColor="text1"/>
          <w:szCs w:val="22"/>
        </w:rPr>
      </w:pPr>
      <w:r>
        <w:rPr>
          <w:color w:val="000000" w:themeColor="text1"/>
          <w:szCs w:val="22"/>
        </w:rPr>
        <w:t xml:space="preserve">The licensee made the draft timber supply analysis information package available for public review and </w:t>
      </w:r>
      <w:r w:rsidR="00BB0609">
        <w:rPr>
          <w:color w:val="000000" w:themeColor="text1"/>
          <w:szCs w:val="22"/>
        </w:rPr>
        <w:t>F</w:t>
      </w:r>
      <w:r>
        <w:rPr>
          <w:color w:val="000000" w:themeColor="text1"/>
          <w:szCs w:val="22"/>
        </w:rPr>
        <w:t xml:space="preserve">irst </w:t>
      </w:r>
      <w:r w:rsidR="00BB0609">
        <w:rPr>
          <w:color w:val="000000" w:themeColor="text1"/>
          <w:szCs w:val="22"/>
        </w:rPr>
        <w:t>N</w:t>
      </w:r>
      <w:r>
        <w:rPr>
          <w:color w:val="000000" w:themeColor="text1"/>
          <w:szCs w:val="22"/>
        </w:rPr>
        <w:t xml:space="preserve">ations </w:t>
      </w:r>
      <w:r w:rsidR="00116C32">
        <w:rPr>
          <w:color w:val="000000" w:themeColor="text1"/>
          <w:szCs w:val="22"/>
        </w:rPr>
        <w:t xml:space="preserve">information sharing </w:t>
      </w:r>
      <w:r>
        <w:rPr>
          <w:color w:val="000000" w:themeColor="text1"/>
          <w:szCs w:val="22"/>
        </w:rPr>
        <w:t xml:space="preserve">from August 26 to November 15, 2013.  Draft Management Plan #5 was made available for review from February 12 to April 11 of 2014.  The licensee received input from the </w:t>
      </w:r>
      <w:r w:rsidR="00BB0609">
        <w:rPr>
          <w:color w:val="000000" w:themeColor="text1"/>
          <w:szCs w:val="22"/>
        </w:rPr>
        <w:t>public as well as First Nations.</w:t>
      </w:r>
    </w:p>
    <w:p w:rsidR="003040FE" w:rsidRDefault="00D62F08">
      <w:pPr>
        <w:pStyle w:val="BodyText3"/>
        <w:rPr>
          <w:color w:val="000000" w:themeColor="text1"/>
          <w:szCs w:val="22"/>
        </w:rPr>
      </w:pPr>
      <w:r>
        <w:rPr>
          <w:color w:val="000000" w:themeColor="text1"/>
          <w:szCs w:val="22"/>
        </w:rPr>
        <w:t>FLNR staff</w:t>
      </w:r>
      <w:r w:rsidR="00E900D3">
        <w:rPr>
          <w:color w:val="000000" w:themeColor="text1"/>
          <w:szCs w:val="22"/>
        </w:rPr>
        <w:t xml:space="preserve"> consulted with </w:t>
      </w:r>
      <w:r>
        <w:rPr>
          <w:color w:val="000000" w:themeColor="text1"/>
          <w:szCs w:val="22"/>
        </w:rPr>
        <w:t>First Nations</w:t>
      </w:r>
      <w:r w:rsidR="00E900D3">
        <w:rPr>
          <w:color w:val="000000" w:themeColor="text1"/>
          <w:szCs w:val="22"/>
        </w:rPr>
        <w:t xml:space="preserve"> between </w:t>
      </w:r>
      <w:r>
        <w:rPr>
          <w:color w:val="000000" w:themeColor="text1"/>
          <w:szCs w:val="22"/>
        </w:rPr>
        <w:t xml:space="preserve">February </w:t>
      </w:r>
      <w:r w:rsidR="00E900D3">
        <w:rPr>
          <w:color w:val="000000" w:themeColor="text1"/>
          <w:szCs w:val="22"/>
        </w:rPr>
        <w:t xml:space="preserve">and April </w:t>
      </w:r>
      <w:r>
        <w:rPr>
          <w:color w:val="000000" w:themeColor="text1"/>
          <w:szCs w:val="22"/>
        </w:rPr>
        <w:t>2014.  Other than responding with a comment on the deadline for consultation, the only input received from the First Nations during the consultation process was directed to the licensee.</w:t>
      </w:r>
    </w:p>
    <w:p w:rsidR="00BB0609" w:rsidRDefault="00BB0609">
      <w:pPr>
        <w:pStyle w:val="BodyText3"/>
        <w:rPr>
          <w:color w:val="000000" w:themeColor="text1"/>
          <w:szCs w:val="22"/>
        </w:rPr>
      </w:pPr>
      <w:r>
        <w:rPr>
          <w:color w:val="000000" w:themeColor="text1"/>
          <w:szCs w:val="22"/>
        </w:rPr>
        <w:t>I have considered the objectives expressed by the Minister in my determination for TFL</w:t>
      </w:r>
      <w:r w:rsidR="00F676DD">
        <w:rPr>
          <w:color w:val="000000" w:themeColor="text1"/>
          <w:szCs w:val="22"/>
        </w:rPr>
        <w:t> </w:t>
      </w:r>
      <w:r>
        <w:rPr>
          <w:color w:val="000000" w:themeColor="text1"/>
          <w:szCs w:val="22"/>
        </w:rPr>
        <w:t>48.  Where appropriate, I have discussed the input from the public and First Nations in the relevant sections of this rationale document.</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3040FE" w:rsidRDefault="00BE0862" w:rsidP="00F9073C">
      <w:pPr>
        <w:pStyle w:val="BodyTextIndent"/>
        <w:ind w:left="2127" w:hanging="1560"/>
        <w:rPr>
          <w:color w:val="000000" w:themeColor="text1"/>
        </w:rPr>
      </w:pPr>
      <w:r w:rsidRPr="00D60225">
        <w:rPr>
          <w:color w:val="000000" w:themeColor="text1"/>
        </w:rPr>
        <w:t>Section 8(8</w:t>
      </w:r>
      <w:proofErr w:type="gramStart"/>
      <w:r w:rsidRPr="00D60225">
        <w:rPr>
          <w:color w:val="000000" w:themeColor="text1"/>
        </w:rPr>
        <w:t>)</w:t>
      </w:r>
      <w:r w:rsidR="003040FE" w:rsidRPr="00D60225">
        <w:rPr>
          <w:color w:val="000000" w:themeColor="text1"/>
        </w:rPr>
        <w:t>(</w:t>
      </w:r>
      <w:proofErr w:type="gramEnd"/>
      <w:r w:rsidR="003040FE" w:rsidRPr="00D60225">
        <w:rPr>
          <w:color w:val="000000" w:themeColor="text1"/>
        </w:rPr>
        <w:t>e)</w:t>
      </w:r>
      <w:r w:rsidR="003040FE" w:rsidRPr="00D60225">
        <w:rPr>
          <w:color w:val="000000" w:themeColor="text1"/>
        </w:rPr>
        <w:tab/>
        <w:t>abnormal infestations in and devastations of, and major salvage programs planned for, timber on the area.</w:t>
      </w:r>
    </w:p>
    <w:p w:rsidR="00CC1E1C" w:rsidRDefault="00CC1E1C" w:rsidP="00CC1E1C">
      <w:pPr>
        <w:pStyle w:val="Heading2"/>
        <w:rPr>
          <w:color w:val="000000" w:themeColor="text1"/>
        </w:rPr>
      </w:pPr>
      <w:bookmarkStart w:id="297" w:name="_Toc432658656"/>
      <w:bookmarkStart w:id="298" w:name="_Toc317667261"/>
      <w:r w:rsidRPr="005A69E7">
        <w:rPr>
          <w:color w:val="000000" w:themeColor="text1"/>
        </w:rPr>
        <w:t>Factors considered under Section 8(8)</w:t>
      </w:r>
      <w:r w:rsidR="00003B96">
        <w:rPr>
          <w:color w:val="000000" w:themeColor="text1"/>
        </w:rPr>
        <w:t xml:space="preserve"> </w:t>
      </w:r>
      <w:r>
        <w:rPr>
          <w:color w:val="000000" w:themeColor="text1"/>
        </w:rPr>
        <w:t>(e)</w:t>
      </w:r>
      <w:bookmarkEnd w:id="297"/>
    </w:p>
    <w:p w:rsidR="00043D4A" w:rsidRDefault="00BE0862">
      <w:pPr>
        <w:pStyle w:val="Heading3"/>
        <w:rPr>
          <w:color w:val="000000" w:themeColor="text1"/>
        </w:rPr>
      </w:pPr>
      <w:bookmarkStart w:id="299" w:name="_Toc432658657"/>
      <w:r w:rsidRPr="00713161">
        <w:rPr>
          <w:color w:val="000000" w:themeColor="text1"/>
        </w:rPr>
        <w:t>-</w:t>
      </w:r>
      <w:r w:rsidR="00172FFD" w:rsidRPr="00713161">
        <w:rPr>
          <w:color w:val="000000" w:themeColor="text1"/>
        </w:rPr>
        <w:t xml:space="preserve"> </w:t>
      </w:r>
      <w:bookmarkEnd w:id="298"/>
      <w:proofErr w:type="gramStart"/>
      <w:r w:rsidR="00BF75B0" w:rsidRPr="00713161">
        <w:rPr>
          <w:color w:val="000000" w:themeColor="text1"/>
        </w:rPr>
        <w:t>fires</w:t>
      </w:r>
      <w:bookmarkEnd w:id="299"/>
      <w:proofErr w:type="gramEnd"/>
    </w:p>
    <w:bookmarkEnd w:id="292"/>
    <w:bookmarkEnd w:id="293"/>
    <w:bookmarkEnd w:id="294"/>
    <w:bookmarkEnd w:id="295"/>
    <w:p w:rsidR="00A7668A" w:rsidRDefault="00A7668A" w:rsidP="00A7668A">
      <w:pPr>
        <w:rPr>
          <w:color w:val="000000" w:themeColor="text1"/>
        </w:rPr>
      </w:pPr>
      <w:r w:rsidRPr="00264D7F">
        <w:rPr>
          <w:color w:val="000000" w:themeColor="text1"/>
        </w:rPr>
        <w:t>Non</w:t>
      </w:r>
      <w:r w:rsidR="00F676DD">
        <w:rPr>
          <w:color w:val="000000" w:themeColor="text1"/>
        </w:rPr>
        <w:noBreakHyphen/>
      </w:r>
      <w:r w:rsidRPr="00264D7F">
        <w:rPr>
          <w:color w:val="000000" w:themeColor="text1"/>
        </w:rPr>
        <w:t xml:space="preserve">recoverable loss estimates applied in the base case </w:t>
      </w:r>
      <w:r>
        <w:rPr>
          <w:color w:val="000000" w:themeColor="text1"/>
        </w:rPr>
        <w:t>included an accounting for losses due to fire</w:t>
      </w:r>
      <w:r w:rsidR="00143E21">
        <w:rPr>
          <w:color w:val="000000" w:themeColor="text1"/>
        </w:rPr>
        <w:t xml:space="preserve"> of </w:t>
      </w:r>
      <w:r>
        <w:rPr>
          <w:color w:val="000000" w:themeColor="text1"/>
        </w:rPr>
        <w:t>44</w:t>
      </w:r>
      <w:r w:rsidR="00F676DD">
        <w:rPr>
          <w:color w:val="000000" w:themeColor="text1"/>
        </w:rPr>
        <w:t> </w:t>
      </w:r>
      <w:r>
        <w:rPr>
          <w:color w:val="000000" w:themeColor="text1"/>
        </w:rPr>
        <w:t>605 cubic metres annual</w:t>
      </w:r>
      <w:r w:rsidR="00143E21">
        <w:rPr>
          <w:color w:val="000000" w:themeColor="text1"/>
        </w:rPr>
        <w:t>ly</w:t>
      </w:r>
      <w:r>
        <w:rPr>
          <w:color w:val="000000" w:themeColor="text1"/>
        </w:rPr>
        <w:t xml:space="preserve">.  </w:t>
      </w:r>
      <w:r w:rsidR="00143E21">
        <w:rPr>
          <w:color w:val="000000" w:themeColor="text1"/>
        </w:rPr>
        <w:t>These estimates are based on expected fire losses from historical data.</w:t>
      </w:r>
    </w:p>
    <w:p w:rsidR="006C5178" w:rsidRPr="00264D7F" w:rsidRDefault="00BF75B0" w:rsidP="00264D7F">
      <w:pPr>
        <w:rPr>
          <w:color w:val="000000" w:themeColor="text1"/>
        </w:rPr>
      </w:pPr>
      <w:r w:rsidRPr="00264D7F">
        <w:rPr>
          <w:color w:val="000000" w:themeColor="text1"/>
        </w:rPr>
        <w:t>Seven fires burned on TFL</w:t>
      </w:r>
      <w:r w:rsidR="00F676DD">
        <w:rPr>
          <w:color w:val="000000" w:themeColor="text1"/>
        </w:rPr>
        <w:t> </w:t>
      </w:r>
      <w:r w:rsidRPr="00264D7F">
        <w:rPr>
          <w:color w:val="000000" w:themeColor="text1"/>
        </w:rPr>
        <w:t xml:space="preserve">48 during the 2014 fire season.  </w:t>
      </w:r>
      <w:r w:rsidR="00264D7F" w:rsidRPr="00264D7F">
        <w:rPr>
          <w:color w:val="000000" w:themeColor="text1"/>
        </w:rPr>
        <w:t>Although the majority of the fires were small with a negligible impact, o</w:t>
      </w:r>
      <w:r w:rsidRPr="00264D7F">
        <w:rPr>
          <w:color w:val="000000" w:themeColor="text1"/>
        </w:rPr>
        <w:t>ne of these fires, the McAllister Fire, was large.  The licensee estimates that th</w:t>
      </w:r>
      <w:r w:rsidR="00264D7F" w:rsidRPr="00264D7F">
        <w:rPr>
          <w:color w:val="000000" w:themeColor="text1"/>
        </w:rPr>
        <w:t>is</w:t>
      </w:r>
      <w:r w:rsidRPr="00264D7F">
        <w:rPr>
          <w:color w:val="000000" w:themeColor="text1"/>
        </w:rPr>
        <w:t xml:space="preserve"> fire impacted 11</w:t>
      </w:r>
      <w:r w:rsidR="00F676DD">
        <w:rPr>
          <w:color w:val="000000" w:themeColor="text1"/>
        </w:rPr>
        <w:t> </w:t>
      </w:r>
      <w:r w:rsidRPr="00264D7F">
        <w:rPr>
          <w:color w:val="000000" w:themeColor="text1"/>
        </w:rPr>
        <w:t>052 hectares of the timber harvesting land base, corresponding to 1.9 million cubic metres or 3.7 percent of the coniferous growing stock on the TFL.</w:t>
      </w:r>
      <w:r w:rsidR="00264D7F" w:rsidRPr="00264D7F">
        <w:rPr>
          <w:color w:val="000000" w:themeColor="text1"/>
        </w:rPr>
        <w:t xml:space="preserve">  </w:t>
      </w:r>
      <w:r w:rsidR="00FD56EA">
        <w:rPr>
          <w:color w:val="000000" w:themeColor="text1"/>
        </w:rPr>
        <w:t>About 75 percent of the area burned was covered in stands greater than 80 years of age, and these stands contained almost all of the timber volume burned</w:t>
      </w:r>
      <w:r w:rsidR="00264D7F" w:rsidRPr="00264D7F">
        <w:rPr>
          <w:color w:val="000000" w:themeColor="text1"/>
        </w:rPr>
        <w:t>.  Approximately 22.6 percent of the volume burned was</w:t>
      </w:r>
      <w:r w:rsidR="00FD56EA">
        <w:rPr>
          <w:color w:val="000000" w:themeColor="text1"/>
        </w:rPr>
        <w:t xml:space="preserve"> </w:t>
      </w:r>
      <w:r w:rsidR="00A7668A">
        <w:rPr>
          <w:color w:val="000000" w:themeColor="text1"/>
        </w:rPr>
        <w:t>from</w:t>
      </w:r>
      <w:r w:rsidR="00FD56EA">
        <w:rPr>
          <w:color w:val="000000" w:themeColor="text1"/>
        </w:rPr>
        <w:t xml:space="preserve"> dead pine impacted by the</w:t>
      </w:r>
      <w:r w:rsidR="00264D7F" w:rsidRPr="00264D7F">
        <w:rPr>
          <w:color w:val="000000" w:themeColor="text1"/>
        </w:rPr>
        <w:t xml:space="preserve"> MPB</w:t>
      </w:r>
      <w:r w:rsidR="00A7668A">
        <w:rPr>
          <w:color w:val="000000" w:themeColor="text1"/>
        </w:rPr>
        <w:t>, and the remainder was from balsam and spruce.</w:t>
      </w:r>
    </w:p>
    <w:p w:rsidR="00687CD0" w:rsidRDefault="00A7668A" w:rsidP="00264D7F">
      <w:pPr>
        <w:rPr>
          <w:color w:val="000000" w:themeColor="text1"/>
        </w:rPr>
      </w:pPr>
      <w:r w:rsidRPr="00F676DD">
        <w:rPr>
          <w:color w:val="000000" w:themeColor="text1"/>
        </w:rPr>
        <w:t>F</w:t>
      </w:r>
      <w:r w:rsidR="00143E21" w:rsidRPr="00F676DD">
        <w:rPr>
          <w:color w:val="000000" w:themeColor="text1"/>
        </w:rPr>
        <w:t>AIB</w:t>
      </w:r>
      <w:r w:rsidRPr="00F676DD">
        <w:rPr>
          <w:color w:val="000000" w:themeColor="text1"/>
        </w:rPr>
        <w:t xml:space="preserve"> staff suggest</w:t>
      </w:r>
      <w:r w:rsidR="00910458" w:rsidRPr="00F676DD">
        <w:rPr>
          <w:color w:val="000000" w:themeColor="text1"/>
        </w:rPr>
        <w:t>ed</w:t>
      </w:r>
      <w:r w:rsidRPr="00F676DD">
        <w:rPr>
          <w:color w:val="000000" w:themeColor="text1"/>
        </w:rPr>
        <w:t xml:space="preserve"> that mid</w:t>
      </w:r>
      <w:r w:rsidR="00F676DD">
        <w:rPr>
          <w:color w:val="000000" w:themeColor="text1"/>
        </w:rPr>
        <w:noBreakHyphen/>
      </w:r>
      <w:r w:rsidRPr="00F676DD">
        <w:rPr>
          <w:color w:val="000000" w:themeColor="text1"/>
        </w:rPr>
        <w:t xml:space="preserve">term timber supply for the TFL </w:t>
      </w:r>
      <w:r w:rsidR="0076350E" w:rsidRPr="00F676DD">
        <w:rPr>
          <w:color w:val="000000" w:themeColor="text1"/>
        </w:rPr>
        <w:t>might</w:t>
      </w:r>
      <w:r w:rsidRPr="00F676DD">
        <w:rPr>
          <w:color w:val="000000" w:themeColor="text1"/>
        </w:rPr>
        <w:t xml:space="preserve"> be slightly reduced </w:t>
      </w:r>
      <w:r w:rsidR="00143E21" w:rsidRPr="00F676DD">
        <w:rPr>
          <w:color w:val="000000" w:themeColor="text1"/>
        </w:rPr>
        <w:t xml:space="preserve">as a result of </w:t>
      </w:r>
      <w:r w:rsidRPr="00F676DD">
        <w:rPr>
          <w:color w:val="000000" w:themeColor="text1"/>
        </w:rPr>
        <w:t xml:space="preserve">the loss of green spruce and balsam volume from the McAllister </w:t>
      </w:r>
      <w:r w:rsidR="00143E21" w:rsidRPr="00F676DD">
        <w:rPr>
          <w:color w:val="000000" w:themeColor="text1"/>
        </w:rPr>
        <w:t>F</w:t>
      </w:r>
      <w:r w:rsidRPr="00F676DD">
        <w:rPr>
          <w:color w:val="000000" w:themeColor="text1"/>
        </w:rPr>
        <w:t>ire.</w:t>
      </w:r>
      <w:r w:rsidR="00143E21" w:rsidRPr="00F676DD">
        <w:rPr>
          <w:color w:val="000000" w:themeColor="text1"/>
        </w:rPr>
        <w:t xml:space="preserve">  In order to </w:t>
      </w:r>
      <w:r w:rsidRPr="00F676DD">
        <w:rPr>
          <w:color w:val="000000" w:themeColor="text1"/>
        </w:rPr>
        <w:t>provide a better understanding of the potential impact</w:t>
      </w:r>
      <w:r w:rsidR="00143E21" w:rsidRPr="00F676DD">
        <w:rPr>
          <w:color w:val="000000" w:themeColor="text1"/>
        </w:rPr>
        <w:t xml:space="preserve"> to timber supply, </w:t>
      </w:r>
      <w:r w:rsidRPr="00F676DD">
        <w:rPr>
          <w:color w:val="000000" w:themeColor="text1"/>
        </w:rPr>
        <w:t>the licensee conduct</w:t>
      </w:r>
      <w:r w:rsidR="00321746" w:rsidRPr="00F676DD">
        <w:rPr>
          <w:color w:val="000000" w:themeColor="text1"/>
        </w:rPr>
        <w:t>ed</w:t>
      </w:r>
      <w:r w:rsidRPr="00F676DD">
        <w:rPr>
          <w:color w:val="000000" w:themeColor="text1"/>
        </w:rPr>
        <w:t xml:space="preserve"> an additional sensitivity analysis</w:t>
      </w:r>
      <w:r w:rsidR="00326856" w:rsidRPr="00F676DD">
        <w:rPr>
          <w:color w:val="000000" w:themeColor="text1"/>
        </w:rPr>
        <w:t xml:space="preserve"> that accounts for the fire damage</w:t>
      </w:r>
      <w:r w:rsidRPr="00F676DD">
        <w:rPr>
          <w:color w:val="000000" w:themeColor="text1"/>
        </w:rPr>
        <w:t>.</w:t>
      </w:r>
      <w:r w:rsidR="0020406A" w:rsidRPr="00F676DD">
        <w:rPr>
          <w:color w:val="000000" w:themeColor="text1"/>
        </w:rPr>
        <w:t xml:space="preserve">  The results s</w:t>
      </w:r>
      <w:r w:rsidR="0076350E" w:rsidRPr="00F676DD">
        <w:rPr>
          <w:color w:val="000000" w:themeColor="text1"/>
        </w:rPr>
        <w:t>uggest</w:t>
      </w:r>
      <w:r w:rsidR="0020406A" w:rsidRPr="00F676DD">
        <w:rPr>
          <w:color w:val="000000" w:themeColor="text1"/>
        </w:rPr>
        <w:t xml:space="preserve"> negligible impact to long</w:t>
      </w:r>
      <w:r w:rsidR="00F676DD">
        <w:rPr>
          <w:color w:val="000000" w:themeColor="text1"/>
        </w:rPr>
        <w:noBreakHyphen/>
      </w:r>
      <w:r w:rsidR="0020406A" w:rsidRPr="00F676DD">
        <w:rPr>
          <w:color w:val="000000" w:themeColor="text1"/>
        </w:rPr>
        <w:t>term timber supply, but an impact of up to 25</w:t>
      </w:r>
      <w:r w:rsidR="00DB5864" w:rsidRPr="00F676DD">
        <w:rPr>
          <w:color w:val="000000" w:themeColor="text1"/>
        </w:rPr>
        <w:t> </w:t>
      </w:r>
      <w:r w:rsidR="0020406A" w:rsidRPr="00F676DD">
        <w:rPr>
          <w:color w:val="000000" w:themeColor="text1"/>
        </w:rPr>
        <w:t>000</w:t>
      </w:r>
      <w:r w:rsidR="00DB5864" w:rsidRPr="00F676DD">
        <w:rPr>
          <w:color w:val="000000" w:themeColor="text1"/>
        </w:rPr>
        <w:t> </w:t>
      </w:r>
      <w:r w:rsidR="0020406A" w:rsidRPr="00F676DD">
        <w:rPr>
          <w:color w:val="000000" w:themeColor="text1"/>
        </w:rPr>
        <w:t>cubic metres per year to the</w:t>
      </w:r>
      <w:r w:rsidR="0020406A">
        <w:rPr>
          <w:color w:val="000000" w:themeColor="text1"/>
        </w:rPr>
        <w:t xml:space="preserve"> </w:t>
      </w:r>
      <w:r w:rsidR="00DB5864">
        <w:rPr>
          <w:color w:val="000000" w:themeColor="text1"/>
        </w:rPr>
        <w:t>short</w:t>
      </w:r>
      <w:r w:rsidR="00F676DD">
        <w:rPr>
          <w:color w:val="000000" w:themeColor="text1"/>
        </w:rPr>
        <w:noBreakHyphen/>
      </w:r>
      <w:r w:rsidR="00DB5864">
        <w:rPr>
          <w:color w:val="000000" w:themeColor="text1"/>
        </w:rPr>
        <w:t xml:space="preserve"> and </w:t>
      </w:r>
      <w:r w:rsidR="0020406A">
        <w:rPr>
          <w:color w:val="000000" w:themeColor="text1"/>
        </w:rPr>
        <w:t>mid</w:t>
      </w:r>
      <w:r w:rsidR="005B475B">
        <w:rPr>
          <w:color w:val="000000" w:themeColor="text1"/>
        </w:rPr>
        <w:noBreakHyphen/>
      </w:r>
      <w:r w:rsidR="0020406A">
        <w:rPr>
          <w:color w:val="000000" w:themeColor="text1"/>
        </w:rPr>
        <w:t>term</w:t>
      </w:r>
      <w:r w:rsidR="00687CD0">
        <w:rPr>
          <w:color w:val="000000" w:themeColor="text1"/>
        </w:rPr>
        <w:t xml:space="preserve">, or </w:t>
      </w:r>
      <w:r w:rsidR="00BE5E9F">
        <w:rPr>
          <w:color w:val="000000" w:themeColor="text1"/>
        </w:rPr>
        <w:t xml:space="preserve">1.4 </w:t>
      </w:r>
      <w:r w:rsidR="00D07D83">
        <w:rPr>
          <w:color w:val="000000" w:themeColor="text1"/>
        </w:rPr>
        <w:t>and</w:t>
      </w:r>
      <w:r w:rsidR="00BE5E9F">
        <w:rPr>
          <w:color w:val="000000" w:themeColor="text1"/>
        </w:rPr>
        <w:t xml:space="preserve"> </w:t>
      </w:r>
      <w:r w:rsidR="00F676DD">
        <w:rPr>
          <w:color w:val="000000" w:themeColor="text1"/>
        </w:rPr>
        <w:t>three</w:t>
      </w:r>
      <w:r w:rsidR="00687CD0">
        <w:rPr>
          <w:color w:val="000000" w:themeColor="text1"/>
        </w:rPr>
        <w:t xml:space="preserve"> percent</w:t>
      </w:r>
      <w:r w:rsidR="00D07D83">
        <w:rPr>
          <w:color w:val="000000" w:themeColor="text1"/>
        </w:rPr>
        <w:t>, respectively</w:t>
      </w:r>
      <w:r w:rsidR="0020406A">
        <w:rPr>
          <w:color w:val="000000" w:themeColor="text1"/>
        </w:rPr>
        <w:t>.</w:t>
      </w:r>
    </w:p>
    <w:p w:rsidR="000B0A95" w:rsidRDefault="009A6E7F" w:rsidP="00264D7F">
      <w:pPr>
        <w:rPr>
          <w:color w:val="000000" w:themeColor="text1"/>
        </w:rPr>
      </w:pPr>
      <w:r>
        <w:rPr>
          <w:color w:val="000000" w:themeColor="text1"/>
        </w:rPr>
        <w:t xml:space="preserve">Having reviewed the information and discussed it with FLNR staff, I accept that the lack of accounting in the base case for </w:t>
      </w:r>
      <w:r w:rsidR="00810054">
        <w:rPr>
          <w:color w:val="000000" w:themeColor="text1"/>
        </w:rPr>
        <w:t xml:space="preserve">the impact of </w:t>
      </w:r>
      <w:r>
        <w:rPr>
          <w:color w:val="000000" w:themeColor="text1"/>
        </w:rPr>
        <w:t>the McAllister Fire</w:t>
      </w:r>
      <w:r w:rsidR="00810054">
        <w:rPr>
          <w:color w:val="000000" w:themeColor="text1"/>
        </w:rPr>
        <w:t xml:space="preserve"> indicates </w:t>
      </w:r>
      <w:r w:rsidR="0076350E">
        <w:rPr>
          <w:color w:val="000000" w:themeColor="text1"/>
        </w:rPr>
        <w:t>short</w:t>
      </w:r>
      <w:r w:rsidR="00F676DD">
        <w:rPr>
          <w:color w:val="000000" w:themeColor="text1"/>
        </w:rPr>
        <w:noBreakHyphen/>
      </w:r>
      <w:r w:rsidR="0076350E">
        <w:rPr>
          <w:color w:val="000000" w:themeColor="text1"/>
        </w:rPr>
        <w:t xml:space="preserve"> and </w:t>
      </w:r>
      <w:r w:rsidR="00810054">
        <w:rPr>
          <w:color w:val="000000" w:themeColor="text1"/>
        </w:rPr>
        <w:t>mid</w:t>
      </w:r>
      <w:r w:rsidR="00F676DD">
        <w:rPr>
          <w:color w:val="000000" w:themeColor="text1"/>
        </w:rPr>
        <w:noBreakHyphen/>
      </w:r>
      <w:r w:rsidR="00810054">
        <w:rPr>
          <w:color w:val="000000" w:themeColor="text1"/>
        </w:rPr>
        <w:t>term timber supply on TFL</w:t>
      </w:r>
      <w:r w:rsidR="00F676DD">
        <w:rPr>
          <w:color w:val="000000" w:themeColor="text1"/>
        </w:rPr>
        <w:t> </w:t>
      </w:r>
      <w:r w:rsidR="00810054">
        <w:rPr>
          <w:color w:val="000000" w:themeColor="text1"/>
        </w:rPr>
        <w:t>48 has been overestimated by up to 25</w:t>
      </w:r>
      <w:r w:rsidR="00F676DD">
        <w:rPr>
          <w:color w:val="000000" w:themeColor="text1"/>
        </w:rPr>
        <w:t> </w:t>
      </w:r>
      <w:r w:rsidR="00810054">
        <w:rPr>
          <w:color w:val="000000" w:themeColor="text1"/>
        </w:rPr>
        <w:t>000 cubic metres per year.</w:t>
      </w:r>
      <w:r>
        <w:rPr>
          <w:color w:val="000000" w:themeColor="text1"/>
        </w:rPr>
        <w:t xml:space="preserve">  </w:t>
      </w:r>
      <w:r w:rsidR="00A7668A">
        <w:rPr>
          <w:color w:val="000000" w:themeColor="text1"/>
        </w:rPr>
        <w:t>I</w:t>
      </w:r>
      <w:r w:rsidR="005B475B">
        <w:rPr>
          <w:color w:val="000000" w:themeColor="text1"/>
        </w:rPr>
        <w:t> </w:t>
      </w:r>
      <w:r w:rsidR="00A7668A">
        <w:rPr>
          <w:color w:val="000000" w:themeColor="text1"/>
        </w:rPr>
        <w:t xml:space="preserve">will </w:t>
      </w:r>
      <w:r w:rsidR="003A5CFC">
        <w:rPr>
          <w:color w:val="000000" w:themeColor="text1"/>
        </w:rPr>
        <w:t xml:space="preserve">discuss </w:t>
      </w:r>
      <w:r w:rsidR="0020406A">
        <w:rPr>
          <w:color w:val="000000" w:themeColor="text1"/>
        </w:rPr>
        <w:t xml:space="preserve">my considerations of this </w:t>
      </w:r>
      <w:r w:rsidR="00A7668A">
        <w:rPr>
          <w:color w:val="000000" w:themeColor="text1"/>
        </w:rPr>
        <w:t xml:space="preserve">further under </w:t>
      </w:r>
      <w:r w:rsidR="00866BF7">
        <w:rPr>
          <w:color w:val="000000" w:themeColor="text1"/>
        </w:rPr>
        <w:t>‘</w:t>
      </w:r>
      <w:r w:rsidR="00A7668A" w:rsidRPr="00F676DD">
        <w:rPr>
          <w:b/>
          <w:color w:val="000000" w:themeColor="text1"/>
        </w:rPr>
        <w:t>Reasons for Decision</w:t>
      </w:r>
      <w:r w:rsidR="00866BF7">
        <w:rPr>
          <w:color w:val="000000" w:themeColor="text1"/>
        </w:rPr>
        <w:t>’</w:t>
      </w:r>
      <w:r w:rsidR="00A7668A">
        <w:rPr>
          <w:color w:val="000000" w:themeColor="text1"/>
        </w:rPr>
        <w:t>.</w:t>
      </w:r>
    </w:p>
    <w:p w:rsidR="00A447B1" w:rsidRPr="00264D7F" w:rsidRDefault="00A447B1" w:rsidP="00264D7F">
      <w:pPr>
        <w:rPr>
          <w:color w:val="000000" w:themeColor="text1"/>
        </w:rPr>
      </w:pPr>
    </w:p>
    <w:p w:rsidR="006C5178" w:rsidRPr="002214F0" w:rsidRDefault="006C5178" w:rsidP="006C5178">
      <w:pPr>
        <w:pStyle w:val="Heading1"/>
      </w:pPr>
      <w:bookmarkStart w:id="300" w:name="_Toc244485053"/>
      <w:bookmarkStart w:id="301" w:name="_Toc245612997"/>
      <w:bookmarkStart w:id="302" w:name="_Toc315267167"/>
      <w:bookmarkStart w:id="303" w:name="_Toc317667262"/>
      <w:bookmarkStart w:id="304" w:name="_Toc432658658"/>
      <w:r w:rsidRPr="00AB79D3">
        <w:t>Reasons for Decision</w:t>
      </w:r>
      <w:bookmarkEnd w:id="300"/>
      <w:bookmarkEnd w:id="301"/>
      <w:bookmarkEnd w:id="302"/>
      <w:bookmarkEnd w:id="303"/>
      <w:bookmarkEnd w:id="304"/>
    </w:p>
    <w:p w:rsidR="003040FE" w:rsidRDefault="003040FE">
      <w:pPr>
        <w:rPr>
          <w:color w:val="000000" w:themeColor="text1"/>
        </w:rPr>
      </w:pPr>
      <w:r w:rsidRPr="00BB320D">
        <w:rPr>
          <w:color w:val="000000" w:themeColor="text1"/>
        </w:rPr>
        <w:t xml:space="preserve">In reaching my AAC determination for </w:t>
      </w:r>
      <w:r w:rsidR="00CD72D4" w:rsidRPr="00BB320D">
        <w:rPr>
          <w:color w:val="000000" w:themeColor="text1"/>
        </w:rPr>
        <w:t>TFL</w:t>
      </w:r>
      <w:r w:rsidR="0009295F">
        <w:rPr>
          <w:color w:val="000000" w:themeColor="text1"/>
        </w:rPr>
        <w:t> </w:t>
      </w:r>
      <w:r w:rsidR="0091095A">
        <w:rPr>
          <w:color w:val="000000" w:themeColor="text1"/>
        </w:rPr>
        <w:t>48</w:t>
      </w:r>
      <w:r w:rsidR="00CD72D4" w:rsidRPr="00BB320D">
        <w:rPr>
          <w:color w:val="000000" w:themeColor="text1"/>
        </w:rPr>
        <w:t>,</w:t>
      </w:r>
      <w:r w:rsidRPr="00BB320D">
        <w:rPr>
          <w:color w:val="000000" w:themeColor="text1"/>
        </w:rPr>
        <w:t xml:space="preserve"> I have considered all of the </w:t>
      </w:r>
      <w:r w:rsidR="003A5CFC">
        <w:rPr>
          <w:color w:val="000000" w:themeColor="text1"/>
        </w:rPr>
        <w:t>information</w:t>
      </w:r>
      <w:r w:rsidRPr="00BB320D">
        <w:rPr>
          <w:color w:val="000000" w:themeColor="text1"/>
        </w:rPr>
        <w:t xml:space="preserve"> under Section</w:t>
      </w:r>
      <w:r w:rsidR="0036740D" w:rsidRPr="00BB320D">
        <w:rPr>
          <w:color w:val="000000" w:themeColor="text1"/>
        </w:rPr>
        <w:t> </w:t>
      </w:r>
      <w:r w:rsidRPr="00BB320D">
        <w:rPr>
          <w:color w:val="000000" w:themeColor="text1"/>
        </w:rPr>
        <w:t xml:space="preserve">8 of the </w:t>
      </w:r>
      <w:r w:rsidRPr="00BB320D">
        <w:rPr>
          <w:i/>
          <w:color w:val="000000" w:themeColor="text1"/>
        </w:rPr>
        <w:t>Forest</w:t>
      </w:r>
      <w:r w:rsidR="009F2382" w:rsidRPr="00BB320D">
        <w:rPr>
          <w:i/>
          <w:color w:val="000000" w:themeColor="text1"/>
        </w:rPr>
        <w:t> </w:t>
      </w:r>
      <w:r w:rsidRPr="00BB320D">
        <w:rPr>
          <w:i/>
          <w:color w:val="000000" w:themeColor="text1"/>
        </w:rPr>
        <w:t>Act</w:t>
      </w:r>
      <w:r w:rsidRPr="00BB320D">
        <w:rPr>
          <w:color w:val="000000" w:themeColor="text1"/>
        </w:rPr>
        <w:t xml:space="preserve"> and </w:t>
      </w:r>
      <w:r w:rsidR="003A5CFC">
        <w:rPr>
          <w:color w:val="000000" w:themeColor="text1"/>
        </w:rPr>
        <w:t xml:space="preserve">I </w:t>
      </w:r>
      <w:r w:rsidRPr="00BB320D">
        <w:rPr>
          <w:color w:val="000000" w:themeColor="text1"/>
        </w:rPr>
        <w:t>have reasoned as follows.</w:t>
      </w:r>
    </w:p>
    <w:p w:rsidR="00852F93" w:rsidRDefault="00852F93" w:rsidP="00852F93">
      <w:pPr>
        <w:rPr>
          <w:color w:val="000000" w:themeColor="text1"/>
        </w:rPr>
      </w:pPr>
      <w:r>
        <w:rPr>
          <w:color w:val="000000" w:themeColor="text1"/>
        </w:rPr>
        <w:t>The MPB epidemic is currently the most significant factor affecting timber supply on TFL</w:t>
      </w:r>
      <w:r w:rsidR="00F676DD">
        <w:rPr>
          <w:color w:val="000000" w:themeColor="text1"/>
        </w:rPr>
        <w:t> </w:t>
      </w:r>
      <w:r>
        <w:rPr>
          <w:color w:val="000000" w:themeColor="text1"/>
        </w:rPr>
        <w:t>48, and the salvage of MPB</w:t>
      </w:r>
      <w:r w:rsidR="00F676DD">
        <w:rPr>
          <w:color w:val="000000" w:themeColor="text1"/>
        </w:rPr>
        <w:noBreakHyphen/>
      </w:r>
      <w:r>
        <w:rPr>
          <w:color w:val="000000" w:themeColor="text1"/>
        </w:rPr>
        <w:t>killed timber continues to be of paramount importance.  I am satisfied that the base case appropriately reflected the impact of the MPB, and I note that over the next five</w:t>
      </w:r>
      <w:r w:rsidR="00F676DD">
        <w:rPr>
          <w:color w:val="000000" w:themeColor="text1"/>
        </w:rPr>
        <w:t> </w:t>
      </w:r>
      <w:r>
        <w:rPr>
          <w:color w:val="000000" w:themeColor="text1"/>
        </w:rPr>
        <w:t>year period, there is an opportunity to attain value from stands impacted by the beetle before the shelf life of the killed trees renders them unsuitable for milling.</w:t>
      </w:r>
    </w:p>
    <w:p w:rsidR="00DC7471" w:rsidRDefault="00DC7471" w:rsidP="006F76D5">
      <w:pPr>
        <w:rPr>
          <w:color w:val="000000" w:themeColor="text1"/>
        </w:rPr>
      </w:pPr>
      <w:r>
        <w:rPr>
          <w:color w:val="000000" w:themeColor="text1"/>
        </w:rPr>
        <w:t xml:space="preserve">There are a number of factors discussed in this document that </w:t>
      </w:r>
      <w:r w:rsidR="006F76D5">
        <w:rPr>
          <w:color w:val="000000" w:themeColor="text1"/>
        </w:rPr>
        <w:t xml:space="preserve">suggest </w:t>
      </w:r>
      <w:r>
        <w:rPr>
          <w:color w:val="000000" w:themeColor="text1"/>
        </w:rPr>
        <w:t xml:space="preserve">the </w:t>
      </w:r>
      <w:r w:rsidR="006F76D5">
        <w:rPr>
          <w:color w:val="000000" w:themeColor="text1"/>
        </w:rPr>
        <w:t xml:space="preserve">timber supply </w:t>
      </w:r>
      <w:r>
        <w:rPr>
          <w:color w:val="000000" w:themeColor="text1"/>
        </w:rPr>
        <w:t xml:space="preserve">shown in the base case </w:t>
      </w:r>
      <w:r w:rsidR="006F76D5">
        <w:rPr>
          <w:color w:val="000000" w:themeColor="text1"/>
        </w:rPr>
        <w:t>might be underestimated</w:t>
      </w:r>
      <w:r>
        <w:rPr>
          <w:color w:val="000000" w:themeColor="text1"/>
        </w:rPr>
        <w:t>.  These include the following:</w:t>
      </w:r>
    </w:p>
    <w:p w:rsidR="00DC7471" w:rsidRDefault="006F76D5" w:rsidP="00810054">
      <w:pPr>
        <w:ind w:left="720"/>
        <w:rPr>
          <w:color w:val="000000" w:themeColor="text1"/>
        </w:rPr>
      </w:pPr>
      <w:r w:rsidRPr="00687CD0">
        <w:rPr>
          <w:i/>
          <w:color w:val="000000" w:themeColor="text1"/>
        </w:rPr>
        <w:t>Forest inventory</w:t>
      </w:r>
      <w:r w:rsidR="00DC7471">
        <w:rPr>
          <w:color w:val="000000" w:themeColor="text1"/>
        </w:rPr>
        <w:t xml:space="preserve"> – the Phase</w:t>
      </w:r>
      <w:r w:rsidR="00F676DD">
        <w:rPr>
          <w:color w:val="000000" w:themeColor="text1"/>
        </w:rPr>
        <w:t> </w:t>
      </w:r>
      <w:r w:rsidR="00DC7471">
        <w:rPr>
          <w:color w:val="000000" w:themeColor="text1"/>
        </w:rPr>
        <w:t>II VRI adjustment was not applied to the inventory information</w:t>
      </w:r>
      <w:r w:rsidR="00852F93">
        <w:rPr>
          <w:color w:val="000000" w:themeColor="text1"/>
        </w:rPr>
        <w:t xml:space="preserve">, </w:t>
      </w:r>
      <w:r w:rsidR="002218C5">
        <w:rPr>
          <w:color w:val="000000" w:themeColor="text1"/>
        </w:rPr>
        <w:t>result</w:t>
      </w:r>
      <w:r w:rsidR="00852F93">
        <w:rPr>
          <w:color w:val="000000" w:themeColor="text1"/>
        </w:rPr>
        <w:t>ing</w:t>
      </w:r>
      <w:r w:rsidR="002218C5">
        <w:rPr>
          <w:color w:val="000000" w:themeColor="text1"/>
        </w:rPr>
        <w:t xml:space="preserve"> in </w:t>
      </w:r>
      <w:r w:rsidR="00B9421F">
        <w:rPr>
          <w:color w:val="000000" w:themeColor="text1"/>
        </w:rPr>
        <w:t xml:space="preserve">an </w:t>
      </w:r>
      <w:r w:rsidR="00DC7471">
        <w:rPr>
          <w:color w:val="000000" w:themeColor="text1"/>
        </w:rPr>
        <w:t xml:space="preserve">underestimation of </w:t>
      </w:r>
      <w:r w:rsidR="002218C5">
        <w:rPr>
          <w:color w:val="000000" w:themeColor="text1"/>
        </w:rPr>
        <w:t xml:space="preserve">the </w:t>
      </w:r>
      <w:r w:rsidR="00DC7471">
        <w:rPr>
          <w:color w:val="000000" w:themeColor="text1"/>
        </w:rPr>
        <w:t xml:space="preserve">volume </w:t>
      </w:r>
      <w:r w:rsidR="002218C5">
        <w:rPr>
          <w:color w:val="000000" w:themeColor="text1"/>
        </w:rPr>
        <w:t xml:space="preserve">available </w:t>
      </w:r>
      <w:r w:rsidR="00DC7471">
        <w:rPr>
          <w:color w:val="000000" w:themeColor="text1"/>
        </w:rPr>
        <w:t>in existing stands</w:t>
      </w:r>
      <w:r w:rsidR="00B9421F">
        <w:rPr>
          <w:color w:val="000000" w:themeColor="text1"/>
        </w:rPr>
        <w:t>,</w:t>
      </w:r>
      <w:r w:rsidR="00DC7471">
        <w:rPr>
          <w:color w:val="000000" w:themeColor="text1"/>
        </w:rPr>
        <w:t xml:space="preserve"> and a corresponding </w:t>
      </w:r>
      <w:r w:rsidR="00B9421F">
        <w:rPr>
          <w:color w:val="000000" w:themeColor="text1"/>
        </w:rPr>
        <w:t xml:space="preserve">25 percent </w:t>
      </w:r>
      <w:r w:rsidR="00DC7471">
        <w:rPr>
          <w:color w:val="000000" w:themeColor="text1"/>
        </w:rPr>
        <w:t xml:space="preserve">underestimation of </w:t>
      </w:r>
      <w:r w:rsidR="00B9421F">
        <w:rPr>
          <w:color w:val="000000" w:themeColor="text1"/>
        </w:rPr>
        <w:t>timber supply for the first five</w:t>
      </w:r>
      <w:r w:rsidR="00F676DD">
        <w:rPr>
          <w:color w:val="000000" w:themeColor="text1"/>
        </w:rPr>
        <w:t> </w:t>
      </w:r>
      <w:r w:rsidR="00B9421F">
        <w:rPr>
          <w:color w:val="000000" w:themeColor="text1"/>
        </w:rPr>
        <w:t xml:space="preserve">years, </w:t>
      </w:r>
      <w:r w:rsidR="00F676DD">
        <w:rPr>
          <w:color w:val="000000" w:themeColor="text1"/>
        </w:rPr>
        <w:t>two</w:t>
      </w:r>
      <w:r w:rsidR="00B9421F">
        <w:rPr>
          <w:color w:val="000000" w:themeColor="text1"/>
        </w:rPr>
        <w:t xml:space="preserve"> percent for the next five years, and thereafter ranging between </w:t>
      </w:r>
      <w:r w:rsidR="00F676DD">
        <w:rPr>
          <w:color w:val="000000" w:themeColor="text1"/>
        </w:rPr>
        <w:t>three</w:t>
      </w:r>
      <w:r w:rsidR="00B9421F">
        <w:rPr>
          <w:color w:val="000000" w:themeColor="text1"/>
        </w:rPr>
        <w:t xml:space="preserve"> and </w:t>
      </w:r>
      <w:r w:rsidR="00F676DD">
        <w:rPr>
          <w:color w:val="000000" w:themeColor="text1"/>
        </w:rPr>
        <w:t>six</w:t>
      </w:r>
      <w:r w:rsidR="00B9421F">
        <w:rPr>
          <w:color w:val="000000" w:themeColor="text1"/>
        </w:rPr>
        <w:t xml:space="preserve"> percent in the mid</w:t>
      </w:r>
      <w:r w:rsidR="00F676DD">
        <w:rPr>
          <w:color w:val="000000" w:themeColor="text1"/>
        </w:rPr>
        <w:noBreakHyphen/>
      </w:r>
      <w:r w:rsidR="00B9421F">
        <w:rPr>
          <w:color w:val="000000" w:themeColor="text1"/>
        </w:rPr>
        <w:t xml:space="preserve"> to long</w:t>
      </w:r>
      <w:r w:rsidR="00F676DD">
        <w:rPr>
          <w:color w:val="000000" w:themeColor="text1"/>
        </w:rPr>
        <w:noBreakHyphen/>
      </w:r>
      <w:r w:rsidR="00B9421F">
        <w:rPr>
          <w:color w:val="000000" w:themeColor="text1"/>
        </w:rPr>
        <w:t>term</w:t>
      </w:r>
      <w:r w:rsidR="009B04D3">
        <w:rPr>
          <w:color w:val="000000" w:themeColor="text1"/>
        </w:rPr>
        <w:t xml:space="preserve"> compared to the base case</w:t>
      </w:r>
      <w:r w:rsidR="00DC7471">
        <w:rPr>
          <w:color w:val="000000" w:themeColor="text1"/>
        </w:rPr>
        <w:t>;</w:t>
      </w:r>
    </w:p>
    <w:p w:rsidR="006F76D5" w:rsidRDefault="002218C5" w:rsidP="00810054">
      <w:pPr>
        <w:ind w:left="720"/>
        <w:rPr>
          <w:color w:val="000000" w:themeColor="text1"/>
        </w:rPr>
      </w:pPr>
      <w:r w:rsidRPr="00687CD0">
        <w:rPr>
          <w:i/>
          <w:color w:val="000000" w:themeColor="text1"/>
        </w:rPr>
        <w:t>U</w:t>
      </w:r>
      <w:r w:rsidR="006F76D5" w:rsidRPr="00687CD0">
        <w:rPr>
          <w:i/>
          <w:color w:val="000000" w:themeColor="text1"/>
        </w:rPr>
        <w:t>ngulate winter range</w:t>
      </w:r>
      <w:r>
        <w:rPr>
          <w:color w:val="000000" w:themeColor="text1"/>
        </w:rPr>
        <w:t xml:space="preserve"> – </w:t>
      </w:r>
      <w:r w:rsidR="00DB232F">
        <w:rPr>
          <w:color w:val="000000" w:themeColor="text1"/>
        </w:rPr>
        <w:t xml:space="preserve">accounting for </w:t>
      </w:r>
      <w:r>
        <w:rPr>
          <w:color w:val="000000" w:themeColor="text1"/>
        </w:rPr>
        <w:t xml:space="preserve">additional area excluded to account for ungulate winter ranges that </w:t>
      </w:r>
      <w:r w:rsidR="0008026F">
        <w:rPr>
          <w:color w:val="000000" w:themeColor="text1"/>
        </w:rPr>
        <w:t xml:space="preserve">are </w:t>
      </w:r>
      <w:r>
        <w:rPr>
          <w:color w:val="000000" w:themeColor="text1"/>
        </w:rPr>
        <w:t xml:space="preserve">no longer managed for caribou </w:t>
      </w:r>
      <w:r w:rsidR="00B9421F">
        <w:rPr>
          <w:color w:val="000000" w:themeColor="text1"/>
        </w:rPr>
        <w:t xml:space="preserve">habitat </w:t>
      </w:r>
      <w:r>
        <w:rPr>
          <w:color w:val="000000" w:themeColor="text1"/>
        </w:rPr>
        <w:t>results in an underestimation of timber suppl</w:t>
      </w:r>
      <w:r w:rsidR="00B9421F">
        <w:rPr>
          <w:color w:val="000000" w:themeColor="text1"/>
        </w:rPr>
        <w:t>y of approximately 0.4 </w:t>
      </w:r>
      <w:r>
        <w:rPr>
          <w:color w:val="000000" w:themeColor="text1"/>
        </w:rPr>
        <w:t>percent;</w:t>
      </w:r>
    </w:p>
    <w:p w:rsidR="00EA3D2F" w:rsidRDefault="00EA3D2F" w:rsidP="006F76D5">
      <w:pPr>
        <w:rPr>
          <w:color w:val="000000" w:themeColor="text1"/>
        </w:rPr>
      </w:pPr>
      <w:r>
        <w:rPr>
          <w:color w:val="000000" w:themeColor="text1"/>
        </w:rPr>
        <w:t>There are also a number of f</w:t>
      </w:r>
      <w:r w:rsidR="006F76D5">
        <w:rPr>
          <w:color w:val="000000" w:themeColor="text1"/>
        </w:rPr>
        <w:t xml:space="preserve">actors </w:t>
      </w:r>
      <w:r>
        <w:rPr>
          <w:color w:val="000000" w:themeColor="text1"/>
        </w:rPr>
        <w:t xml:space="preserve">that </w:t>
      </w:r>
      <w:r w:rsidR="006F76D5">
        <w:rPr>
          <w:color w:val="000000" w:themeColor="text1"/>
        </w:rPr>
        <w:t xml:space="preserve">suggest timber supply </w:t>
      </w:r>
      <w:r w:rsidR="003216C8">
        <w:rPr>
          <w:color w:val="000000" w:themeColor="text1"/>
        </w:rPr>
        <w:t xml:space="preserve">in the base case </w:t>
      </w:r>
      <w:r w:rsidR="006F76D5">
        <w:rPr>
          <w:color w:val="000000" w:themeColor="text1"/>
        </w:rPr>
        <w:t>might be overestimated</w:t>
      </w:r>
      <w:r>
        <w:rPr>
          <w:color w:val="000000" w:themeColor="text1"/>
        </w:rPr>
        <w:t>, as follows:</w:t>
      </w:r>
    </w:p>
    <w:p w:rsidR="006F76D5" w:rsidRDefault="00DB232F" w:rsidP="00810054">
      <w:pPr>
        <w:ind w:left="720"/>
        <w:rPr>
          <w:color w:val="000000" w:themeColor="text1"/>
        </w:rPr>
      </w:pPr>
      <w:r w:rsidRPr="00687CD0">
        <w:rPr>
          <w:i/>
          <w:color w:val="000000" w:themeColor="text1"/>
        </w:rPr>
        <w:t>D</w:t>
      </w:r>
      <w:r w:rsidR="006F76D5" w:rsidRPr="00687CD0">
        <w:rPr>
          <w:i/>
          <w:color w:val="000000" w:themeColor="text1"/>
        </w:rPr>
        <w:t>isturb</w:t>
      </w:r>
      <w:r w:rsidRPr="00687CD0">
        <w:rPr>
          <w:i/>
          <w:color w:val="000000" w:themeColor="text1"/>
        </w:rPr>
        <w:t xml:space="preserve">ing </w:t>
      </w:r>
      <w:r w:rsidR="006F76D5" w:rsidRPr="00687CD0">
        <w:rPr>
          <w:i/>
          <w:color w:val="000000" w:themeColor="text1"/>
        </w:rPr>
        <w:t>the non</w:t>
      </w:r>
      <w:r w:rsidR="00F676DD">
        <w:rPr>
          <w:i/>
          <w:color w:val="000000" w:themeColor="text1"/>
        </w:rPr>
        <w:noBreakHyphen/>
      </w:r>
      <w:r w:rsidR="006F76D5" w:rsidRPr="00687CD0">
        <w:rPr>
          <w:i/>
          <w:color w:val="000000" w:themeColor="text1"/>
        </w:rPr>
        <w:t>contributing</w:t>
      </w:r>
      <w:r w:rsidRPr="00687CD0">
        <w:rPr>
          <w:i/>
          <w:color w:val="000000" w:themeColor="text1"/>
        </w:rPr>
        <w:t xml:space="preserve"> land base</w:t>
      </w:r>
      <w:r>
        <w:rPr>
          <w:color w:val="000000" w:themeColor="text1"/>
        </w:rPr>
        <w:t xml:space="preserve"> – the lack of reflection of natural disturbance patterns on the non</w:t>
      </w:r>
      <w:r w:rsidR="00F676DD">
        <w:rPr>
          <w:color w:val="000000" w:themeColor="text1"/>
        </w:rPr>
        <w:noBreakHyphen/>
      </w:r>
      <w:r>
        <w:rPr>
          <w:color w:val="000000" w:themeColor="text1"/>
        </w:rPr>
        <w:t xml:space="preserve">contributing land base results in an overestimation </w:t>
      </w:r>
      <w:r w:rsidR="00543C9C">
        <w:rPr>
          <w:color w:val="000000" w:themeColor="text1"/>
        </w:rPr>
        <w:t xml:space="preserve">of </w:t>
      </w:r>
      <w:r>
        <w:rPr>
          <w:color w:val="000000" w:themeColor="text1"/>
        </w:rPr>
        <w:t xml:space="preserve">timber supply </w:t>
      </w:r>
      <w:r w:rsidR="00543C9C">
        <w:rPr>
          <w:color w:val="000000" w:themeColor="text1"/>
        </w:rPr>
        <w:t xml:space="preserve">by </w:t>
      </w:r>
      <w:r>
        <w:rPr>
          <w:color w:val="000000" w:themeColor="text1"/>
        </w:rPr>
        <w:t>an unknown amount;</w:t>
      </w:r>
    </w:p>
    <w:p w:rsidR="00EA3D2F" w:rsidRDefault="00DB232F" w:rsidP="00810054">
      <w:pPr>
        <w:ind w:left="720"/>
        <w:rPr>
          <w:color w:val="000000" w:themeColor="text1"/>
        </w:rPr>
      </w:pPr>
      <w:r w:rsidRPr="00687CD0">
        <w:rPr>
          <w:i/>
          <w:color w:val="000000" w:themeColor="text1"/>
        </w:rPr>
        <w:t>F</w:t>
      </w:r>
      <w:r w:rsidR="00EA3D2F" w:rsidRPr="00687CD0">
        <w:rPr>
          <w:i/>
          <w:color w:val="000000" w:themeColor="text1"/>
        </w:rPr>
        <w:t>ires</w:t>
      </w:r>
      <w:r>
        <w:rPr>
          <w:color w:val="000000" w:themeColor="text1"/>
        </w:rPr>
        <w:t xml:space="preserve"> – accounting for the recent large McAllister Fire suggests </w:t>
      </w:r>
      <w:r w:rsidR="00DB5864">
        <w:rPr>
          <w:color w:val="000000" w:themeColor="text1"/>
        </w:rPr>
        <w:t>short</w:t>
      </w:r>
      <w:r w:rsidR="00F676DD">
        <w:rPr>
          <w:color w:val="000000" w:themeColor="text1"/>
        </w:rPr>
        <w:noBreakHyphen/>
      </w:r>
      <w:r w:rsidR="00DB5864">
        <w:rPr>
          <w:color w:val="000000" w:themeColor="text1"/>
        </w:rPr>
        <w:t xml:space="preserve"> and </w:t>
      </w:r>
      <w:r>
        <w:rPr>
          <w:color w:val="000000" w:themeColor="text1"/>
        </w:rPr>
        <w:t>mid</w:t>
      </w:r>
      <w:r w:rsidR="00F676DD">
        <w:rPr>
          <w:color w:val="000000" w:themeColor="text1"/>
        </w:rPr>
        <w:noBreakHyphen/>
      </w:r>
      <w:r>
        <w:rPr>
          <w:color w:val="000000" w:themeColor="text1"/>
        </w:rPr>
        <w:t xml:space="preserve">term timber supply could be overestimated by up to </w:t>
      </w:r>
      <w:r w:rsidR="00810054">
        <w:rPr>
          <w:color w:val="000000" w:themeColor="text1"/>
        </w:rPr>
        <w:t xml:space="preserve">1.4 and </w:t>
      </w:r>
      <w:r w:rsidR="00F676DD">
        <w:rPr>
          <w:color w:val="000000" w:themeColor="text1"/>
        </w:rPr>
        <w:t>three</w:t>
      </w:r>
      <w:r>
        <w:rPr>
          <w:color w:val="000000" w:themeColor="text1"/>
        </w:rPr>
        <w:t xml:space="preserve"> percent</w:t>
      </w:r>
      <w:r w:rsidR="00852F93">
        <w:rPr>
          <w:color w:val="000000" w:themeColor="text1"/>
        </w:rPr>
        <w:t>, respectively</w:t>
      </w:r>
      <w:r>
        <w:rPr>
          <w:color w:val="000000" w:themeColor="text1"/>
        </w:rPr>
        <w:t>;</w:t>
      </w:r>
    </w:p>
    <w:p w:rsidR="00687CD0" w:rsidRDefault="00687CD0" w:rsidP="006F76D5">
      <w:pPr>
        <w:rPr>
          <w:color w:val="000000" w:themeColor="text1"/>
        </w:rPr>
      </w:pPr>
      <w:r>
        <w:rPr>
          <w:color w:val="000000" w:themeColor="text1"/>
        </w:rPr>
        <w:t xml:space="preserve">In addition, I am aware that there is a level of uncertainty in a number of factors affecting timber supply on the TFL </w:t>
      </w:r>
      <w:r w:rsidR="00852F93">
        <w:rPr>
          <w:color w:val="000000" w:themeColor="text1"/>
        </w:rPr>
        <w:t>that</w:t>
      </w:r>
      <w:r>
        <w:rPr>
          <w:color w:val="000000" w:themeColor="text1"/>
        </w:rPr>
        <w:t xml:space="preserve"> do not impact the short</w:t>
      </w:r>
      <w:r w:rsidR="00F676DD">
        <w:rPr>
          <w:color w:val="000000" w:themeColor="text1"/>
        </w:rPr>
        <w:noBreakHyphen/>
      </w:r>
      <w:r>
        <w:rPr>
          <w:color w:val="000000" w:themeColor="text1"/>
        </w:rPr>
        <w:t>term timber supply</w:t>
      </w:r>
      <w:r w:rsidR="00852F93">
        <w:rPr>
          <w:color w:val="000000" w:themeColor="text1"/>
        </w:rPr>
        <w:t>,</w:t>
      </w:r>
      <w:r>
        <w:rPr>
          <w:color w:val="000000" w:themeColor="text1"/>
        </w:rPr>
        <w:t xml:space="preserve"> but potentially introduce uncertainty to the mid</w:t>
      </w:r>
      <w:r w:rsidR="00F676DD">
        <w:rPr>
          <w:color w:val="000000" w:themeColor="text1"/>
        </w:rPr>
        <w:noBreakHyphen/>
      </w:r>
      <w:r>
        <w:rPr>
          <w:color w:val="000000" w:themeColor="text1"/>
        </w:rPr>
        <w:t>term supply suggested by the base case.  These factors include the extent to which operational practices around the use of select seed</w:t>
      </w:r>
      <w:r w:rsidR="00810054">
        <w:rPr>
          <w:color w:val="000000" w:themeColor="text1"/>
        </w:rPr>
        <w:t xml:space="preserve"> and</w:t>
      </w:r>
      <w:r>
        <w:rPr>
          <w:color w:val="000000" w:themeColor="text1"/>
        </w:rPr>
        <w:t xml:space="preserve"> shelterwood harvesting systems have been sufficiently reflected in the </w:t>
      </w:r>
      <w:r w:rsidR="003216C8">
        <w:rPr>
          <w:color w:val="000000" w:themeColor="text1"/>
        </w:rPr>
        <w:t>base case</w:t>
      </w:r>
      <w:r>
        <w:rPr>
          <w:color w:val="000000" w:themeColor="text1"/>
        </w:rPr>
        <w:t xml:space="preserve">.  Ongoing and future evolving management practice requirements for caribou SIMPS, wildlife habitat areas, and to address cumulative effects also lead to uncertainty </w:t>
      </w:r>
      <w:r w:rsidR="00DB5864">
        <w:rPr>
          <w:color w:val="000000" w:themeColor="text1"/>
        </w:rPr>
        <w:t xml:space="preserve">as to whether the base case harvest forecast has provided </w:t>
      </w:r>
      <w:r>
        <w:rPr>
          <w:color w:val="000000" w:themeColor="text1"/>
        </w:rPr>
        <w:t>an appropriate mid</w:t>
      </w:r>
      <w:r w:rsidR="00F676DD">
        <w:rPr>
          <w:color w:val="000000" w:themeColor="text1"/>
        </w:rPr>
        <w:noBreakHyphen/>
      </w:r>
      <w:r>
        <w:rPr>
          <w:color w:val="000000" w:themeColor="text1"/>
        </w:rPr>
        <w:t>term harvest level on TFL</w:t>
      </w:r>
      <w:r w:rsidR="00F676DD">
        <w:rPr>
          <w:color w:val="000000" w:themeColor="text1"/>
        </w:rPr>
        <w:t> </w:t>
      </w:r>
      <w:r>
        <w:rPr>
          <w:color w:val="000000" w:themeColor="text1"/>
        </w:rPr>
        <w:t>48 that fully addresses management for various resource values.</w:t>
      </w:r>
    </w:p>
    <w:p w:rsidR="00B078E6" w:rsidRPr="00F676DD" w:rsidRDefault="00BE5E9F">
      <w:pPr>
        <w:rPr>
          <w:color w:val="000000" w:themeColor="text1"/>
          <w:szCs w:val="22"/>
          <w:lang w:val="en-GB"/>
        </w:rPr>
      </w:pPr>
      <w:r>
        <w:rPr>
          <w:color w:val="000000" w:themeColor="text1"/>
          <w:szCs w:val="22"/>
          <w:lang w:val="en-GB"/>
        </w:rPr>
        <w:t xml:space="preserve">As noted earlier </w:t>
      </w:r>
      <w:r w:rsidR="00F7646A">
        <w:rPr>
          <w:color w:val="000000" w:themeColor="text1"/>
          <w:szCs w:val="22"/>
          <w:lang w:val="en-GB"/>
        </w:rPr>
        <w:t xml:space="preserve">under </w:t>
      </w:r>
      <w:r w:rsidR="00866BF7">
        <w:rPr>
          <w:color w:val="000000" w:themeColor="text1"/>
          <w:szCs w:val="22"/>
          <w:lang w:val="en-GB"/>
        </w:rPr>
        <w:t>‘</w:t>
      </w:r>
      <w:r w:rsidR="00F7646A">
        <w:rPr>
          <w:color w:val="000000" w:themeColor="text1"/>
          <w:szCs w:val="22"/>
          <w:lang w:val="en-GB"/>
        </w:rPr>
        <w:t>Timber supply analysis</w:t>
      </w:r>
      <w:r w:rsidR="00866BF7">
        <w:rPr>
          <w:color w:val="000000" w:themeColor="text1"/>
          <w:szCs w:val="22"/>
          <w:lang w:val="en-GB"/>
        </w:rPr>
        <w:t>’</w:t>
      </w:r>
      <w:r>
        <w:rPr>
          <w:color w:val="000000" w:themeColor="text1"/>
          <w:szCs w:val="22"/>
          <w:lang w:val="en-GB"/>
        </w:rPr>
        <w:t xml:space="preserve">, the licensee has proposed a harvest level of </w:t>
      </w:r>
      <w:r w:rsidRPr="001B4A2A">
        <w:rPr>
          <w:color w:val="000000" w:themeColor="text1"/>
          <w:szCs w:val="22"/>
          <w:lang w:val="en-GB"/>
        </w:rPr>
        <w:t>1</w:t>
      </w:r>
      <w:r>
        <w:rPr>
          <w:color w:val="000000" w:themeColor="text1"/>
          <w:szCs w:val="22"/>
          <w:lang w:val="en-GB"/>
        </w:rPr>
        <w:t> </w:t>
      </w:r>
      <w:r w:rsidRPr="001B4A2A">
        <w:rPr>
          <w:color w:val="000000" w:themeColor="text1"/>
          <w:szCs w:val="22"/>
          <w:lang w:val="en-GB"/>
        </w:rPr>
        <w:t>550</w:t>
      </w:r>
      <w:r>
        <w:rPr>
          <w:color w:val="000000" w:themeColor="text1"/>
          <w:szCs w:val="22"/>
          <w:lang w:val="en-GB"/>
        </w:rPr>
        <w:t> </w:t>
      </w:r>
      <w:r w:rsidRPr="001B4A2A">
        <w:rPr>
          <w:color w:val="000000" w:themeColor="text1"/>
          <w:szCs w:val="22"/>
          <w:lang w:val="en-GB"/>
        </w:rPr>
        <w:t xml:space="preserve">000 </w:t>
      </w:r>
      <w:r>
        <w:rPr>
          <w:color w:val="000000" w:themeColor="text1"/>
          <w:szCs w:val="22"/>
          <w:lang w:val="en-GB"/>
        </w:rPr>
        <w:t xml:space="preserve">cubic metres per </w:t>
      </w:r>
      <w:r w:rsidRPr="001B4A2A">
        <w:rPr>
          <w:color w:val="000000" w:themeColor="text1"/>
          <w:szCs w:val="22"/>
          <w:lang w:val="en-GB"/>
        </w:rPr>
        <w:t xml:space="preserve">year for </w:t>
      </w:r>
      <w:r w:rsidR="00543C9C">
        <w:rPr>
          <w:color w:val="000000" w:themeColor="text1"/>
          <w:szCs w:val="22"/>
          <w:lang w:val="en-GB"/>
        </w:rPr>
        <w:t xml:space="preserve">the </w:t>
      </w:r>
      <w:r w:rsidR="00B03632">
        <w:rPr>
          <w:color w:val="000000" w:themeColor="text1"/>
          <w:szCs w:val="22"/>
          <w:lang w:val="en-GB"/>
        </w:rPr>
        <w:t xml:space="preserve">first </w:t>
      </w:r>
      <w:r w:rsidRPr="001B4A2A">
        <w:rPr>
          <w:color w:val="000000" w:themeColor="text1"/>
          <w:szCs w:val="22"/>
          <w:lang w:val="en-GB"/>
        </w:rPr>
        <w:t>five</w:t>
      </w:r>
      <w:r w:rsidR="00F676DD">
        <w:rPr>
          <w:color w:val="000000" w:themeColor="text1"/>
          <w:szCs w:val="22"/>
          <w:lang w:val="en-GB"/>
        </w:rPr>
        <w:t> </w:t>
      </w:r>
      <w:r w:rsidRPr="001B4A2A">
        <w:rPr>
          <w:color w:val="000000" w:themeColor="text1"/>
          <w:szCs w:val="22"/>
          <w:lang w:val="en-GB"/>
        </w:rPr>
        <w:t xml:space="preserve">years and </w:t>
      </w:r>
      <w:r w:rsidR="00543C9C" w:rsidRPr="001B4A2A">
        <w:rPr>
          <w:color w:val="000000" w:themeColor="text1"/>
          <w:szCs w:val="22"/>
          <w:lang w:val="en-GB"/>
        </w:rPr>
        <w:t>8</w:t>
      </w:r>
      <w:r w:rsidR="00543C9C">
        <w:rPr>
          <w:color w:val="000000" w:themeColor="text1"/>
          <w:szCs w:val="22"/>
          <w:lang w:val="en-GB"/>
        </w:rPr>
        <w:t xml:space="preserve">71 000 </w:t>
      </w:r>
      <w:r>
        <w:rPr>
          <w:color w:val="000000" w:themeColor="text1"/>
          <w:szCs w:val="22"/>
          <w:lang w:val="en-GB"/>
        </w:rPr>
        <w:t xml:space="preserve">cubic metres per year for the </w:t>
      </w:r>
      <w:r w:rsidRPr="00F676DD">
        <w:rPr>
          <w:color w:val="000000" w:themeColor="text1"/>
          <w:szCs w:val="22"/>
          <w:lang w:val="en-GB"/>
        </w:rPr>
        <w:t xml:space="preserve">following </w:t>
      </w:r>
      <w:r w:rsidR="00F7646A" w:rsidRPr="00F676DD">
        <w:rPr>
          <w:color w:val="000000" w:themeColor="text1"/>
          <w:szCs w:val="22"/>
          <w:lang w:val="en-GB"/>
        </w:rPr>
        <w:t>five</w:t>
      </w:r>
      <w:r w:rsidR="00F676DD" w:rsidRPr="00F676DD">
        <w:rPr>
          <w:color w:val="000000" w:themeColor="text1"/>
          <w:szCs w:val="22"/>
          <w:lang w:val="en-GB"/>
        </w:rPr>
        <w:noBreakHyphen/>
      </w:r>
      <w:r w:rsidRPr="00F676DD">
        <w:rPr>
          <w:color w:val="000000" w:themeColor="text1"/>
          <w:szCs w:val="22"/>
          <w:lang w:val="en-GB"/>
        </w:rPr>
        <w:t xml:space="preserve">year period.  </w:t>
      </w:r>
      <w:r w:rsidR="00B078E6" w:rsidRPr="00F676DD">
        <w:rPr>
          <w:color w:val="000000" w:themeColor="text1"/>
          <w:szCs w:val="22"/>
          <w:lang w:val="en-GB"/>
        </w:rPr>
        <w:t xml:space="preserve">I note that </w:t>
      </w:r>
      <w:r w:rsidR="00F7646A" w:rsidRPr="00F676DD">
        <w:rPr>
          <w:color w:val="000000" w:themeColor="text1"/>
          <w:szCs w:val="22"/>
          <w:lang w:val="en-GB"/>
        </w:rPr>
        <w:t>th</w:t>
      </w:r>
      <w:r w:rsidR="00B03632" w:rsidRPr="00F676DD">
        <w:rPr>
          <w:color w:val="000000" w:themeColor="text1"/>
          <w:szCs w:val="22"/>
          <w:lang w:val="en-GB"/>
        </w:rPr>
        <w:t xml:space="preserve">is </w:t>
      </w:r>
      <w:r w:rsidR="001C0E43" w:rsidRPr="00F676DD">
        <w:rPr>
          <w:color w:val="000000" w:themeColor="text1"/>
          <w:szCs w:val="22"/>
          <w:lang w:val="en-GB"/>
        </w:rPr>
        <w:t xml:space="preserve">suggested </w:t>
      </w:r>
      <w:r w:rsidR="00F7646A" w:rsidRPr="00F676DD">
        <w:rPr>
          <w:color w:val="000000" w:themeColor="text1"/>
          <w:szCs w:val="22"/>
          <w:lang w:val="en-GB"/>
        </w:rPr>
        <w:t xml:space="preserve">initial </w:t>
      </w:r>
      <w:r w:rsidRPr="00F676DD">
        <w:rPr>
          <w:color w:val="000000" w:themeColor="text1"/>
          <w:szCs w:val="22"/>
          <w:lang w:val="en-GB"/>
        </w:rPr>
        <w:t xml:space="preserve">harvest level </w:t>
      </w:r>
      <w:r w:rsidR="00F7646A" w:rsidRPr="00F676DD">
        <w:rPr>
          <w:color w:val="000000" w:themeColor="text1"/>
          <w:szCs w:val="22"/>
          <w:lang w:val="en-GB"/>
        </w:rPr>
        <w:t xml:space="preserve">is </w:t>
      </w:r>
      <w:r w:rsidR="00F676DD">
        <w:rPr>
          <w:color w:val="000000" w:themeColor="text1"/>
          <w:szCs w:val="22"/>
          <w:lang w:val="en-GB"/>
        </w:rPr>
        <w:t>10</w:t>
      </w:r>
      <w:r w:rsidR="007B11E5" w:rsidRPr="00F676DD">
        <w:rPr>
          <w:color w:val="000000" w:themeColor="text1"/>
          <w:szCs w:val="22"/>
          <w:lang w:val="en-GB"/>
        </w:rPr>
        <w:t xml:space="preserve"> percent lower</w:t>
      </w:r>
      <w:r w:rsidRPr="00F676DD">
        <w:rPr>
          <w:color w:val="000000" w:themeColor="text1"/>
          <w:szCs w:val="22"/>
          <w:lang w:val="en-GB"/>
        </w:rPr>
        <w:t xml:space="preserve"> than that shown possible in the base </w:t>
      </w:r>
      <w:proofErr w:type="gramStart"/>
      <w:r w:rsidRPr="00F676DD">
        <w:rPr>
          <w:color w:val="000000" w:themeColor="text1"/>
          <w:szCs w:val="22"/>
          <w:lang w:val="en-GB"/>
        </w:rPr>
        <w:t>case</w:t>
      </w:r>
      <w:r w:rsidR="001C0E43" w:rsidRPr="00F676DD">
        <w:rPr>
          <w:color w:val="000000" w:themeColor="text1"/>
          <w:szCs w:val="22"/>
          <w:lang w:val="en-GB"/>
        </w:rPr>
        <w:t>,</w:t>
      </w:r>
      <w:proofErr w:type="gramEnd"/>
      <w:r w:rsidR="001C0E43" w:rsidRPr="00F676DD">
        <w:rPr>
          <w:color w:val="000000" w:themeColor="text1"/>
          <w:szCs w:val="22"/>
          <w:lang w:val="en-GB"/>
        </w:rPr>
        <w:t xml:space="preserve"> and I accept the licensee’s assessment that it reflects contractor capacity in the area</w:t>
      </w:r>
      <w:r w:rsidR="00F7646A" w:rsidRPr="00F676DD">
        <w:rPr>
          <w:color w:val="000000" w:themeColor="text1"/>
          <w:szCs w:val="22"/>
          <w:lang w:val="en-GB"/>
        </w:rPr>
        <w:t>.  The second five</w:t>
      </w:r>
      <w:r w:rsidR="00F676DD">
        <w:rPr>
          <w:color w:val="000000" w:themeColor="text1"/>
          <w:szCs w:val="22"/>
          <w:lang w:val="en-GB"/>
        </w:rPr>
        <w:noBreakHyphen/>
      </w:r>
      <w:r w:rsidR="00F7646A" w:rsidRPr="00F676DD">
        <w:rPr>
          <w:color w:val="000000" w:themeColor="text1"/>
          <w:szCs w:val="22"/>
          <w:lang w:val="en-GB"/>
        </w:rPr>
        <w:t>year period level is about four percent higher than the level projected in the base case.</w:t>
      </w:r>
      <w:r w:rsidR="007B11E5" w:rsidRPr="00F676DD">
        <w:rPr>
          <w:color w:val="000000" w:themeColor="text1"/>
          <w:szCs w:val="22"/>
          <w:lang w:val="en-GB"/>
        </w:rPr>
        <w:t xml:space="preserve">  I consider </w:t>
      </w:r>
      <w:r w:rsidRPr="00F676DD">
        <w:rPr>
          <w:color w:val="000000" w:themeColor="text1"/>
          <w:szCs w:val="22"/>
          <w:lang w:val="en-GB"/>
        </w:rPr>
        <w:t xml:space="preserve">the impact </w:t>
      </w:r>
      <w:r w:rsidR="007B11E5" w:rsidRPr="00F676DD">
        <w:rPr>
          <w:color w:val="000000" w:themeColor="text1"/>
          <w:szCs w:val="22"/>
          <w:lang w:val="en-GB"/>
        </w:rPr>
        <w:t xml:space="preserve">on this alternative forecast </w:t>
      </w:r>
      <w:r w:rsidRPr="00F676DD">
        <w:rPr>
          <w:color w:val="000000" w:themeColor="text1"/>
          <w:szCs w:val="22"/>
          <w:lang w:val="en-GB"/>
        </w:rPr>
        <w:t>of any overestimation of short</w:t>
      </w:r>
      <w:r w:rsidR="00F676DD">
        <w:rPr>
          <w:color w:val="000000" w:themeColor="text1"/>
          <w:szCs w:val="22"/>
          <w:lang w:val="en-GB"/>
        </w:rPr>
        <w:noBreakHyphen/>
      </w:r>
      <w:r w:rsidRPr="00F676DD">
        <w:rPr>
          <w:color w:val="000000" w:themeColor="text1"/>
          <w:szCs w:val="22"/>
          <w:lang w:val="en-GB"/>
        </w:rPr>
        <w:t>term timber supply suggested by the factors above</w:t>
      </w:r>
      <w:r w:rsidR="007B11E5" w:rsidRPr="00F676DD">
        <w:rPr>
          <w:color w:val="000000" w:themeColor="text1"/>
          <w:szCs w:val="22"/>
          <w:lang w:val="en-GB"/>
        </w:rPr>
        <w:t xml:space="preserve"> coupled with</w:t>
      </w:r>
      <w:r w:rsidR="00B078E6" w:rsidRPr="00F676DD">
        <w:rPr>
          <w:color w:val="000000" w:themeColor="text1"/>
          <w:szCs w:val="22"/>
          <w:lang w:val="en-GB"/>
        </w:rPr>
        <w:t xml:space="preserve"> the</w:t>
      </w:r>
      <w:r w:rsidR="00B078E6">
        <w:rPr>
          <w:color w:val="000000" w:themeColor="text1"/>
          <w:szCs w:val="22"/>
          <w:lang w:val="en-GB"/>
        </w:rPr>
        <w:t xml:space="preserve"> factors that suggest timber supply has been underestimated by the base case projection </w:t>
      </w:r>
      <w:r w:rsidR="007B11E5">
        <w:rPr>
          <w:color w:val="000000" w:themeColor="text1"/>
          <w:szCs w:val="22"/>
          <w:lang w:val="en-GB"/>
        </w:rPr>
        <w:t xml:space="preserve">to </w:t>
      </w:r>
      <w:r w:rsidR="00B078E6">
        <w:rPr>
          <w:color w:val="000000" w:themeColor="text1"/>
          <w:szCs w:val="22"/>
          <w:lang w:val="en-GB"/>
        </w:rPr>
        <w:t xml:space="preserve">provide assurance that setting an initial harvest level </w:t>
      </w:r>
      <w:r w:rsidR="00B03632">
        <w:rPr>
          <w:color w:val="000000" w:themeColor="text1"/>
          <w:szCs w:val="22"/>
          <w:lang w:val="en-GB"/>
        </w:rPr>
        <w:t>of 1</w:t>
      </w:r>
      <w:r w:rsidR="00F676DD">
        <w:rPr>
          <w:color w:val="000000" w:themeColor="text1"/>
          <w:szCs w:val="22"/>
          <w:lang w:val="en-GB"/>
        </w:rPr>
        <w:t> </w:t>
      </w:r>
      <w:r w:rsidR="00B03632">
        <w:rPr>
          <w:color w:val="000000" w:themeColor="text1"/>
          <w:szCs w:val="22"/>
          <w:lang w:val="en-GB"/>
        </w:rPr>
        <w:t>550</w:t>
      </w:r>
      <w:r w:rsidR="00F676DD">
        <w:t> </w:t>
      </w:r>
      <w:r w:rsidR="00B03632">
        <w:rPr>
          <w:color w:val="000000" w:themeColor="text1"/>
          <w:szCs w:val="22"/>
          <w:lang w:val="en-GB"/>
        </w:rPr>
        <w:t>000</w:t>
      </w:r>
      <w:r w:rsidR="00F676DD">
        <w:rPr>
          <w:color w:val="000000" w:themeColor="text1"/>
          <w:szCs w:val="22"/>
          <w:lang w:val="en-GB"/>
        </w:rPr>
        <w:t> </w:t>
      </w:r>
      <w:r w:rsidR="00B03632">
        <w:rPr>
          <w:color w:val="000000" w:themeColor="text1"/>
          <w:szCs w:val="22"/>
          <w:lang w:val="en-GB"/>
        </w:rPr>
        <w:t xml:space="preserve">cubic metres per year </w:t>
      </w:r>
      <w:r w:rsidR="00B078E6">
        <w:rPr>
          <w:color w:val="000000" w:themeColor="text1"/>
          <w:szCs w:val="22"/>
          <w:lang w:val="en-GB"/>
        </w:rPr>
        <w:t>does not present risk to longer term timber suppl</w:t>
      </w:r>
      <w:r w:rsidR="00B03632">
        <w:rPr>
          <w:color w:val="000000" w:themeColor="text1"/>
          <w:szCs w:val="22"/>
          <w:lang w:val="en-GB"/>
        </w:rPr>
        <w:t>y</w:t>
      </w:r>
      <w:r w:rsidR="00B078E6">
        <w:rPr>
          <w:color w:val="000000" w:themeColor="text1"/>
          <w:szCs w:val="22"/>
          <w:lang w:val="en-GB"/>
        </w:rPr>
        <w:t xml:space="preserve"> on TFL</w:t>
      </w:r>
      <w:r w:rsidR="00F676DD">
        <w:rPr>
          <w:color w:val="000000" w:themeColor="text1"/>
          <w:szCs w:val="22"/>
          <w:lang w:val="en-GB"/>
        </w:rPr>
        <w:t> </w:t>
      </w:r>
      <w:r w:rsidR="00B078E6">
        <w:rPr>
          <w:color w:val="000000" w:themeColor="text1"/>
          <w:szCs w:val="22"/>
          <w:lang w:val="en-GB"/>
        </w:rPr>
        <w:t xml:space="preserve">48.  </w:t>
      </w:r>
      <w:r w:rsidR="007B11E5">
        <w:rPr>
          <w:color w:val="000000" w:themeColor="text1"/>
          <w:szCs w:val="22"/>
          <w:lang w:val="en-GB"/>
        </w:rPr>
        <w:t xml:space="preserve">In addition, </w:t>
      </w:r>
      <w:r w:rsidR="00B03632">
        <w:rPr>
          <w:color w:val="000000" w:themeColor="text1"/>
          <w:szCs w:val="22"/>
          <w:lang w:val="en-GB"/>
        </w:rPr>
        <w:t xml:space="preserve">I note that </w:t>
      </w:r>
      <w:r w:rsidR="007B11E5">
        <w:rPr>
          <w:color w:val="000000" w:themeColor="text1"/>
          <w:szCs w:val="22"/>
          <w:lang w:val="en-GB"/>
        </w:rPr>
        <w:t xml:space="preserve">the higher harvest level for </w:t>
      </w:r>
      <w:r w:rsidR="007B11E5" w:rsidRPr="00F676DD">
        <w:rPr>
          <w:color w:val="000000" w:themeColor="text1"/>
          <w:szCs w:val="22"/>
          <w:lang w:val="en-GB"/>
        </w:rPr>
        <w:t>the second five</w:t>
      </w:r>
      <w:r w:rsidR="00F676DD">
        <w:rPr>
          <w:color w:val="000000" w:themeColor="text1"/>
          <w:szCs w:val="22"/>
          <w:lang w:val="en-GB"/>
        </w:rPr>
        <w:noBreakHyphen/>
      </w:r>
      <w:r w:rsidR="007B11E5" w:rsidRPr="00F676DD">
        <w:rPr>
          <w:color w:val="000000" w:themeColor="text1"/>
          <w:szCs w:val="22"/>
          <w:lang w:val="en-GB"/>
        </w:rPr>
        <w:t xml:space="preserve">year period </w:t>
      </w:r>
      <w:r w:rsidR="00F760AD" w:rsidRPr="00F676DD">
        <w:rPr>
          <w:color w:val="000000" w:themeColor="text1"/>
          <w:szCs w:val="22"/>
          <w:lang w:val="en-GB"/>
        </w:rPr>
        <w:t xml:space="preserve">compared to the base case </w:t>
      </w:r>
      <w:r w:rsidR="007B11E5" w:rsidRPr="00F676DD">
        <w:rPr>
          <w:color w:val="000000" w:themeColor="text1"/>
          <w:szCs w:val="22"/>
          <w:lang w:val="en-GB"/>
        </w:rPr>
        <w:t>provides for more opportunity to salvage beetle</w:t>
      </w:r>
      <w:r w:rsidR="00F676DD">
        <w:rPr>
          <w:color w:val="000000" w:themeColor="text1"/>
          <w:szCs w:val="22"/>
          <w:lang w:val="en-GB"/>
        </w:rPr>
        <w:noBreakHyphen/>
      </w:r>
      <w:r w:rsidR="007B11E5" w:rsidRPr="00F676DD">
        <w:rPr>
          <w:color w:val="000000" w:themeColor="text1"/>
          <w:szCs w:val="22"/>
          <w:lang w:val="en-GB"/>
        </w:rPr>
        <w:t>killed pine trees, should any remain merchantable at that time.</w:t>
      </w:r>
    </w:p>
    <w:p w:rsidR="00687CD0" w:rsidRDefault="00BE5E9F" w:rsidP="00687CD0">
      <w:pPr>
        <w:rPr>
          <w:color w:val="000000" w:themeColor="text1"/>
        </w:rPr>
      </w:pPr>
      <w:r w:rsidRPr="00F676DD">
        <w:rPr>
          <w:color w:val="000000" w:themeColor="text1"/>
        </w:rPr>
        <w:t xml:space="preserve">A number of factors introduce uncertainty to the </w:t>
      </w:r>
      <w:r w:rsidR="00BC698C" w:rsidRPr="00F676DD">
        <w:rPr>
          <w:color w:val="000000" w:themeColor="text1"/>
        </w:rPr>
        <w:t>mid</w:t>
      </w:r>
      <w:r w:rsidR="00F676DD">
        <w:rPr>
          <w:color w:val="000000" w:themeColor="text1"/>
        </w:rPr>
        <w:noBreakHyphen/>
      </w:r>
      <w:r w:rsidR="00BC698C" w:rsidRPr="00F676DD">
        <w:rPr>
          <w:color w:val="000000" w:themeColor="text1"/>
        </w:rPr>
        <w:t>term</w:t>
      </w:r>
      <w:r w:rsidRPr="00F676DD">
        <w:rPr>
          <w:color w:val="000000" w:themeColor="text1"/>
        </w:rPr>
        <w:t xml:space="preserve"> timber supply, and better information</w:t>
      </w:r>
      <w:r>
        <w:rPr>
          <w:color w:val="000000" w:themeColor="text1"/>
        </w:rPr>
        <w:t xml:space="preserve"> would clarify any impacts for the next determination for TFL</w:t>
      </w:r>
      <w:r w:rsidR="00F676DD">
        <w:rPr>
          <w:color w:val="000000" w:themeColor="text1"/>
        </w:rPr>
        <w:t> </w:t>
      </w:r>
      <w:r>
        <w:rPr>
          <w:color w:val="000000" w:themeColor="text1"/>
        </w:rPr>
        <w:t>48.  The</w:t>
      </w:r>
      <w:r w:rsidR="00687CD0">
        <w:rPr>
          <w:color w:val="000000" w:themeColor="text1"/>
        </w:rPr>
        <w:t xml:space="preserve"> potential influence of th</w:t>
      </w:r>
      <w:r>
        <w:rPr>
          <w:color w:val="000000" w:themeColor="text1"/>
        </w:rPr>
        <w:t>e</w:t>
      </w:r>
      <w:r w:rsidR="00687CD0">
        <w:rPr>
          <w:color w:val="000000" w:themeColor="text1"/>
        </w:rPr>
        <w:t>s</w:t>
      </w:r>
      <w:r>
        <w:rPr>
          <w:color w:val="000000" w:themeColor="text1"/>
        </w:rPr>
        <w:t>e</w:t>
      </w:r>
      <w:r w:rsidR="00687CD0">
        <w:rPr>
          <w:color w:val="000000" w:themeColor="text1"/>
        </w:rPr>
        <w:t xml:space="preserve"> factor</w:t>
      </w:r>
      <w:r>
        <w:rPr>
          <w:color w:val="000000" w:themeColor="text1"/>
        </w:rPr>
        <w:t>s</w:t>
      </w:r>
      <w:r w:rsidR="00687CD0">
        <w:rPr>
          <w:color w:val="000000" w:themeColor="text1"/>
        </w:rPr>
        <w:t xml:space="preserve"> on mid</w:t>
      </w:r>
      <w:r w:rsidR="00F676DD">
        <w:rPr>
          <w:color w:val="000000" w:themeColor="text1"/>
        </w:rPr>
        <w:noBreakHyphen/>
      </w:r>
      <w:r w:rsidR="00687CD0">
        <w:rPr>
          <w:color w:val="000000" w:themeColor="text1"/>
        </w:rPr>
        <w:t>term timber suppl</w:t>
      </w:r>
      <w:r w:rsidR="00B03632">
        <w:rPr>
          <w:color w:val="000000" w:themeColor="text1"/>
        </w:rPr>
        <w:t>y</w:t>
      </w:r>
      <w:r w:rsidR="00687CD0">
        <w:rPr>
          <w:color w:val="000000" w:themeColor="text1"/>
        </w:rPr>
        <w:t xml:space="preserve"> on the TFL suggest</w:t>
      </w:r>
      <w:r w:rsidR="00C47AD1">
        <w:rPr>
          <w:color w:val="000000" w:themeColor="text1"/>
        </w:rPr>
        <w:t>s</w:t>
      </w:r>
      <w:r w:rsidR="00687CD0">
        <w:rPr>
          <w:color w:val="000000" w:themeColor="text1"/>
        </w:rPr>
        <w:t xml:space="preserve"> that it may be appropriate to determine an AAC for TFL 48 sooner than the 10</w:t>
      </w:r>
      <w:r w:rsidR="00F676DD">
        <w:rPr>
          <w:color w:val="000000" w:themeColor="text1"/>
        </w:rPr>
        <w:t> </w:t>
      </w:r>
      <w:r w:rsidR="00687CD0">
        <w:rPr>
          <w:color w:val="000000" w:themeColor="text1"/>
        </w:rPr>
        <w:t>years required by legislation.</w:t>
      </w:r>
    </w:p>
    <w:p w:rsidR="00B078E6" w:rsidRDefault="00B078E6" w:rsidP="00B078E6">
      <w:pPr>
        <w:rPr>
          <w:color w:val="000000" w:themeColor="text1"/>
        </w:rPr>
      </w:pPr>
      <w:r>
        <w:rPr>
          <w:color w:val="000000" w:themeColor="text1"/>
        </w:rPr>
        <w:t>The previous AAC for TFL</w:t>
      </w:r>
      <w:r w:rsidR="00F676DD">
        <w:rPr>
          <w:color w:val="000000" w:themeColor="text1"/>
        </w:rPr>
        <w:t> </w:t>
      </w:r>
      <w:r>
        <w:rPr>
          <w:color w:val="000000" w:themeColor="text1"/>
        </w:rPr>
        <w:t xml:space="preserve">48 included a partition to deciduous stands which was reflected in the base case harvest level provided by the licensee.  Having reviewed the information discussed </w:t>
      </w:r>
      <w:r w:rsidR="00B8572E">
        <w:rPr>
          <w:color w:val="000000" w:themeColor="text1"/>
        </w:rPr>
        <w:t xml:space="preserve">under </w:t>
      </w:r>
      <w:r w:rsidR="00866BF7">
        <w:rPr>
          <w:color w:val="000000" w:themeColor="text1"/>
        </w:rPr>
        <w:t>‘</w:t>
      </w:r>
      <w:r w:rsidR="00B8572E">
        <w:t xml:space="preserve">pulpwood agreements, </w:t>
      </w:r>
      <w:r w:rsidR="00B8572E" w:rsidRPr="003E3688">
        <w:t>deciduous harvest</w:t>
      </w:r>
      <w:r w:rsidR="00B8572E">
        <w:t xml:space="preserve"> and partitioned component of harvest</w:t>
      </w:r>
      <w:r w:rsidR="00866BF7">
        <w:t>’</w:t>
      </w:r>
      <w:r>
        <w:rPr>
          <w:color w:val="000000" w:themeColor="text1"/>
        </w:rPr>
        <w:t xml:space="preserve">, </w:t>
      </w:r>
      <w:r w:rsidR="00B03632">
        <w:rPr>
          <w:color w:val="000000" w:themeColor="text1"/>
        </w:rPr>
        <w:t>including</w:t>
      </w:r>
      <w:r w:rsidR="00B8572E">
        <w:rPr>
          <w:color w:val="000000" w:themeColor="text1"/>
        </w:rPr>
        <w:t xml:space="preserve"> </w:t>
      </w:r>
      <w:r>
        <w:rPr>
          <w:color w:val="000000" w:themeColor="text1"/>
        </w:rPr>
        <w:t>the availability of and demand for deciduous volume on TFL</w:t>
      </w:r>
      <w:r w:rsidR="00F676DD">
        <w:rPr>
          <w:color w:val="000000" w:themeColor="text1"/>
        </w:rPr>
        <w:t> </w:t>
      </w:r>
      <w:r>
        <w:rPr>
          <w:color w:val="000000" w:themeColor="text1"/>
        </w:rPr>
        <w:t xml:space="preserve">48, I am satisfied that it is appropriate to </w:t>
      </w:r>
      <w:r w:rsidR="00B8572E">
        <w:rPr>
          <w:color w:val="000000" w:themeColor="text1"/>
        </w:rPr>
        <w:t xml:space="preserve">maintain </w:t>
      </w:r>
      <w:r w:rsidR="00B03632">
        <w:rPr>
          <w:color w:val="000000" w:themeColor="text1"/>
        </w:rPr>
        <w:t>a</w:t>
      </w:r>
      <w:r>
        <w:rPr>
          <w:color w:val="000000" w:themeColor="text1"/>
        </w:rPr>
        <w:t xml:space="preserve"> partition </w:t>
      </w:r>
      <w:r w:rsidR="00B8572E">
        <w:rPr>
          <w:color w:val="000000" w:themeColor="text1"/>
        </w:rPr>
        <w:t xml:space="preserve">for </w:t>
      </w:r>
      <w:r>
        <w:rPr>
          <w:color w:val="000000" w:themeColor="text1"/>
        </w:rPr>
        <w:t>deciduous</w:t>
      </w:r>
      <w:r w:rsidR="00F676DD">
        <w:rPr>
          <w:color w:val="000000" w:themeColor="text1"/>
        </w:rPr>
        <w:noBreakHyphen/>
      </w:r>
      <w:r>
        <w:rPr>
          <w:color w:val="000000" w:themeColor="text1"/>
        </w:rPr>
        <w:t xml:space="preserve">leading stands </w:t>
      </w:r>
      <w:r w:rsidR="00B8572E">
        <w:rPr>
          <w:color w:val="000000" w:themeColor="text1"/>
        </w:rPr>
        <w:t>at 100</w:t>
      </w:r>
      <w:r w:rsidR="00F676DD">
        <w:rPr>
          <w:color w:val="000000" w:themeColor="text1"/>
        </w:rPr>
        <w:t> </w:t>
      </w:r>
      <w:r w:rsidR="00B8572E">
        <w:rPr>
          <w:color w:val="000000" w:themeColor="text1"/>
        </w:rPr>
        <w:t>000 cubic metres for</w:t>
      </w:r>
      <w:r>
        <w:rPr>
          <w:color w:val="000000" w:themeColor="text1"/>
        </w:rPr>
        <w:t xml:space="preserve"> this determination.</w:t>
      </w:r>
    </w:p>
    <w:p w:rsidR="00FE0A84" w:rsidRPr="00F676DD" w:rsidRDefault="00FE0A84" w:rsidP="00FE0A84">
      <w:pPr>
        <w:rPr>
          <w:color w:val="000000" w:themeColor="text1"/>
        </w:rPr>
      </w:pPr>
      <w:r w:rsidRPr="002E5E76">
        <w:rPr>
          <w:color w:val="000000" w:themeColor="text1"/>
        </w:rPr>
        <w:t>Considering all these factors together, I determine an appropriate harvest level for TFL</w:t>
      </w:r>
      <w:r>
        <w:rPr>
          <w:color w:val="000000" w:themeColor="text1"/>
        </w:rPr>
        <w:t> </w:t>
      </w:r>
      <w:r w:rsidR="0091095A">
        <w:rPr>
          <w:color w:val="000000" w:themeColor="text1"/>
        </w:rPr>
        <w:t>48</w:t>
      </w:r>
      <w:r w:rsidRPr="002E5E76">
        <w:rPr>
          <w:color w:val="000000" w:themeColor="text1"/>
        </w:rPr>
        <w:t xml:space="preserve"> at this time is </w:t>
      </w:r>
      <w:r w:rsidR="0001205C">
        <w:rPr>
          <w:color w:val="000000" w:themeColor="text1"/>
        </w:rPr>
        <w:t>1</w:t>
      </w:r>
      <w:r w:rsidR="00F676DD">
        <w:rPr>
          <w:color w:val="000000" w:themeColor="text1"/>
        </w:rPr>
        <w:t> </w:t>
      </w:r>
      <w:r w:rsidR="0001205C">
        <w:rPr>
          <w:color w:val="000000" w:themeColor="text1"/>
        </w:rPr>
        <w:t>550</w:t>
      </w:r>
      <w:r w:rsidR="00F676DD">
        <w:rPr>
          <w:color w:val="000000" w:themeColor="text1"/>
        </w:rPr>
        <w:t> </w:t>
      </w:r>
      <w:r w:rsidR="0001205C">
        <w:rPr>
          <w:color w:val="000000" w:themeColor="text1"/>
        </w:rPr>
        <w:t>000</w:t>
      </w:r>
      <w:r>
        <w:rPr>
          <w:color w:val="000000" w:themeColor="text1"/>
        </w:rPr>
        <w:t> </w:t>
      </w:r>
      <w:r w:rsidRPr="002E5E76">
        <w:rPr>
          <w:color w:val="000000" w:themeColor="text1"/>
        </w:rPr>
        <w:t>cubic metres</w:t>
      </w:r>
      <w:r w:rsidR="0001205C">
        <w:rPr>
          <w:color w:val="000000" w:themeColor="text1"/>
        </w:rPr>
        <w:t xml:space="preserve"> for the next five years, followed by an AAC of </w:t>
      </w:r>
      <w:r w:rsidR="00796610">
        <w:rPr>
          <w:color w:val="000000" w:themeColor="text1"/>
        </w:rPr>
        <w:t>871</w:t>
      </w:r>
      <w:r w:rsidR="00F676DD">
        <w:rPr>
          <w:color w:val="000000" w:themeColor="text1"/>
        </w:rPr>
        <w:t> </w:t>
      </w:r>
      <w:r w:rsidR="00796610">
        <w:rPr>
          <w:color w:val="000000" w:themeColor="text1"/>
        </w:rPr>
        <w:t>000</w:t>
      </w:r>
      <w:r w:rsidR="00F676DD">
        <w:rPr>
          <w:color w:val="000000" w:themeColor="text1"/>
        </w:rPr>
        <w:t> </w:t>
      </w:r>
      <w:r w:rsidR="0001205C">
        <w:rPr>
          <w:color w:val="000000" w:themeColor="text1"/>
        </w:rPr>
        <w:t xml:space="preserve">cubic </w:t>
      </w:r>
      <w:r w:rsidR="0001205C" w:rsidRPr="00F676DD">
        <w:rPr>
          <w:color w:val="000000" w:themeColor="text1"/>
        </w:rPr>
        <w:t>metres for the following five</w:t>
      </w:r>
      <w:r w:rsidR="00F676DD" w:rsidRPr="00F676DD">
        <w:rPr>
          <w:color w:val="000000" w:themeColor="text1"/>
        </w:rPr>
        <w:noBreakHyphen/>
      </w:r>
      <w:r w:rsidR="0001205C" w:rsidRPr="00F676DD">
        <w:rPr>
          <w:color w:val="000000" w:themeColor="text1"/>
        </w:rPr>
        <w:t>year period</w:t>
      </w:r>
      <w:r w:rsidRPr="00F676DD">
        <w:rPr>
          <w:color w:val="000000" w:themeColor="text1"/>
        </w:rPr>
        <w:t>.</w:t>
      </w:r>
      <w:r w:rsidR="0055740A" w:rsidRPr="00F676DD">
        <w:rPr>
          <w:color w:val="000000" w:themeColor="text1"/>
        </w:rPr>
        <w:t xml:space="preserve">  </w:t>
      </w:r>
      <w:r w:rsidR="000F5D6B" w:rsidRPr="00F676DD">
        <w:rPr>
          <w:color w:val="000000" w:themeColor="text1"/>
        </w:rPr>
        <w:t>My expectation is that</w:t>
      </w:r>
      <w:r w:rsidR="00826CAA" w:rsidRPr="00F676DD">
        <w:rPr>
          <w:color w:val="000000" w:themeColor="text1"/>
        </w:rPr>
        <w:t xml:space="preserve"> the licensee will focus on harvesting stands with a high component of dead pine for the first five years.  I also expect the licensee will harvest stands with the highest possible merchantable dead pine component during the second five</w:t>
      </w:r>
      <w:r w:rsidR="00F676DD">
        <w:rPr>
          <w:color w:val="000000" w:themeColor="text1"/>
        </w:rPr>
        <w:noBreakHyphen/>
      </w:r>
      <w:r w:rsidR="00826CAA" w:rsidRPr="00F676DD">
        <w:rPr>
          <w:color w:val="000000" w:themeColor="text1"/>
        </w:rPr>
        <w:t>year period of this determination.</w:t>
      </w:r>
    </w:p>
    <w:p w:rsidR="000F5D6B" w:rsidRPr="00F676DD" w:rsidRDefault="001C0E43" w:rsidP="00FE0A84">
      <w:pPr>
        <w:rPr>
          <w:color w:val="000000" w:themeColor="text1"/>
        </w:rPr>
      </w:pPr>
      <w:r w:rsidRPr="00F676DD">
        <w:rPr>
          <w:color w:val="000000" w:themeColor="text1"/>
        </w:rPr>
        <w:t>As</w:t>
      </w:r>
      <w:r w:rsidR="000F5D6B" w:rsidRPr="00F676DD">
        <w:rPr>
          <w:color w:val="000000" w:themeColor="text1"/>
        </w:rPr>
        <w:t xml:space="preserve"> I have </w:t>
      </w:r>
      <w:r w:rsidRPr="00F676DD">
        <w:rPr>
          <w:color w:val="000000" w:themeColor="text1"/>
        </w:rPr>
        <w:t>noted throughout this rationale, including under ‘</w:t>
      </w:r>
      <w:r w:rsidRPr="00F676DD">
        <w:rPr>
          <w:b/>
          <w:color w:val="000000" w:themeColor="text1"/>
        </w:rPr>
        <w:t>I</w:t>
      </w:r>
      <w:r w:rsidR="000F5D6B" w:rsidRPr="00F676DD">
        <w:rPr>
          <w:b/>
          <w:color w:val="000000" w:themeColor="text1"/>
        </w:rPr>
        <w:t>mplementation</w:t>
      </w:r>
      <w:r w:rsidRPr="00F676DD">
        <w:rPr>
          <w:color w:val="000000" w:themeColor="text1"/>
        </w:rPr>
        <w:t xml:space="preserve">’, I am concerned that the quality of the information for many </w:t>
      </w:r>
      <w:r w:rsidR="00F760AD" w:rsidRPr="00F676DD">
        <w:rPr>
          <w:color w:val="000000" w:themeColor="text1"/>
        </w:rPr>
        <w:t xml:space="preserve">of the </w:t>
      </w:r>
      <w:r w:rsidR="002A64FA" w:rsidRPr="00F676DD">
        <w:rPr>
          <w:color w:val="000000" w:themeColor="text1"/>
        </w:rPr>
        <w:t>assumptions</w:t>
      </w:r>
      <w:r w:rsidRPr="00F676DD">
        <w:rPr>
          <w:color w:val="000000" w:themeColor="text1"/>
        </w:rPr>
        <w:t xml:space="preserve"> </w:t>
      </w:r>
      <w:r w:rsidR="00F760AD" w:rsidRPr="00F676DD">
        <w:rPr>
          <w:color w:val="000000" w:themeColor="text1"/>
        </w:rPr>
        <w:t>discussed above, for example</w:t>
      </w:r>
      <w:r w:rsidRPr="00F676DD">
        <w:rPr>
          <w:color w:val="000000" w:themeColor="text1"/>
        </w:rPr>
        <w:t xml:space="preserve"> dead pine</w:t>
      </w:r>
      <w:r w:rsidR="002A64FA" w:rsidRPr="00F676DD">
        <w:rPr>
          <w:color w:val="000000" w:themeColor="text1"/>
        </w:rPr>
        <w:t xml:space="preserve"> salvage</w:t>
      </w:r>
      <w:r w:rsidRPr="00F676DD">
        <w:rPr>
          <w:color w:val="000000" w:themeColor="text1"/>
        </w:rPr>
        <w:t xml:space="preserve"> on cable ground, harvesting performance in balsam, </w:t>
      </w:r>
      <w:r w:rsidR="002A64FA" w:rsidRPr="00F676DD">
        <w:rPr>
          <w:color w:val="000000" w:themeColor="text1"/>
        </w:rPr>
        <w:t>existing stand volumes, regeneration delay and natural disturbance</w:t>
      </w:r>
      <w:r w:rsidR="00F760AD" w:rsidRPr="00F676DD">
        <w:rPr>
          <w:color w:val="000000" w:themeColor="text1"/>
        </w:rPr>
        <w:t xml:space="preserve"> in the non</w:t>
      </w:r>
      <w:r w:rsidR="00F676DD">
        <w:rPr>
          <w:color w:val="000000" w:themeColor="text1"/>
        </w:rPr>
        <w:noBreakHyphen/>
      </w:r>
      <w:r w:rsidR="00F760AD" w:rsidRPr="00F676DD">
        <w:rPr>
          <w:color w:val="000000" w:themeColor="text1"/>
        </w:rPr>
        <w:t>contributing land base</w:t>
      </w:r>
      <w:r w:rsidR="00414DA8" w:rsidRPr="00F676DD">
        <w:rPr>
          <w:color w:val="000000" w:themeColor="text1"/>
        </w:rPr>
        <w:t>,</w:t>
      </w:r>
      <w:r w:rsidR="002A64FA" w:rsidRPr="00F676DD">
        <w:rPr>
          <w:color w:val="000000" w:themeColor="text1"/>
        </w:rPr>
        <w:t xml:space="preserve"> introduces uncertainty for mid</w:t>
      </w:r>
      <w:r w:rsidR="00F676DD">
        <w:rPr>
          <w:color w:val="000000" w:themeColor="text1"/>
        </w:rPr>
        <w:noBreakHyphen/>
      </w:r>
      <w:r w:rsidR="002A64FA" w:rsidRPr="00F676DD">
        <w:rPr>
          <w:color w:val="000000" w:themeColor="text1"/>
        </w:rPr>
        <w:t xml:space="preserve"> to long</w:t>
      </w:r>
      <w:r w:rsidR="00F676DD">
        <w:rPr>
          <w:color w:val="000000" w:themeColor="text1"/>
        </w:rPr>
        <w:noBreakHyphen/>
      </w:r>
      <w:r w:rsidR="002A64FA" w:rsidRPr="00F676DD">
        <w:rPr>
          <w:color w:val="000000" w:themeColor="text1"/>
        </w:rPr>
        <w:t>term timber supply.  It</w:t>
      </w:r>
      <w:r w:rsidR="000F5D6B" w:rsidRPr="00F676DD">
        <w:rPr>
          <w:color w:val="000000" w:themeColor="text1"/>
        </w:rPr>
        <w:t xml:space="preserve"> is my expectation that the licensee will </w:t>
      </w:r>
      <w:r w:rsidR="002A64FA" w:rsidRPr="00F676DD">
        <w:rPr>
          <w:color w:val="000000" w:themeColor="text1"/>
        </w:rPr>
        <w:t xml:space="preserve">thoroughly review the information and </w:t>
      </w:r>
      <w:r w:rsidR="000F5D6B" w:rsidRPr="00F676DD">
        <w:rPr>
          <w:color w:val="000000" w:themeColor="text1"/>
        </w:rPr>
        <w:t>ensure better information is available</w:t>
      </w:r>
      <w:r w:rsidR="002A64FA" w:rsidRPr="00F676DD">
        <w:rPr>
          <w:color w:val="000000" w:themeColor="text1"/>
        </w:rPr>
        <w:t xml:space="preserve"> for the next timber supply review for TFL</w:t>
      </w:r>
      <w:r w:rsidR="00F676DD">
        <w:rPr>
          <w:color w:val="000000" w:themeColor="text1"/>
        </w:rPr>
        <w:t> </w:t>
      </w:r>
      <w:r w:rsidR="002A64FA" w:rsidRPr="00F676DD">
        <w:rPr>
          <w:color w:val="000000" w:themeColor="text1"/>
        </w:rPr>
        <w:t>48.</w:t>
      </w:r>
    </w:p>
    <w:p w:rsidR="003040FE" w:rsidRPr="00F676DD" w:rsidRDefault="003040FE">
      <w:pPr>
        <w:pStyle w:val="Heading1"/>
        <w:rPr>
          <w:color w:val="000000" w:themeColor="text1"/>
          <w:lang w:val="en-CA"/>
        </w:rPr>
      </w:pPr>
      <w:bookmarkStart w:id="305" w:name="_Toc256501026"/>
      <w:bookmarkStart w:id="306" w:name="_Toc317667263"/>
      <w:bookmarkStart w:id="307" w:name="_Toc432658659"/>
      <w:r w:rsidRPr="00F676DD">
        <w:rPr>
          <w:color w:val="000000" w:themeColor="text1"/>
          <w:lang w:val="en-CA"/>
        </w:rPr>
        <w:t>Determination</w:t>
      </w:r>
      <w:bookmarkEnd w:id="305"/>
      <w:bookmarkEnd w:id="306"/>
      <w:bookmarkEnd w:id="307"/>
    </w:p>
    <w:p w:rsidR="0055740A" w:rsidRDefault="00A57171" w:rsidP="0055740A">
      <w:pPr>
        <w:rPr>
          <w:color w:val="000000" w:themeColor="text1"/>
        </w:rPr>
      </w:pPr>
      <w:r w:rsidRPr="00F676DD">
        <w:t>I have considered and reviewed all the factors as documented above, including the risks and</w:t>
      </w:r>
      <w:r w:rsidRPr="001331F2">
        <w:t xml:space="preserve"> uncertainties of the information provided.  It is my determination that a timber harvest level that accommodates objectives for all forest resources during the next 10 years and that reflects current management practices as well as the socio</w:t>
      </w:r>
      <w:r w:rsidRPr="001331F2">
        <w:noBreakHyphen/>
        <w:t>economic objectives of t</w:t>
      </w:r>
      <w:r w:rsidR="0070391E" w:rsidRPr="001331F2">
        <w:t>he Crown, can be best achieved o</w:t>
      </w:r>
      <w:r w:rsidRPr="001331F2">
        <w:t xml:space="preserve">n </w:t>
      </w:r>
      <w:r w:rsidR="0070391E" w:rsidRPr="001331F2">
        <w:t>TFL</w:t>
      </w:r>
      <w:r w:rsidR="0009295F">
        <w:t> </w:t>
      </w:r>
      <w:r w:rsidR="0091095A">
        <w:t xml:space="preserve">48 </w:t>
      </w:r>
      <w:r w:rsidRPr="001331F2">
        <w:t xml:space="preserve">by establishing an AAC of </w:t>
      </w:r>
      <w:r w:rsidR="0001205C">
        <w:t>1</w:t>
      </w:r>
      <w:r w:rsidR="00F676DD">
        <w:t> </w:t>
      </w:r>
      <w:r w:rsidR="0001205C">
        <w:t>550</w:t>
      </w:r>
      <w:r w:rsidR="00F676DD">
        <w:t> </w:t>
      </w:r>
      <w:r w:rsidR="0001205C">
        <w:t>000</w:t>
      </w:r>
      <w:r w:rsidRPr="001331F2">
        <w:t> cubic metres</w:t>
      </w:r>
      <w:r w:rsidR="0001205C">
        <w:t xml:space="preserve"> for the next five</w:t>
      </w:r>
      <w:r w:rsidR="00F676DD">
        <w:t> </w:t>
      </w:r>
      <w:r w:rsidR="0001205C">
        <w:t xml:space="preserve">years, followed by an AAC of </w:t>
      </w:r>
      <w:r w:rsidR="00B8572E">
        <w:t>871</w:t>
      </w:r>
      <w:r w:rsidR="00F676DD">
        <w:t> </w:t>
      </w:r>
      <w:r w:rsidR="00B8572E">
        <w:t>000</w:t>
      </w:r>
      <w:r w:rsidR="0001205C">
        <w:t xml:space="preserve"> cubic metres for the following five</w:t>
      </w:r>
      <w:r w:rsidR="00F676DD">
        <w:noBreakHyphen/>
      </w:r>
      <w:r w:rsidR="0001205C">
        <w:t>year period</w:t>
      </w:r>
      <w:r w:rsidRPr="001331F2">
        <w:t>.</w:t>
      </w:r>
      <w:r w:rsidR="0055740A">
        <w:t xml:space="preserve">  </w:t>
      </w:r>
      <w:r w:rsidR="00826CAA">
        <w:t xml:space="preserve">I also specify, under </w:t>
      </w:r>
      <w:r w:rsidR="00F676DD">
        <w:t>S</w:t>
      </w:r>
      <w:r w:rsidR="00826CAA">
        <w:t>ection</w:t>
      </w:r>
      <w:r w:rsidR="00E32F52">
        <w:t> </w:t>
      </w:r>
      <w:r w:rsidR="00826CAA">
        <w:t>8(5</w:t>
      </w:r>
      <w:proofErr w:type="gramStart"/>
      <w:r w:rsidR="00826CAA">
        <w:t>)(</w:t>
      </w:r>
      <w:proofErr w:type="gramEnd"/>
      <w:r w:rsidR="00826CAA">
        <w:t xml:space="preserve">a) of the </w:t>
      </w:r>
      <w:r w:rsidR="00826CAA" w:rsidRPr="009F47B4">
        <w:rPr>
          <w:i/>
        </w:rPr>
        <w:t>Forest Act</w:t>
      </w:r>
      <w:r w:rsidR="00826CAA">
        <w:rPr>
          <w:i/>
        </w:rPr>
        <w:t>,</w:t>
      </w:r>
      <w:r w:rsidR="00826CAA">
        <w:t xml:space="preserve"> that 100</w:t>
      </w:r>
      <w:r w:rsidR="00F676DD">
        <w:t> </w:t>
      </w:r>
      <w:r w:rsidR="00826CAA">
        <w:t>000 cubic metres are attributable to deciduous and coniferous trees in deciduous</w:t>
      </w:r>
      <w:r w:rsidR="00F676DD">
        <w:noBreakHyphen/>
      </w:r>
      <w:r w:rsidR="00826CAA">
        <w:t>leading stands.</w:t>
      </w:r>
    </w:p>
    <w:p w:rsidR="00A57171" w:rsidRPr="001331F2" w:rsidRDefault="00A57171" w:rsidP="00A57171">
      <w:r w:rsidRPr="001331F2">
        <w:t xml:space="preserve">This determination is effective on </w:t>
      </w:r>
      <w:r w:rsidR="00CB2AB7" w:rsidRPr="00CB2AB7">
        <w:t>October 15</w:t>
      </w:r>
      <w:r w:rsidR="001331F2" w:rsidRPr="00085AA4">
        <w:t xml:space="preserve">, </w:t>
      </w:r>
      <w:r w:rsidRPr="00085AA4">
        <w:t>201</w:t>
      </w:r>
      <w:r w:rsidR="0091095A" w:rsidRPr="00085AA4">
        <w:t>5</w:t>
      </w:r>
      <w:r w:rsidRPr="001331F2">
        <w:t xml:space="preserve"> and will remain in effect until a new AAC is determined, which must take place within </w:t>
      </w:r>
      <w:r w:rsidRPr="0001205C">
        <w:t>10 years</w:t>
      </w:r>
      <w:r w:rsidRPr="001331F2">
        <w:t xml:space="preserve"> </w:t>
      </w:r>
      <w:r w:rsidR="006D19C6" w:rsidRPr="001331F2">
        <w:t>after</w:t>
      </w:r>
      <w:r w:rsidRPr="001331F2">
        <w:t xml:space="preserve"> the date of this determination.</w:t>
      </w:r>
    </w:p>
    <w:p w:rsidR="003040FE" w:rsidRPr="001136AC" w:rsidRDefault="003040FE">
      <w:pPr>
        <w:rPr>
          <w:color w:val="000000" w:themeColor="text1"/>
        </w:rPr>
      </w:pPr>
      <w:r w:rsidRPr="001331F2">
        <w:rPr>
          <w:color w:val="000000" w:themeColor="text1"/>
        </w:rPr>
        <w:t xml:space="preserve">If additional significant new information is made available to me, or major changes occur in the management assumptions upon which I have predicated this decision, </w:t>
      </w:r>
      <w:r w:rsidR="0009325F" w:rsidRPr="00BA35D8">
        <w:rPr>
          <w:color w:val="000000" w:themeColor="text1"/>
        </w:rPr>
        <w:t xml:space="preserve">then a new </w:t>
      </w:r>
      <w:r w:rsidR="00347C3A">
        <w:rPr>
          <w:color w:val="000000" w:themeColor="text1"/>
        </w:rPr>
        <w:t>timber supply review</w:t>
      </w:r>
      <w:r w:rsidR="0009325F" w:rsidRPr="00BA35D8">
        <w:rPr>
          <w:color w:val="000000" w:themeColor="text1"/>
        </w:rPr>
        <w:t xml:space="preserve"> can be initiated leading to a determination sooner than in the 10 years allowed by legislation.</w:t>
      </w:r>
    </w:p>
    <w:p w:rsidR="006C6370" w:rsidRPr="001136AC" w:rsidRDefault="006C6370" w:rsidP="006C6370">
      <w:pPr>
        <w:pStyle w:val="Heading1"/>
        <w:rPr>
          <w:color w:val="000000" w:themeColor="text1"/>
          <w:lang w:val="en-CA"/>
        </w:rPr>
      </w:pPr>
      <w:bookmarkStart w:id="308" w:name="_Toc432658660"/>
      <w:r w:rsidRPr="004E5352">
        <w:rPr>
          <w:color w:val="000000" w:themeColor="text1"/>
          <w:lang w:val="en-CA"/>
        </w:rPr>
        <w:t>Implementation</w:t>
      </w:r>
      <w:bookmarkEnd w:id="308"/>
    </w:p>
    <w:p w:rsidR="006C6370" w:rsidRPr="00E32F52" w:rsidRDefault="006C6370">
      <w:pPr>
        <w:spacing w:before="0" w:after="0"/>
        <w:rPr>
          <w:color w:val="000000" w:themeColor="text1"/>
        </w:rPr>
      </w:pPr>
      <w:r w:rsidRPr="00E32F52">
        <w:rPr>
          <w:color w:val="000000" w:themeColor="text1"/>
        </w:rPr>
        <w:t>In the period following this determination and leading to the subsequent determinat</w:t>
      </w:r>
      <w:r w:rsidR="00FD4B15" w:rsidRPr="00E32F52">
        <w:rPr>
          <w:color w:val="000000" w:themeColor="text1"/>
        </w:rPr>
        <w:t xml:space="preserve">ion, </w:t>
      </w:r>
      <w:r w:rsidR="00F760AD" w:rsidRPr="00E32F52">
        <w:rPr>
          <w:color w:val="000000" w:themeColor="text1"/>
        </w:rPr>
        <w:t xml:space="preserve">it is my expectation that </w:t>
      </w:r>
      <w:r w:rsidRPr="00E32F52">
        <w:rPr>
          <w:color w:val="000000" w:themeColor="text1"/>
        </w:rPr>
        <w:t xml:space="preserve">Canfor </w:t>
      </w:r>
      <w:r w:rsidR="00F760AD" w:rsidRPr="00E32F52">
        <w:rPr>
          <w:color w:val="000000" w:themeColor="text1"/>
        </w:rPr>
        <w:t xml:space="preserve">will </w:t>
      </w:r>
      <w:r w:rsidRPr="00E32F52">
        <w:rPr>
          <w:color w:val="000000" w:themeColor="text1"/>
        </w:rPr>
        <w:t xml:space="preserve">undertake tasks and investigations </w:t>
      </w:r>
      <w:r w:rsidR="00E91577" w:rsidRPr="00E32F52">
        <w:rPr>
          <w:color w:val="000000" w:themeColor="text1"/>
        </w:rPr>
        <w:t xml:space="preserve">that </w:t>
      </w:r>
      <w:r w:rsidRPr="00E32F52">
        <w:rPr>
          <w:color w:val="000000" w:themeColor="text1"/>
        </w:rPr>
        <w:t>will be important to help</w:t>
      </w:r>
      <w:r>
        <w:rPr>
          <w:color w:val="000000" w:themeColor="text1"/>
        </w:rPr>
        <w:t xml:space="preserve"> </w:t>
      </w:r>
      <w:r w:rsidRPr="00E32F52">
        <w:rPr>
          <w:color w:val="000000" w:themeColor="text1"/>
        </w:rPr>
        <w:t>reduce the risk and uncertain</w:t>
      </w:r>
      <w:r w:rsidR="00FD4B15" w:rsidRPr="00E32F52">
        <w:rPr>
          <w:color w:val="000000" w:themeColor="text1"/>
        </w:rPr>
        <w:t>t</w:t>
      </w:r>
      <w:r w:rsidRPr="00E32F52">
        <w:rPr>
          <w:color w:val="000000" w:themeColor="text1"/>
        </w:rPr>
        <w:t>y associated with key factors that affect timber supply on TFL</w:t>
      </w:r>
      <w:r w:rsidR="0009295F" w:rsidRPr="00E32F52">
        <w:rPr>
          <w:color w:val="000000" w:themeColor="text1"/>
        </w:rPr>
        <w:t> </w:t>
      </w:r>
      <w:r w:rsidR="0091095A" w:rsidRPr="00E32F52">
        <w:rPr>
          <w:color w:val="000000" w:themeColor="text1"/>
        </w:rPr>
        <w:t>48</w:t>
      </w:r>
      <w:r w:rsidRPr="00E32F52">
        <w:rPr>
          <w:color w:val="000000" w:themeColor="text1"/>
        </w:rPr>
        <w:t>.  I</w:t>
      </w:r>
      <w:r w:rsidR="00E32F52" w:rsidRPr="00E32F52">
        <w:rPr>
          <w:color w:val="000000" w:themeColor="text1"/>
        </w:rPr>
        <w:t> </w:t>
      </w:r>
      <w:r w:rsidR="00F760AD" w:rsidRPr="00E32F52">
        <w:rPr>
          <w:color w:val="000000" w:themeColor="text1"/>
        </w:rPr>
        <w:t xml:space="preserve">expect </w:t>
      </w:r>
      <w:r w:rsidR="00324C82" w:rsidRPr="00E32F52">
        <w:rPr>
          <w:color w:val="000000" w:themeColor="text1"/>
        </w:rPr>
        <w:t>Canfor</w:t>
      </w:r>
      <w:r w:rsidRPr="00E32F52">
        <w:rPr>
          <w:color w:val="000000" w:themeColor="text1"/>
        </w:rPr>
        <w:t xml:space="preserve"> to:</w:t>
      </w:r>
    </w:p>
    <w:p w:rsidR="0091095A" w:rsidRPr="00E32F52" w:rsidRDefault="00B03632" w:rsidP="0091095A">
      <w:pPr>
        <w:pStyle w:val="ListParagraph"/>
        <w:numPr>
          <w:ilvl w:val="0"/>
          <w:numId w:val="25"/>
        </w:numPr>
        <w:spacing w:after="0"/>
        <w:ind w:left="714" w:hanging="357"/>
        <w:rPr>
          <w:color w:val="000000" w:themeColor="text1"/>
        </w:rPr>
      </w:pPr>
      <w:r w:rsidRPr="00E32F52">
        <w:rPr>
          <w:color w:val="000000" w:themeColor="text1"/>
        </w:rPr>
        <w:t>D</w:t>
      </w:r>
      <w:r w:rsidR="00E838A4" w:rsidRPr="00E32F52">
        <w:rPr>
          <w:color w:val="000000" w:themeColor="text1"/>
        </w:rPr>
        <w:t>evelop a robust inventory for TFL</w:t>
      </w:r>
      <w:r w:rsidR="005B475B">
        <w:rPr>
          <w:color w:val="000000" w:themeColor="text1"/>
        </w:rPr>
        <w:t> </w:t>
      </w:r>
      <w:r w:rsidR="00E838A4" w:rsidRPr="00E32F52">
        <w:rPr>
          <w:color w:val="000000" w:themeColor="text1"/>
        </w:rPr>
        <w:t xml:space="preserve">48 so as to provide better information for the next determination.  In addition </w:t>
      </w:r>
      <w:r w:rsidR="001913C5" w:rsidRPr="00E32F52">
        <w:rPr>
          <w:color w:val="000000" w:themeColor="text1"/>
        </w:rPr>
        <w:t>I expect that for the next timber supply review the licensee will consistently apply the same growth and yield information for yield projections and related land base exclusions.</w:t>
      </w:r>
    </w:p>
    <w:p w:rsidR="00ED731E" w:rsidRPr="00E13A37" w:rsidRDefault="00ED731E" w:rsidP="0091095A">
      <w:pPr>
        <w:pStyle w:val="ListParagraph"/>
        <w:numPr>
          <w:ilvl w:val="0"/>
          <w:numId w:val="25"/>
        </w:numPr>
        <w:spacing w:after="0"/>
        <w:ind w:left="714" w:hanging="357"/>
        <w:rPr>
          <w:color w:val="000000" w:themeColor="text1"/>
        </w:rPr>
      </w:pPr>
      <w:r w:rsidRPr="00E13A37">
        <w:rPr>
          <w:color w:val="000000" w:themeColor="text1"/>
        </w:rPr>
        <w:t>Remain apprised of the S</w:t>
      </w:r>
      <w:r w:rsidR="00721D06" w:rsidRPr="00E13A37">
        <w:rPr>
          <w:color w:val="000000" w:themeColor="text1"/>
        </w:rPr>
        <w:t>tandardized Industry Management Practices (S</w:t>
      </w:r>
      <w:r w:rsidRPr="00E13A37">
        <w:rPr>
          <w:color w:val="000000" w:themeColor="text1"/>
        </w:rPr>
        <w:t>IMPs</w:t>
      </w:r>
      <w:r w:rsidR="00721D06" w:rsidRPr="00E13A37">
        <w:rPr>
          <w:color w:val="000000" w:themeColor="text1"/>
        </w:rPr>
        <w:t>)</w:t>
      </w:r>
      <w:r w:rsidRPr="00E13A37">
        <w:rPr>
          <w:color w:val="000000" w:themeColor="text1"/>
        </w:rPr>
        <w:t xml:space="preserve"> being developed for caribou management </w:t>
      </w:r>
      <w:r w:rsidR="00721D06" w:rsidRPr="00E13A37">
        <w:rPr>
          <w:color w:val="000000" w:themeColor="text1"/>
        </w:rPr>
        <w:t xml:space="preserve">as part of the </w:t>
      </w:r>
      <w:r w:rsidR="00721D06" w:rsidRPr="00E13A37">
        <w:rPr>
          <w:i/>
          <w:color w:val="000000" w:themeColor="text1"/>
        </w:rPr>
        <w:t>Implementation Plan for the Ongoing Management of South Peace Northern Caribou</w:t>
      </w:r>
      <w:r w:rsidR="00721D06" w:rsidRPr="00E13A37">
        <w:rPr>
          <w:color w:val="000000" w:themeColor="text1"/>
        </w:rPr>
        <w:t xml:space="preserve">, </w:t>
      </w:r>
      <w:r w:rsidR="000E4A3F" w:rsidRPr="00E13A37">
        <w:rPr>
          <w:color w:val="000000" w:themeColor="text1"/>
        </w:rPr>
        <w:t xml:space="preserve">and </w:t>
      </w:r>
      <w:r w:rsidRPr="00E13A37">
        <w:rPr>
          <w:color w:val="000000" w:themeColor="text1"/>
        </w:rPr>
        <w:t>incorporate the</w:t>
      </w:r>
      <w:r w:rsidR="00721D06" w:rsidRPr="00E13A37">
        <w:rPr>
          <w:color w:val="000000" w:themeColor="text1"/>
        </w:rPr>
        <w:t>se</w:t>
      </w:r>
      <w:r w:rsidRPr="00E13A37">
        <w:rPr>
          <w:color w:val="000000" w:themeColor="text1"/>
        </w:rPr>
        <w:t xml:space="preserve"> into operational management as soon as they are available</w:t>
      </w:r>
      <w:r w:rsidR="00826CAA">
        <w:rPr>
          <w:color w:val="000000" w:themeColor="text1"/>
        </w:rPr>
        <w:t>.</w:t>
      </w:r>
    </w:p>
    <w:p w:rsidR="00721D06" w:rsidRPr="00E13A37" w:rsidRDefault="00721D06" w:rsidP="0091095A">
      <w:pPr>
        <w:pStyle w:val="ListParagraph"/>
        <w:numPr>
          <w:ilvl w:val="0"/>
          <w:numId w:val="25"/>
        </w:numPr>
        <w:spacing w:after="0"/>
        <w:ind w:left="714" w:hanging="357"/>
        <w:rPr>
          <w:color w:val="000000" w:themeColor="text1"/>
        </w:rPr>
      </w:pPr>
      <w:r w:rsidRPr="00E13A37">
        <w:rPr>
          <w:color w:val="000000" w:themeColor="text1"/>
        </w:rPr>
        <w:t xml:space="preserve">Continue to engage with First Nations, mining and oil and gas stakeholders and </w:t>
      </w:r>
      <w:r w:rsidR="00EB499D">
        <w:rPr>
          <w:color w:val="000000" w:themeColor="text1"/>
        </w:rPr>
        <w:t>FLNR operations</w:t>
      </w:r>
      <w:r w:rsidR="00EB499D" w:rsidRPr="00E13A37">
        <w:rPr>
          <w:color w:val="000000" w:themeColor="text1"/>
        </w:rPr>
        <w:t xml:space="preserve"> </w:t>
      </w:r>
      <w:r w:rsidRPr="00E13A37">
        <w:rPr>
          <w:color w:val="000000" w:themeColor="text1"/>
        </w:rPr>
        <w:t xml:space="preserve">staff to collect information regarding cumulative effects and reflect the best available information in the next </w:t>
      </w:r>
      <w:r w:rsidR="00E838A4">
        <w:rPr>
          <w:color w:val="000000" w:themeColor="text1"/>
        </w:rPr>
        <w:t>timber supply review</w:t>
      </w:r>
      <w:r w:rsidR="00826CAA">
        <w:rPr>
          <w:color w:val="000000" w:themeColor="text1"/>
        </w:rPr>
        <w:t>.</w:t>
      </w:r>
    </w:p>
    <w:p w:rsidR="007474E0" w:rsidRPr="00E13A37" w:rsidRDefault="00721D06" w:rsidP="0091095A">
      <w:pPr>
        <w:pStyle w:val="ListParagraph"/>
        <w:numPr>
          <w:ilvl w:val="0"/>
          <w:numId w:val="25"/>
        </w:numPr>
        <w:spacing w:after="0"/>
        <w:ind w:left="714" w:hanging="357"/>
        <w:rPr>
          <w:color w:val="000000" w:themeColor="text1"/>
        </w:rPr>
      </w:pPr>
      <w:r w:rsidRPr="00E13A37">
        <w:rPr>
          <w:color w:val="000000" w:themeColor="text1"/>
        </w:rPr>
        <w:t xml:space="preserve">Report to the </w:t>
      </w:r>
      <w:r w:rsidR="00EB499D">
        <w:rPr>
          <w:color w:val="000000" w:themeColor="text1"/>
        </w:rPr>
        <w:t xml:space="preserve">FLNR </w:t>
      </w:r>
      <w:r w:rsidRPr="00E13A37">
        <w:rPr>
          <w:color w:val="000000" w:themeColor="text1"/>
        </w:rPr>
        <w:t>district manager on harvest performance by species and by dead</w:t>
      </w:r>
      <w:r w:rsidR="00E838A4">
        <w:rPr>
          <w:color w:val="000000" w:themeColor="text1"/>
        </w:rPr>
        <w:t xml:space="preserve"> and </w:t>
      </w:r>
      <w:r w:rsidRPr="00E13A37">
        <w:rPr>
          <w:color w:val="000000" w:themeColor="text1"/>
        </w:rPr>
        <w:t>live wood on an annual basis.</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91095A" w:rsidRDefault="002E405D" w:rsidP="0091095A">
      <w:pPr>
        <w:spacing w:after="0"/>
        <w:rPr>
          <w:color w:val="000000" w:themeColor="text1"/>
        </w:rPr>
      </w:pPr>
      <w:r w:rsidRPr="00E32F52">
        <w:rPr>
          <w:color w:val="000000" w:themeColor="text1"/>
        </w:rPr>
        <w:t>While t</w:t>
      </w:r>
      <w:r w:rsidR="00E91577" w:rsidRPr="00E32F52">
        <w:rPr>
          <w:color w:val="000000" w:themeColor="text1"/>
        </w:rPr>
        <w:t xml:space="preserve">he above </w:t>
      </w:r>
      <w:r w:rsidRPr="00E32F52">
        <w:rPr>
          <w:color w:val="000000" w:themeColor="text1"/>
        </w:rPr>
        <w:t xml:space="preserve">tasks </w:t>
      </w:r>
      <w:r w:rsidR="00E91577" w:rsidRPr="00E32F52">
        <w:rPr>
          <w:color w:val="000000" w:themeColor="text1"/>
        </w:rPr>
        <w:t>are the highest priority</w:t>
      </w:r>
      <w:r w:rsidRPr="00E32F52">
        <w:rPr>
          <w:color w:val="000000" w:themeColor="text1"/>
        </w:rPr>
        <w:t xml:space="preserve">, I also note that, as mentioned elsewhere in this rationale document, there are several factors for which information used </w:t>
      </w:r>
      <w:r w:rsidR="002A6AC2" w:rsidRPr="00E32F52">
        <w:rPr>
          <w:color w:val="000000" w:themeColor="text1"/>
        </w:rPr>
        <w:t xml:space="preserve">for this analysis </w:t>
      </w:r>
      <w:r w:rsidRPr="00E32F52">
        <w:rPr>
          <w:color w:val="000000" w:themeColor="text1"/>
        </w:rPr>
        <w:t>introduces a level of uncertainty to the mid</w:t>
      </w:r>
      <w:r w:rsidR="00E32F52">
        <w:rPr>
          <w:color w:val="000000" w:themeColor="text1"/>
        </w:rPr>
        <w:noBreakHyphen/>
      </w:r>
      <w:r w:rsidRPr="00E32F52">
        <w:rPr>
          <w:color w:val="000000" w:themeColor="text1"/>
        </w:rPr>
        <w:t xml:space="preserve"> to long</w:t>
      </w:r>
      <w:r w:rsidR="00E32F52">
        <w:rPr>
          <w:color w:val="000000" w:themeColor="text1"/>
        </w:rPr>
        <w:noBreakHyphen/>
      </w:r>
      <w:r w:rsidRPr="00E32F52">
        <w:rPr>
          <w:color w:val="000000" w:themeColor="text1"/>
        </w:rPr>
        <w:t xml:space="preserve">term timber supply.  </w:t>
      </w:r>
      <w:r w:rsidR="002A64FA" w:rsidRPr="00E32F52">
        <w:rPr>
          <w:color w:val="000000" w:themeColor="text1"/>
        </w:rPr>
        <w:t xml:space="preserve">As noted earlier, this </w:t>
      </w:r>
      <w:r w:rsidR="001D567B" w:rsidRPr="00E32F52">
        <w:rPr>
          <w:color w:val="000000" w:themeColor="text1"/>
        </w:rPr>
        <w:t>analysis</w:t>
      </w:r>
      <w:r w:rsidR="002A64FA" w:rsidRPr="00E32F52">
        <w:rPr>
          <w:color w:val="000000" w:themeColor="text1"/>
        </w:rPr>
        <w:t xml:space="preserve"> was intended to be </w:t>
      </w:r>
      <w:r w:rsidR="000F5D6B" w:rsidRPr="00E32F52">
        <w:rPr>
          <w:color w:val="000000" w:themeColor="text1"/>
        </w:rPr>
        <w:t>expedited</w:t>
      </w:r>
      <w:r w:rsidR="002A64FA" w:rsidRPr="00E32F52">
        <w:rPr>
          <w:color w:val="000000" w:themeColor="text1"/>
        </w:rPr>
        <w:t xml:space="preserve"> to address MPB salvage, and I accept the information used for this determination.  However, i</w:t>
      </w:r>
      <w:r w:rsidR="000F5D6B" w:rsidRPr="00E32F52">
        <w:rPr>
          <w:color w:val="000000" w:themeColor="text1"/>
        </w:rPr>
        <w:t>t is my expectation</w:t>
      </w:r>
      <w:r w:rsidRPr="00E32F52">
        <w:rPr>
          <w:color w:val="000000" w:themeColor="text1"/>
        </w:rPr>
        <w:t xml:space="preserve"> </w:t>
      </w:r>
      <w:r w:rsidR="000F5D6B" w:rsidRPr="00E32F52">
        <w:rPr>
          <w:color w:val="000000" w:themeColor="text1"/>
        </w:rPr>
        <w:t>that the licensee will provide a robust analysis and better info</w:t>
      </w:r>
      <w:r w:rsidR="002A64FA" w:rsidRPr="00E32F52">
        <w:rPr>
          <w:color w:val="000000" w:themeColor="text1"/>
        </w:rPr>
        <w:t>r</w:t>
      </w:r>
      <w:r w:rsidR="000F5D6B" w:rsidRPr="00E32F52">
        <w:rPr>
          <w:color w:val="000000" w:themeColor="text1"/>
        </w:rPr>
        <w:t>mat</w:t>
      </w:r>
      <w:r w:rsidR="002A64FA" w:rsidRPr="00E32F52">
        <w:rPr>
          <w:color w:val="000000" w:themeColor="text1"/>
        </w:rPr>
        <w:t>io</w:t>
      </w:r>
      <w:r w:rsidR="000F5D6B" w:rsidRPr="00E32F52">
        <w:rPr>
          <w:color w:val="000000" w:themeColor="text1"/>
        </w:rPr>
        <w:t>n</w:t>
      </w:r>
      <w:r w:rsidR="002A64FA" w:rsidRPr="00E32F52">
        <w:rPr>
          <w:color w:val="000000" w:themeColor="text1"/>
        </w:rPr>
        <w:t xml:space="preserve">, including </w:t>
      </w:r>
      <w:r w:rsidR="000F5D6B" w:rsidRPr="00E32F52">
        <w:rPr>
          <w:color w:val="000000" w:themeColor="text1"/>
        </w:rPr>
        <w:t>a complete assessment of all factors</w:t>
      </w:r>
      <w:r w:rsidR="00414DA8" w:rsidRPr="00E32F52">
        <w:rPr>
          <w:color w:val="000000" w:themeColor="text1"/>
        </w:rPr>
        <w:t xml:space="preserve"> affecting timber supply</w:t>
      </w:r>
      <w:r w:rsidR="002A64FA" w:rsidRPr="00E32F52">
        <w:rPr>
          <w:color w:val="000000" w:themeColor="text1"/>
        </w:rPr>
        <w:t xml:space="preserve">, </w:t>
      </w:r>
      <w:r w:rsidRPr="00E32F52">
        <w:rPr>
          <w:color w:val="000000" w:themeColor="text1"/>
        </w:rPr>
        <w:t xml:space="preserve">for the next timber supply </w:t>
      </w:r>
      <w:r w:rsidR="00B8572E" w:rsidRPr="00E32F52">
        <w:rPr>
          <w:color w:val="000000" w:themeColor="text1"/>
        </w:rPr>
        <w:t xml:space="preserve">review </w:t>
      </w:r>
      <w:r w:rsidRPr="00E32F52">
        <w:rPr>
          <w:color w:val="000000" w:themeColor="text1"/>
        </w:rPr>
        <w:t>for TFL</w:t>
      </w:r>
      <w:r w:rsidR="00E32F52">
        <w:rPr>
          <w:color w:val="000000" w:themeColor="text1"/>
        </w:rPr>
        <w:t> </w:t>
      </w:r>
      <w:r w:rsidRPr="00E32F52">
        <w:rPr>
          <w:color w:val="000000" w:themeColor="text1"/>
        </w:rPr>
        <w:t>48.</w:t>
      </w:r>
    </w:p>
    <w:p w:rsidR="0091095A" w:rsidRDefault="0091095A" w:rsidP="00E32F52">
      <w:pPr>
        <w:spacing w:before="0" w:after="0"/>
        <w:rPr>
          <w:noProof/>
          <w:color w:val="000000" w:themeColor="text1"/>
        </w:rPr>
      </w:pPr>
    </w:p>
    <w:p w:rsidR="00817DB0" w:rsidRDefault="00817DB0" w:rsidP="00E32F52">
      <w:pPr>
        <w:spacing w:before="0" w:after="0"/>
        <w:rPr>
          <w:noProof/>
          <w:color w:val="000000" w:themeColor="text1"/>
        </w:rPr>
      </w:pPr>
    </w:p>
    <w:p w:rsidR="00817DB0" w:rsidRDefault="00817DB0" w:rsidP="00E32F52">
      <w:pPr>
        <w:spacing w:before="0" w:after="0"/>
        <w:rPr>
          <w:noProof/>
          <w:color w:val="000000" w:themeColor="text1"/>
        </w:rPr>
      </w:pPr>
    </w:p>
    <w:p w:rsidR="00817DB0" w:rsidRDefault="00817DB0" w:rsidP="00E32F52">
      <w:pPr>
        <w:spacing w:before="0" w:after="0"/>
        <w:rPr>
          <w:noProof/>
          <w:color w:val="000000" w:themeColor="text1"/>
        </w:rPr>
      </w:pPr>
    </w:p>
    <w:p w:rsidR="00817DB0" w:rsidRDefault="00817DB0" w:rsidP="00E32F52">
      <w:pPr>
        <w:spacing w:before="0" w:after="0"/>
        <w:rPr>
          <w:color w:val="000000" w:themeColor="text1"/>
        </w:rPr>
      </w:pPr>
    </w:p>
    <w:p w:rsidR="003040FE" w:rsidRPr="001136AC" w:rsidRDefault="0091095A">
      <w:pPr>
        <w:spacing w:before="0" w:after="0"/>
        <w:rPr>
          <w:color w:val="000000" w:themeColor="text1"/>
        </w:rPr>
      </w:pPr>
      <w:r>
        <w:rPr>
          <w:color w:val="000000" w:themeColor="text1"/>
        </w:rPr>
        <w:t>Diane Nicholls</w:t>
      </w:r>
      <w:r w:rsidR="003040FE" w:rsidRPr="001331F2">
        <w:rPr>
          <w:color w:val="000000" w:themeColor="text1"/>
        </w:rPr>
        <w:t>,</w:t>
      </w:r>
      <w:r w:rsidR="003040FE" w:rsidRPr="001136AC">
        <w:rPr>
          <w:color w:val="000000" w:themeColor="text1"/>
        </w:rPr>
        <w:t xml:space="preserve"> RPF</w:t>
      </w:r>
    </w:p>
    <w:p w:rsidR="003040FE" w:rsidRDefault="003040FE">
      <w:pPr>
        <w:spacing w:before="0" w:after="0"/>
        <w:rPr>
          <w:color w:val="000000" w:themeColor="text1"/>
        </w:rPr>
      </w:pPr>
      <w:r w:rsidRPr="001136AC">
        <w:rPr>
          <w:color w:val="000000" w:themeColor="text1"/>
        </w:rPr>
        <w:t>Chief Forester</w:t>
      </w:r>
    </w:p>
    <w:p w:rsidR="002276C7" w:rsidRDefault="002276C7">
      <w:pPr>
        <w:spacing w:before="0" w:after="0"/>
        <w:rPr>
          <w:color w:val="000000" w:themeColor="text1"/>
        </w:rPr>
      </w:pPr>
    </w:p>
    <w:p w:rsidR="001331F2" w:rsidRDefault="001331F2">
      <w:pPr>
        <w:spacing w:before="0" w:after="0"/>
        <w:rPr>
          <w:color w:val="000000" w:themeColor="text1"/>
        </w:rPr>
      </w:pPr>
    </w:p>
    <w:p w:rsidR="009D61F1" w:rsidRPr="00CB2AB7" w:rsidRDefault="00CB2AB7">
      <w:pPr>
        <w:spacing w:before="0" w:after="0"/>
        <w:rPr>
          <w:color w:val="000000" w:themeColor="text1"/>
        </w:rPr>
      </w:pPr>
      <w:r w:rsidRPr="00CB2AB7">
        <w:rPr>
          <w:color w:val="000000" w:themeColor="text1"/>
        </w:rPr>
        <w:t>October 15, 2015</w:t>
      </w:r>
    </w:p>
    <w:p w:rsidR="0009295F" w:rsidRDefault="0009295F">
      <w:pPr>
        <w:overflowPunct/>
        <w:autoSpaceDE/>
        <w:autoSpaceDN/>
        <w:adjustRightInd/>
        <w:spacing w:before="0" w:after="0"/>
        <w:textAlignment w:val="auto"/>
        <w:rPr>
          <w:color w:val="000000" w:themeColor="text1"/>
        </w:rPr>
      </w:pPr>
      <w:r>
        <w:rPr>
          <w:color w:val="000000" w:themeColor="text1"/>
        </w:rPr>
        <w:br w:type="page"/>
      </w:r>
    </w:p>
    <w:p w:rsidR="0009295F" w:rsidRPr="00463753" w:rsidRDefault="0009295F" w:rsidP="0009295F">
      <w:pPr>
        <w:pStyle w:val="Heading1"/>
        <w:spacing w:before="0"/>
        <w:rPr>
          <w:color w:val="000000" w:themeColor="text1"/>
        </w:rPr>
      </w:pPr>
      <w:bookmarkStart w:id="309" w:name="_Toc378842848"/>
      <w:bookmarkStart w:id="310" w:name="_Toc379262663"/>
      <w:bookmarkStart w:id="311" w:name="_Toc432658661"/>
      <w:r w:rsidRPr="005A69E7">
        <w:rPr>
          <w:color w:val="000000" w:themeColor="text1"/>
        </w:rPr>
        <w:t xml:space="preserve">Appendix 1: Section 8 of the </w:t>
      </w:r>
      <w:r w:rsidRPr="005A69E7">
        <w:rPr>
          <w:i/>
          <w:color w:val="000000" w:themeColor="text1"/>
        </w:rPr>
        <w:t>Forest Act</w:t>
      </w:r>
      <w:bookmarkEnd w:id="309"/>
      <w:bookmarkEnd w:id="310"/>
      <w:bookmarkEnd w:id="311"/>
    </w:p>
    <w:p w:rsidR="0009295F" w:rsidRPr="009E3C00" w:rsidRDefault="0009295F" w:rsidP="0009295F">
      <w:pPr>
        <w:rPr>
          <w:color w:val="000000" w:themeColor="text1"/>
          <w:sz w:val="20"/>
        </w:rPr>
      </w:pPr>
      <w:r w:rsidRPr="009E3C00">
        <w:rPr>
          <w:color w:val="000000" w:themeColor="text1"/>
          <w:sz w:val="20"/>
        </w:rPr>
        <w:t xml:space="preserve">Section 8 of the </w:t>
      </w:r>
      <w:r w:rsidRPr="009E3C00">
        <w:rPr>
          <w:i/>
          <w:color w:val="000000" w:themeColor="text1"/>
          <w:sz w:val="20"/>
        </w:rPr>
        <w:t>Forest Act</w:t>
      </w:r>
      <w:r w:rsidRPr="009E3C00">
        <w:rPr>
          <w:color w:val="000000" w:themeColor="text1"/>
          <w:sz w:val="20"/>
        </w:rPr>
        <w:t xml:space="preserve">, Revised Statutes of British Columbia 1996, c. 157, (consolidated to </w:t>
      </w:r>
      <w:r w:rsidR="00E32F52">
        <w:rPr>
          <w:color w:val="000000" w:themeColor="text1"/>
          <w:sz w:val="20"/>
        </w:rPr>
        <w:t>September</w:t>
      </w:r>
      <w:r w:rsidR="00A87DD8">
        <w:rPr>
          <w:color w:val="000000" w:themeColor="text1"/>
          <w:sz w:val="20"/>
        </w:rPr>
        <w:t> 30</w:t>
      </w:r>
      <w:r>
        <w:rPr>
          <w:color w:val="000000" w:themeColor="text1"/>
          <w:sz w:val="20"/>
        </w:rPr>
        <w:t>, 201</w:t>
      </w:r>
      <w:r w:rsidR="00E32F52">
        <w:rPr>
          <w:color w:val="000000" w:themeColor="text1"/>
          <w:sz w:val="20"/>
        </w:rPr>
        <w:t>5</w:t>
      </w:r>
      <w:r w:rsidRPr="009E3C00">
        <w:rPr>
          <w:color w:val="000000" w:themeColor="text1"/>
          <w:sz w:val="20"/>
        </w:rPr>
        <w:t xml:space="preserve">), </w:t>
      </w:r>
      <w:proofErr w:type="gramStart"/>
      <w:r w:rsidRPr="009E3C00">
        <w:rPr>
          <w:color w:val="000000" w:themeColor="text1"/>
          <w:sz w:val="20"/>
        </w:rPr>
        <w:t>reads</w:t>
      </w:r>
      <w:proofErr w:type="gramEnd"/>
      <w:r w:rsidRPr="009E3C00">
        <w:rPr>
          <w:color w:val="000000" w:themeColor="text1"/>
          <w:sz w:val="20"/>
        </w:rPr>
        <w:t xml:space="preserve"> as follows: </w:t>
      </w:r>
    </w:p>
    <w:p w:rsidR="0009295F" w:rsidRPr="009E3C00" w:rsidRDefault="0009295F" w:rsidP="0009295F">
      <w:pPr>
        <w:rPr>
          <w:b/>
          <w:color w:val="000000" w:themeColor="text1"/>
          <w:sz w:val="20"/>
        </w:rPr>
      </w:pPr>
      <w:r w:rsidRPr="009E3C00">
        <w:rPr>
          <w:b/>
          <w:color w:val="000000" w:themeColor="text1"/>
          <w:sz w:val="20"/>
        </w:rPr>
        <w:t>Allowable annual cut</w:t>
      </w:r>
    </w:p>
    <w:p w:rsidR="0009295F" w:rsidRPr="009E3C00" w:rsidRDefault="0009295F" w:rsidP="0009295F">
      <w:pPr>
        <w:pStyle w:val="sec1"/>
        <w:spacing w:before="120" w:after="120" w:line="240" w:lineRule="auto"/>
        <w:rPr>
          <w:rFonts w:ascii="Times New Roman" w:hAnsi="Times New Roman"/>
          <w:color w:val="000000" w:themeColor="text1"/>
          <w:sz w:val="20"/>
          <w:szCs w:val="20"/>
        </w:rPr>
      </w:pPr>
      <w:r w:rsidRPr="009E3C00">
        <w:rPr>
          <w:rStyle w:val="Strong"/>
          <w:rFonts w:ascii="Times New Roman" w:hAnsi="Times New Roman"/>
          <w:color w:val="000000" w:themeColor="text1"/>
          <w:sz w:val="20"/>
          <w:szCs w:val="20"/>
        </w:rPr>
        <w:t>8</w:t>
      </w:r>
      <w:r w:rsidRPr="009E3C00">
        <w:rPr>
          <w:rFonts w:ascii="Times New Roman" w:hAnsi="Times New Roman"/>
          <w:color w:val="000000" w:themeColor="text1"/>
          <w:sz w:val="20"/>
          <w:szCs w:val="20"/>
        </w:rPr>
        <w:t>  (1) The chief forester must determine an allowable annual cut at least once every 10 years after the date of the last determination, for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the Crown land in each timber supply area, excluding tree farm licence areas, community forest agreement areas and woodlot licence areas,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each</w:t>
      </w:r>
      <w:proofErr w:type="gramEnd"/>
      <w:r w:rsidRPr="009E3C00">
        <w:rPr>
          <w:rFonts w:ascii="Times New Roman" w:hAnsi="Times New Roman"/>
          <w:color w:val="000000" w:themeColor="text1"/>
          <w:sz w:val="20"/>
          <w:szCs w:val="20"/>
        </w:rPr>
        <w:t xml:space="preserve"> tree farm licence area.</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(2) If the minister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w:t>
      </w:r>
      <w:proofErr w:type="gramStart"/>
      <w:r w:rsidRPr="009E3C00">
        <w:rPr>
          <w:rFonts w:ascii="Times New Roman" w:hAnsi="Times New Roman"/>
          <w:color w:val="000000" w:themeColor="text1"/>
          <w:sz w:val="20"/>
          <w:szCs w:val="20"/>
        </w:rPr>
        <w:t>a</w:t>
      </w:r>
      <w:proofErr w:type="gramEnd"/>
      <w:r w:rsidRPr="009E3C00">
        <w:rPr>
          <w:rFonts w:ascii="Times New Roman" w:hAnsi="Times New Roman"/>
          <w:color w:val="000000" w:themeColor="text1"/>
          <w:sz w:val="20"/>
          <w:szCs w:val="20"/>
        </w:rPr>
        <w:t>) makes an order under section 7 (b) respecting a timber supply area, 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amends</w:t>
      </w:r>
      <w:proofErr w:type="gramEnd"/>
      <w:r w:rsidRPr="009E3C00">
        <w:rPr>
          <w:rFonts w:ascii="Times New Roman" w:hAnsi="Times New Roman"/>
          <w:color w:val="000000" w:themeColor="text1"/>
          <w:sz w:val="20"/>
          <w:szCs w:val="20"/>
        </w:rPr>
        <w:t xml:space="preserve"> or enters into a tree farm licence to accomplish a result set out under section 39 (2) or (3),</w:t>
      </w:r>
    </w:p>
    <w:p w:rsidR="0009295F" w:rsidRPr="009E3C00" w:rsidRDefault="0009295F" w:rsidP="0009295F">
      <w:pPr>
        <w:pStyle w:val="sub"/>
        <w:spacing w:after="120" w:line="240" w:lineRule="auto"/>
        <w:rPr>
          <w:rFonts w:ascii="Times New Roman" w:hAnsi="Times New Roman"/>
          <w:color w:val="000000" w:themeColor="text1"/>
          <w:sz w:val="20"/>
          <w:szCs w:val="20"/>
        </w:rPr>
      </w:pP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chief forester must make an allowable annual cut determination under subsection (1) for the timber supply area or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w:t>
      </w:r>
      <w:proofErr w:type="gramStart"/>
      <w:r w:rsidRPr="009E3C00">
        <w:rPr>
          <w:rFonts w:ascii="Times New Roman" w:hAnsi="Times New Roman"/>
          <w:color w:val="000000" w:themeColor="text1"/>
          <w:sz w:val="20"/>
          <w:szCs w:val="20"/>
        </w:rPr>
        <w:t>within</w:t>
      </w:r>
      <w:proofErr w:type="gramEnd"/>
      <w:r w:rsidRPr="009E3C00">
        <w:rPr>
          <w:rFonts w:ascii="Times New Roman" w:hAnsi="Times New Roman"/>
          <w:color w:val="000000" w:themeColor="text1"/>
          <w:sz w:val="20"/>
          <w:szCs w:val="20"/>
        </w:rPr>
        <w:t xml:space="preserve"> 10 years after the order under paragraph (a) or the amendment or entering into under paragraph (b),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(d) </w:t>
      </w:r>
      <w:proofErr w:type="gramStart"/>
      <w:r w:rsidRPr="009E3C00">
        <w:rPr>
          <w:rFonts w:ascii="Times New Roman" w:hAnsi="Times New Roman"/>
          <w:color w:val="000000" w:themeColor="text1"/>
          <w:sz w:val="20"/>
          <w:szCs w:val="20"/>
        </w:rPr>
        <w:t>after</w:t>
      </w:r>
      <w:proofErr w:type="gramEnd"/>
      <w:r w:rsidRPr="009E3C00">
        <w:rPr>
          <w:rFonts w:ascii="Times New Roman" w:hAnsi="Times New Roman"/>
          <w:color w:val="000000" w:themeColor="text1"/>
          <w:sz w:val="20"/>
          <w:szCs w:val="20"/>
        </w:rPr>
        <w:t xml:space="preserve"> the determination under paragraph (c), at least once every 10 years after the date of the last determination.</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(3) If</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allowable annual cut for the tree farm licence area is reduced under section 9 (3),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chief forester subsequently determines, under subsection (1) of this section, the allowable annual cut for the tree farm licence area,</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the chief forester must determine an allowable annual cut at least once every 10 years from the date the allowable annual cut under subsection (1) of this section is effective under section 9 (6).</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(3.1) If, in respect of the allowable annual cut for a timber supply area or tree farm licence area, the chief forester considers that the allowable annual cut that was determined under subsection (1) is not likely to be changed significantly with a new determination, then, despite subsections (1) to (3), the chief forester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by written order may postpone the next determination under subsection (1) to a date that is up to 15 years after the date of the relevant last determination,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must</w:t>
      </w:r>
      <w:proofErr w:type="gramEnd"/>
      <w:r w:rsidRPr="009E3C00">
        <w:rPr>
          <w:rFonts w:ascii="Times New Roman" w:hAnsi="Times New Roman"/>
          <w:color w:val="000000" w:themeColor="text1"/>
          <w:sz w:val="20"/>
          <w:szCs w:val="20"/>
        </w:rPr>
        <w:t xml:space="preserve"> give written reasons for the postponement.</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(3.2) </w:t>
      </w:r>
      <w:proofErr w:type="gramStart"/>
      <w:r w:rsidRPr="009E3C00">
        <w:rPr>
          <w:rFonts w:ascii="Times New Roman" w:hAnsi="Times New Roman"/>
          <w:color w:val="000000" w:themeColor="text1"/>
          <w:sz w:val="20"/>
          <w:szCs w:val="20"/>
        </w:rPr>
        <w:t>If</w:t>
      </w:r>
      <w:proofErr w:type="gramEnd"/>
      <w:r w:rsidRPr="009E3C00">
        <w:rPr>
          <w:rFonts w:ascii="Times New Roman" w:hAnsi="Times New Roman"/>
          <w:color w:val="000000" w:themeColor="text1"/>
          <w:sz w:val="20"/>
          <w:szCs w:val="20"/>
        </w:rPr>
        <w:t xml:space="preserve"> the chief forester, having made an order under subsection (3.1), considers that because of changed circumstances the allowable annual cut that was determined under subsection (1) for a timber supply area or tree farm licence area is likely to be changed significantly with a new determination, he or she</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by</w:t>
      </w:r>
      <w:proofErr w:type="gramEnd"/>
      <w:r w:rsidRPr="009E3C00">
        <w:rPr>
          <w:rFonts w:ascii="Times New Roman" w:hAnsi="Times New Roman"/>
          <w:color w:val="000000" w:themeColor="text1"/>
          <w:sz w:val="20"/>
          <w:szCs w:val="20"/>
        </w:rPr>
        <w:t xml:space="preserve"> written order may rescind the order made under subsection (3.1) and set an earlier date for the next determination under subsection (1),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must</w:t>
      </w:r>
      <w:proofErr w:type="gramEnd"/>
      <w:r w:rsidRPr="009E3C00">
        <w:rPr>
          <w:rFonts w:ascii="Times New Roman" w:hAnsi="Times New Roman"/>
          <w:color w:val="000000" w:themeColor="text1"/>
          <w:sz w:val="20"/>
          <w:szCs w:val="20"/>
        </w:rPr>
        <w:t xml:space="preserve"> give written reasons for setting the earlier date.</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(4) If the allowable annual cut for the tree farm licence area is reduced under section 9 (3), the chief forester is not required to make the determination under subsection (1) of this section at the times set out in subsection (1) or (2) (c) or (d), but must make that determination within one year after the chief forester determines that the holder is in compliance with section 9 (2).</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(5) In determining an allowable annual cut under subsection (1) the chief forester may specify that portions of the allowable annual cut are attributable to one or more of the following:</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different</w:t>
      </w:r>
      <w:proofErr w:type="gramEnd"/>
      <w:r w:rsidRPr="009E3C00">
        <w:rPr>
          <w:rFonts w:ascii="Times New Roman" w:hAnsi="Times New Roman"/>
          <w:color w:val="000000" w:themeColor="text1"/>
          <w:sz w:val="20"/>
          <w:szCs w:val="20"/>
        </w:rPr>
        <w:t xml:space="preserve"> types of timber or terrain in different parts of Crown land within a timber supply area or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(a.1) different areas of Crown land within a timber supply area or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different</w:t>
      </w:r>
      <w:proofErr w:type="gramEnd"/>
      <w:r w:rsidRPr="009E3C00">
        <w:rPr>
          <w:rFonts w:ascii="Times New Roman" w:hAnsi="Times New Roman"/>
          <w:color w:val="000000" w:themeColor="text1"/>
          <w:sz w:val="20"/>
          <w:szCs w:val="20"/>
        </w:rPr>
        <w:t xml:space="preserve"> types of timber or terrain in different parts of private land within a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[Repealed 1999-10-1.]</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(6) The regional manager or district manager must determine an allowable annual cut for each woodlot licence area, according to the licence.</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(7) The regional manager or the regional manager's designate must determine an allowable annual cut for each community forest agreement area, in accordance with</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community forest agreement,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any</w:t>
      </w:r>
      <w:proofErr w:type="gramEnd"/>
      <w:r w:rsidRPr="009E3C00">
        <w:rPr>
          <w:rFonts w:ascii="Times New Roman" w:hAnsi="Times New Roman"/>
          <w:color w:val="000000" w:themeColor="text1"/>
          <w:sz w:val="20"/>
          <w:szCs w:val="20"/>
        </w:rPr>
        <w:t xml:space="preserve"> directions of the chief forester.</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(8) In determining an allowable annual cut under subsection (1) the chief forester, despite anything to the contrary in an agreement listed in section 12, must consider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rate of timber production that may be sustained on the area, taking into account</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composition of the forest and its expected rate of growth on the area,</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(ii)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expected time that it will take the forest to become re-established on the area following denudation,</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(iii)  </w:t>
      </w:r>
      <w:proofErr w:type="gramStart"/>
      <w:r w:rsidRPr="009E3C00">
        <w:rPr>
          <w:rFonts w:ascii="Times New Roman" w:hAnsi="Times New Roman"/>
          <w:color w:val="000000" w:themeColor="text1"/>
          <w:sz w:val="20"/>
          <w:szCs w:val="20"/>
        </w:rPr>
        <w:t>silviculture</w:t>
      </w:r>
      <w:proofErr w:type="gramEnd"/>
      <w:r w:rsidRPr="009E3C00">
        <w:rPr>
          <w:rFonts w:ascii="Times New Roman" w:hAnsi="Times New Roman"/>
          <w:color w:val="000000" w:themeColor="text1"/>
          <w:sz w:val="20"/>
          <w:szCs w:val="20"/>
        </w:rPr>
        <w:t xml:space="preserve"> treatments to be applied to the area,</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(iv)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standard of timber utilization and the allowance for decay, waste and breakage expected to be applied with respect to timber harvesting on the area,</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(v)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constraints on the amount of timber produced from the area that reasonably can be expected by use of the area for purposes other than timber production, and</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(vi)  </w:t>
      </w:r>
      <w:proofErr w:type="gramStart"/>
      <w:r w:rsidRPr="009E3C00">
        <w:rPr>
          <w:rFonts w:ascii="Times New Roman" w:hAnsi="Times New Roman"/>
          <w:color w:val="000000" w:themeColor="text1"/>
          <w:sz w:val="20"/>
          <w:szCs w:val="20"/>
        </w:rPr>
        <w:t>any</w:t>
      </w:r>
      <w:proofErr w:type="gramEnd"/>
      <w:r w:rsidRPr="009E3C00">
        <w:rPr>
          <w:rFonts w:ascii="Times New Roman" w:hAnsi="Times New Roman"/>
          <w:color w:val="000000" w:themeColor="text1"/>
          <w:sz w:val="20"/>
          <w:szCs w:val="20"/>
        </w:rPr>
        <w:t xml:space="preserve"> other information that, in the chief forester's opinion, relates to the capability of the area to produce timber,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short and long term implications to British Columbia of alternative rates of timber harvesting from the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[Repealed 2003-31-2.]</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(d)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economic and social objectives of the government, as expressed by the minister, for the area, for the general region and for British Columbia,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(e) </w:t>
      </w:r>
      <w:proofErr w:type="gramStart"/>
      <w:r w:rsidRPr="009E3C00">
        <w:rPr>
          <w:rFonts w:ascii="Times New Roman" w:hAnsi="Times New Roman"/>
          <w:color w:val="000000" w:themeColor="text1"/>
          <w:sz w:val="20"/>
          <w:szCs w:val="20"/>
        </w:rPr>
        <w:t>abnormal</w:t>
      </w:r>
      <w:proofErr w:type="gramEnd"/>
      <w:r w:rsidRPr="009E3C00">
        <w:rPr>
          <w:rFonts w:ascii="Times New Roman" w:hAnsi="Times New Roman"/>
          <w:color w:val="000000" w:themeColor="text1"/>
          <w:sz w:val="20"/>
          <w:szCs w:val="20"/>
        </w:rPr>
        <w:t xml:space="preserve"> infestations in and devastations of, and major salvage programs planned for, timber on the area.</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(9) Subsections (1) to (4) of this section do not apply in respect of the management area, as defined in section 1 (1) of the </w:t>
      </w:r>
      <w:r w:rsidRPr="009E3C00">
        <w:rPr>
          <w:rStyle w:val="Emphasis"/>
          <w:rFonts w:ascii="Times New Roman" w:hAnsi="Times New Roman"/>
          <w:color w:val="000000" w:themeColor="text1"/>
          <w:sz w:val="20"/>
          <w:szCs w:val="20"/>
        </w:rPr>
        <w:t>Haida Gwaii Reconciliation Act</w:t>
      </w:r>
      <w:r w:rsidRPr="009E3C00">
        <w:rPr>
          <w:rFonts w:ascii="Times New Roman" w:hAnsi="Times New Roman"/>
          <w:color w:val="000000" w:themeColor="text1"/>
          <w:sz w:val="20"/>
          <w:szCs w:val="20"/>
        </w:rPr>
        <w:t>.</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(10) Within one year after the chief forester receives notice under section 5 (4) (a) of the </w:t>
      </w:r>
      <w:r w:rsidRPr="009E3C00">
        <w:rPr>
          <w:rStyle w:val="Emphasis"/>
          <w:rFonts w:ascii="Times New Roman" w:hAnsi="Times New Roman"/>
          <w:color w:val="000000" w:themeColor="text1"/>
          <w:sz w:val="20"/>
          <w:szCs w:val="20"/>
        </w:rPr>
        <w:t>Haida Gwaii Reconciliation Act</w:t>
      </w:r>
      <w:r w:rsidRPr="009E3C00">
        <w:rPr>
          <w:rFonts w:ascii="Times New Roman" w:hAnsi="Times New Roman"/>
          <w:color w:val="000000" w:themeColor="text1"/>
          <w:sz w:val="20"/>
          <w:szCs w:val="20"/>
        </w:rPr>
        <w:t>, the chief forester must determine, in accordance with this section, the allowable annual cut for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Crown land in each timber supply area, except the areas excluded under subsection (1) (a) of this section,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each</w:t>
      </w:r>
      <w:proofErr w:type="gramEnd"/>
      <w:r w:rsidRPr="009E3C00">
        <w:rPr>
          <w:rFonts w:ascii="Times New Roman" w:hAnsi="Times New Roman"/>
          <w:color w:val="000000" w:themeColor="text1"/>
          <w:sz w:val="20"/>
          <w:szCs w:val="20"/>
        </w:rPr>
        <w:t xml:space="preserve"> tree farm licence area</w:t>
      </w:r>
    </w:p>
    <w:p w:rsidR="0009295F" w:rsidRPr="009E3C00" w:rsidRDefault="0009295F" w:rsidP="0009295F">
      <w:pPr>
        <w:pStyle w:val="sub"/>
        <w:spacing w:after="120" w:line="240" w:lineRule="auto"/>
        <w:rPr>
          <w:rFonts w:ascii="Times New Roman" w:hAnsi="Times New Roman"/>
          <w:color w:val="000000" w:themeColor="text1"/>
          <w:sz w:val="20"/>
          <w:szCs w:val="20"/>
        </w:rPr>
      </w:pPr>
      <w:proofErr w:type="gramStart"/>
      <w:r w:rsidRPr="009E3C00">
        <w:rPr>
          <w:rFonts w:ascii="Times New Roman" w:hAnsi="Times New Roman"/>
          <w:color w:val="000000" w:themeColor="text1"/>
          <w:sz w:val="20"/>
          <w:szCs w:val="20"/>
        </w:rPr>
        <w:t>in</w:t>
      </w:r>
      <w:proofErr w:type="gramEnd"/>
      <w:r w:rsidRPr="009E3C00">
        <w:rPr>
          <w:rFonts w:ascii="Times New Roman" w:hAnsi="Times New Roman"/>
          <w:color w:val="000000" w:themeColor="text1"/>
          <w:sz w:val="20"/>
          <w:szCs w:val="20"/>
        </w:rPr>
        <w:t xml:space="preserve"> the management area, as defined in section 1 (1) of the </w:t>
      </w:r>
      <w:r w:rsidRPr="009E3C00">
        <w:rPr>
          <w:rStyle w:val="Emphasis"/>
          <w:rFonts w:ascii="Times New Roman" w:hAnsi="Times New Roman"/>
          <w:color w:val="000000" w:themeColor="text1"/>
          <w:sz w:val="20"/>
          <w:szCs w:val="20"/>
        </w:rPr>
        <w:t>Haida Gwaii Reconciliation Act</w:t>
      </w:r>
      <w:r w:rsidRPr="009E3C00">
        <w:rPr>
          <w:rFonts w:ascii="Times New Roman" w:hAnsi="Times New Roman"/>
          <w:color w:val="000000" w:themeColor="text1"/>
          <w:sz w:val="20"/>
          <w:szCs w:val="20"/>
        </w:rPr>
        <w:t>.</w:t>
      </w:r>
    </w:p>
    <w:p w:rsidR="0009295F" w:rsidRPr="009E3C00" w:rsidRDefault="0009295F" w:rsidP="0009295F">
      <w:pPr>
        <w:pStyle w:val="sub"/>
        <w:spacing w:after="120" w:line="240" w:lineRule="auto"/>
        <w:rPr>
          <w:color w:val="000000" w:themeColor="text1"/>
          <w:sz w:val="20"/>
          <w:szCs w:val="20"/>
        </w:rPr>
      </w:pPr>
      <w:r w:rsidRPr="009E3C00">
        <w:rPr>
          <w:rFonts w:ascii="Times New Roman" w:hAnsi="Times New Roman"/>
          <w:color w:val="000000" w:themeColor="text1"/>
          <w:sz w:val="20"/>
          <w:szCs w:val="20"/>
        </w:rPr>
        <w:t xml:space="preserve">(11) The aggregate of the allowable annual cuts determined under subsections (6), (7) and (10) that apply in the management area, as defined in section 1 (1) of the </w:t>
      </w:r>
      <w:r w:rsidRPr="009E3C00">
        <w:rPr>
          <w:rStyle w:val="Emphasis"/>
          <w:rFonts w:ascii="Times New Roman" w:hAnsi="Times New Roman"/>
          <w:color w:val="000000" w:themeColor="text1"/>
          <w:sz w:val="20"/>
          <w:szCs w:val="20"/>
        </w:rPr>
        <w:t>Haida Gwaii Reconciliation Act</w:t>
      </w:r>
      <w:r w:rsidRPr="009E3C00">
        <w:rPr>
          <w:rFonts w:ascii="Times New Roman" w:hAnsi="Times New Roman"/>
          <w:color w:val="000000" w:themeColor="text1"/>
          <w:sz w:val="20"/>
          <w:szCs w:val="20"/>
        </w:rPr>
        <w:t>, must not exceed the amount set out in a notice to the chief forester under section 5 (4) (a) of that Act.</w:t>
      </w:r>
    </w:p>
    <w:p w:rsidR="0009295F" w:rsidRPr="00463753" w:rsidRDefault="0009295F" w:rsidP="0009295F">
      <w:pPr>
        <w:spacing w:after="200" w:line="276" w:lineRule="auto"/>
        <w:rPr>
          <w:color w:val="000000" w:themeColor="text1"/>
        </w:rPr>
      </w:pPr>
      <w:r w:rsidRPr="005A69E7">
        <w:rPr>
          <w:color w:val="000000" w:themeColor="text1"/>
        </w:rPr>
        <w:br w:type="page"/>
      </w:r>
    </w:p>
    <w:p w:rsidR="0009295F" w:rsidRPr="00463753" w:rsidRDefault="0009295F" w:rsidP="0009295F">
      <w:pPr>
        <w:pStyle w:val="Heading1"/>
        <w:rPr>
          <w:color w:val="000000" w:themeColor="text1"/>
        </w:rPr>
      </w:pPr>
      <w:bookmarkStart w:id="312" w:name="_Toc289333247"/>
      <w:bookmarkStart w:id="313" w:name="_Toc378842849"/>
      <w:bookmarkStart w:id="314" w:name="_Toc379262664"/>
      <w:bookmarkStart w:id="315" w:name="_Toc432658662"/>
      <w:r w:rsidRPr="005A69E7">
        <w:rPr>
          <w:color w:val="000000" w:themeColor="text1"/>
        </w:rPr>
        <w:t xml:space="preserve">Appendix 2: Section 4 of the </w:t>
      </w:r>
      <w:r w:rsidRPr="00634EC4">
        <w:rPr>
          <w:i/>
          <w:color w:val="000000" w:themeColor="text1"/>
        </w:rPr>
        <w:t>Ministry of Forests and Range Act</w:t>
      </w:r>
      <w:bookmarkEnd w:id="312"/>
      <w:bookmarkEnd w:id="313"/>
      <w:bookmarkEnd w:id="314"/>
      <w:bookmarkEnd w:id="315"/>
    </w:p>
    <w:p w:rsidR="0009295F" w:rsidRPr="009E3C00" w:rsidRDefault="0009295F" w:rsidP="0009295F">
      <w:pPr>
        <w:rPr>
          <w:color w:val="000000" w:themeColor="text1"/>
          <w:sz w:val="20"/>
        </w:rPr>
      </w:pPr>
      <w:r w:rsidRPr="009E3C00">
        <w:rPr>
          <w:color w:val="000000" w:themeColor="text1"/>
          <w:sz w:val="20"/>
        </w:rPr>
        <w:t xml:space="preserve">Section 4 of the </w:t>
      </w:r>
      <w:r w:rsidRPr="009E3C00">
        <w:rPr>
          <w:i/>
          <w:color w:val="000000" w:themeColor="text1"/>
          <w:sz w:val="20"/>
        </w:rPr>
        <w:t>Ministry of Forests and Range Act</w:t>
      </w:r>
      <w:r w:rsidRPr="009E3C00">
        <w:rPr>
          <w:color w:val="000000" w:themeColor="text1"/>
          <w:sz w:val="20"/>
        </w:rPr>
        <w:t xml:space="preserve"> (consolidated to </w:t>
      </w:r>
      <w:r w:rsidR="00E32F52">
        <w:rPr>
          <w:color w:val="000000" w:themeColor="text1"/>
          <w:sz w:val="20"/>
        </w:rPr>
        <w:t xml:space="preserve">September </w:t>
      </w:r>
      <w:r w:rsidR="00A87DD8">
        <w:rPr>
          <w:color w:val="000000" w:themeColor="text1"/>
          <w:sz w:val="20"/>
        </w:rPr>
        <w:t>30</w:t>
      </w:r>
      <w:r>
        <w:rPr>
          <w:color w:val="000000" w:themeColor="text1"/>
          <w:sz w:val="20"/>
        </w:rPr>
        <w:t>, 201</w:t>
      </w:r>
      <w:r w:rsidR="00E32F52">
        <w:rPr>
          <w:color w:val="000000" w:themeColor="text1"/>
          <w:sz w:val="20"/>
        </w:rPr>
        <w:t>5</w:t>
      </w:r>
      <w:r w:rsidRPr="009E3C00">
        <w:rPr>
          <w:color w:val="000000" w:themeColor="text1"/>
          <w:sz w:val="20"/>
        </w:rPr>
        <w:t>) reads as follows:</w:t>
      </w:r>
    </w:p>
    <w:p w:rsidR="0009295F" w:rsidRPr="009E3C00" w:rsidRDefault="0009295F" w:rsidP="0009295F">
      <w:pPr>
        <w:rPr>
          <w:b/>
          <w:color w:val="000000" w:themeColor="text1"/>
          <w:sz w:val="20"/>
        </w:rPr>
      </w:pPr>
      <w:r w:rsidRPr="009E3C00">
        <w:rPr>
          <w:b/>
          <w:color w:val="000000" w:themeColor="text1"/>
          <w:sz w:val="20"/>
        </w:rPr>
        <w:t>Purposes and functions of ministry</w:t>
      </w:r>
    </w:p>
    <w:p w:rsidR="0009295F" w:rsidRPr="009E3C00" w:rsidRDefault="0009295F" w:rsidP="0009295F">
      <w:pPr>
        <w:pStyle w:val="sec1"/>
        <w:spacing w:before="120" w:after="120" w:line="240" w:lineRule="auto"/>
        <w:rPr>
          <w:rFonts w:ascii="Times New Roman" w:hAnsi="Times New Roman"/>
          <w:color w:val="000000" w:themeColor="text1"/>
          <w:sz w:val="20"/>
          <w:szCs w:val="20"/>
        </w:rPr>
      </w:pPr>
      <w:r w:rsidRPr="009E3C00">
        <w:rPr>
          <w:rStyle w:val="Strong"/>
          <w:rFonts w:ascii="Times New Roman" w:hAnsi="Times New Roman"/>
          <w:color w:val="000000" w:themeColor="text1"/>
          <w:sz w:val="20"/>
          <w:szCs w:val="20"/>
        </w:rPr>
        <w:t>4</w:t>
      </w:r>
      <w:proofErr w:type="gramStart"/>
      <w:r w:rsidRPr="009E3C00">
        <w:rPr>
          <w:rFonts w:ascii="Times New Roman" w:hAnsi="Times New Roman"/>
          <w:b/>
          <w:color w:val="000000" w:themeColor="text1"/>
          <w:sz w:val="20"/>
          <w:szCs w:val="20"/>
        </w:rPr>
        <w:t> </w:t>
      </w:r>
      <w:r w:rsidRPr="009E3C00">
        <w:rPr>
          <w:rFonts w:ascii="Times New Roman" w:hAnsi="Times New Roman"/>
          <w:color w:val="000000" w:themeColor="text1"/>
          <w:sz w:val="20"/>
          <w:szCs w:val="20"/>
        </w:rPr>
        <w:t xml:space="preserve"> The</w:t>
      </w:r>
      <w:proofErr w:type="gramEnd"/>
      <w:r w:rsidRPr="009E3C00">
        <w:rPr>
          <w:rFonts w:ascii="Times New Roman" w:hAnsi="Times New Roman"/>
          <w:color w:val="000000" w:themeColor="text1"/>
          <w:sz w:val="20"/>
          <w:szCs w:val="20"/>
        </w:rPr>
        <w:t xml:space="preserve"> purposes and functions of the ministry are, under the direction of the minister, to do the following:</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encourage</w:t>
      </w:r>
      <w:proofErr w:type="gramEnd"/>
      <w:r w:rsidRPr="009E3C00">
        <w:rPr>
          <w:rFonts w:ascii="Times New Roman" w:hAnsi="Times New Roman"/>
          <w:color w:val="000000" w:themeColor="text1"/>
          <w:sz w:val="20"/>
          <w:szCs w:val="20"/>
        </w:rPr>
        <w:t xml:space="preserve"> maximum productivity of the forest and range resources in British Columbia;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manage, protect and conserve the forest and range resources of the government, having regard to the immediate and long term economic and social benefits they may confer on British Columbia;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plan the use of the forest and range resources of the government, so that the production of timber and forage, the harvesting of timber, the grazing of livestock and the realization of fisheries, wildlife, water, outdoor recreation and other natural resource values are coordinated and integrated, in consultation and cooperation with other ministries and agencies of the government and with the private sector;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(d) </w:t>
      </w:r>
      <w:proofErr w:type="gramStart"/>
      <w:r w:rsidRPr="009E3C00">
        <w:rPr>
          <w:rFonts w:ascii="Times New Roman" w:hAnsi="Times New Roman"/>
          <w:color w:val="000000" w:themeColor="text1"/>
          <w:sz w:val="20"/>
          <w:szCs w:val="20"/>
        </w:rPr>
        <w:t>encourage</w:t>
      </w:r>
      <w:proofErr w:type="gramEnd"/>
      <w:r w:rsidRPr="009E3C00">
        <w:rPr>
          <w:rFonts w:ascii="Times New Roman" w:hAnsi="Times New Roman"/>
          <w:color w:val="000000" w:themeColor="text1"/>
          <w:sz w:val="20"/>
          <w:szCs w:val="20"/>
        </w:rPr>
        <w:t xml:space="preserve"> a vigorous, efficient and world competitive</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  </w:t>
      </w:r>
      <w:proofErr w:type="gramStart"/>
      <w:r w:rsidRPr="009E3C00">
        <w:rPr>
          <w:rFonts w:ascii="Times New Roman" w:hAnsi="Times New Roman"/>
          <w:color w:val="000000" w:themeColor="text1"/>
          <w:sz w:val="20"/>
          <w:szCs w:val="20"/>
        </w:rPr>
        <w:t>timber</w:t>
      </w:r>
      <w:proofErr w:type="gramEnd"/>
      <w:r w:rsidRPr="009E3C00">
        <w:rPr>
          <w:rFonts w:ascii="Times New Roman" w:hAnsi="Times New Roman"/>
          <w:color w:val="000000" w:themeColor="text1"/>
          <w:sz w:val="20"/>
          <w:szCs w:val="20"/>
        </w:rPr>
        <w:t xml:space="preserve"> processing industry, and</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(ii)  </w:t>
      </w:r>
      <w:proofErr w:type="gramStart"/>
      <w:r w:rsidRPr="009E3C00">
        <w:rPr>
          <w:rFonts w:ascii="Times New Roman" w:hAnsi="Times New Roman"/>
          <w:color w:val="000000" w:themeColor="text1"/>
          <w:sz w:val="20"/>
          <w:szCs w:val="20"/>
        </w:rPr>
        <w:t>ranching</w:t>
      </w:r>
      <w:proofErr w:type="gramEnd"/>
      <w:r w:rsidRPr="009E3C00">
        <w:rPr>
          <w:rFonts w:ascii="Times New Roman" w:hAnsi="Times New Roman"/>
          <w:color w:val="000000" w:themeColor="text1"/>
          <w:sz w:val="20"/>
          <w:szCs w:val="20"/>
        </w:rPr>
        <w:t xml:space="preserve"> sector</w:t>
      </w:r>
    </w:p>
    <w:p w:rsidR="0009295F" w:rsidRPr="009E3C00" w:rsidRDefault="0009295F" w:rsidP="0009295F">
      <w:pPr>
        <w:pStyle w:val="para"/>
        <w:spacing w:after="120" w:line="240" w:lineRule="auto"/>
        <w:rPr>
          <w:rFonts w:ascii="Times New Roman" w:hAnsi="Times New Roman"/>
          <w:color w:val="000000" w:themeColor="text1"/>
          <w:sz w:val="20"/>
          <w:szCs w:val="20"/>
        </w:rPr>
      </w:pPr>
      <w:proofErr w:type="gramStart"/>
      <w:r w:rsidRPr="009E3C00">
        <w:rPr>
          <w:rFonts w:ascii="Times New Roman" w:hAnsi="Times New Roman"/>
          <w:color w:val="000000" w:themeColor="text1"/>
          <w:sz w:val="20"/>
          <w:szCs w:val="20"/>
        </w:rPr>
        <w:t>in</w:t>
      </w:r>
      <w:proofErr w:type="gramEnd"/>
      <w:r w:rsidRPr="009E3C00">
        <w:rPr>
          <w:rFonts w:ascii="Times New Roman" w:hAnsi="Times New Roman"/>
          <w:color w:val="000000" w:themeColor="text1"/>
          <w:sz w:val="20"/>
          <w:szCs w:val="20"/>
        </w:rPr>
        <w:t xml:space="preserve"> British Columbia;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(e) </w:t>
      </w:r>
      <w:proofErr w:type="gramStart"/>
      <w:r w:rsidRPr="009E3C00">
        <w:rPr>
          <w:rFonts w:ascii="Times New Roman" w:hAnsi="Times New Roman"/>
          <w:color w:val="000000" w:themeColor="text1"/>
          <w:sz w:val="20"/>
          <w:szCs w:val="20"/>
        </w:rPr>
        <w:t>assert</w:t>
      </w:r>
      <w:proofErr w:type="gramEnd"/>
      <w:r w:rsidRPr="009E3C00">
        <w:rPr>
          <w:rFonts w:ascii="Times New Roman" w:hAnsi="Times New Roman"/>
          <w:color w:val="000000" w:themeColor="text1"/>
          <w:sz w:val="20"/>
          <w:szCs w:val="20"/>
        </w:rPr>
        <w:t xml:space="preserve"> the financial interest of the government in its forest and range resources in a systematic and equitable manner.</w:t>
      </w:r>
    </w:p>
    <w:p w:rsidR="0009295F" w:rsidRPr="009E3C00" w:rsidRDefault="0009295F" w:rsidP="0009295F">
      <w:pPr>
        <w:rPr>
          <w:color w:val="000000" w:themeColor="text1"/>
          <w:sz w:val="20"/>
        </w:rPr>
      </w:pPr>
    </w:p>
    <w:p w:rsidR="0009295F" w:rsidRPr="00463753" w:rsidRDefault="0009295F" w:rsidP="0009295F">
      <w:pPr>
        <w:spacing w:after="200" w:line="276" w:lineRule="auto"/>
        <w:rPr>
          <w:color w:val="000000" w:themeColor="text1"/>
        </w:rPr>
      </w:pPr>
      <w:r w:rsidRPr="005A69E7">
        <w:rPr>
          <w:color w:val="000000" w:themeColor="text1"/>
        </w:rPr>
        <w:br w:type="page"/>
      </w:r>
    </w:p>
    <w:p w:rsidR="0009295F" w:rsidRPr="00463753" w:rsidRDefault="0009295F" w:rsidP="0009295F">
      <w:pPr>
        <w:pStyle w:val="Heading1"/>
        <w:rPr>
          <w:color w:val="000000" w:themeColor="text1"/>
          <w:lang w:val="en-CA"/>
        </w:rPr>
      </w:pPr>
      <w:bookmarkStart w:id="316" w:name="_Toc378842850"/>
      <w:bookmarkStart w:id="317" w:name="_Toc379262665"/>
      <w:bookmarkStart w:id="318" w:name="_Toc432658663"/>
      <w:r w:rsidRPr="005A69E7">
        <w:rPr>
          <w:color w:val="000000" w:themeColor="text1"/>
          <w:lang w:val="en-CA"/>
        </w:rPr>
        <w:t>Appendix 3: Minister’s letter of July 4, 2006</w:t>
      </w:r>
      <w:bookmarkEnd w:id="316"/>
      <w:bookmarkEnd w:id="317"/>
      <w:bookmarkEnd w:id="318"/>
    </w:p>
    <w:p w:rsidR="0009295F" w:rsidRDefault="0009295F" w:rsidP="0009295F">
      <w:pPr>
        <w:spacing w:before="0" w:after="0"/>
        <w:rPr>
          <w:color w:val="000000" w:themeColor="text1"/>
        </w:rPr>
      </w:pPr>
      <w:r w:rsidRPr="0009295F">
        <w:rPr>
          <w:noProof/>
          <w:color w:val="000000" w:themeColor="text1"/>
        </w:rPr>
        <w:drawing>
          <wp:inline distT="0" distB="0" distL="0" distR="0" wp14:anchorId="58D84B73" wp14:editId="7CD36FF6">
            <wp:extent cx="5486400" cy="7539851"/>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486400" cy="7539851"/>
                    </a:xfrm>
                    <a:prstGeom prst="rect">
                      <a:avLst/>
                    </a:prstGeom>
                    <a:noFill/>
                    <a:ln w="9525">
                      <a:noFill/>
                      <a:miter lim="800000"/>
                      <a:headEnd/>
                      <a:tailEnd/>
                    </a:ln>
                  </pic:spPr>
                </pic:pic>
              </a:graphicData>
            </a:graphic>
          </wp:inline>
        </w:drawing>
      </w:r>
    </w:p>
    <w:p w:rsidR="0009295F" w:rsidRDefault="0009295F">
      <w:pPr>
        <w:overflowPunct/>
        <w:autoSpaceDE/>
        <w:autoSpaceDN/>
        <w:adjustRightInd/>
        <w:spacing w:before="0" w:after="0"/>
        <w:textAlignment w:val="auto"/>
        <w:rPr>
          <w:color w:val="000000" w:themeColor="text1"/>
        </w:rPr>
      </w:pPr>
      <w:r>
        <w:rPr>
          <w:color w:val="000000" w:themeColor="text1"/>
        </w:rPr>
        <w:br w:type="page"/>
      </w:r>
    </w:p>
    <w:p w:rsidR="0009295F" w:rsidRDefault="0009295F">
      <w:pPr>
        <w:overflowPunct/>
        <w:autoSpaceDE/>
        <w:autoSpaceDN/>
        <w:adjustRightInd/>
        <w:spacing w:before="0" w:after="0"/>
        <w:textAlignment w:val="auto"/>
        <w:rPr>
          <w:sz w:val="20"/>
        </w:rPr>
      </w:pPr>
      <w:r w:rsidRPr="0009295F">
        <w:rPr>
          <w:noProof/>
          <w:color w:val="000000" w:themeColor="text1"/>
        </w:rPr>
        <w:drawing>
          <wp:inline distT="0" distB="0" distL="0" distR="0" wp14:anchorId="567B33DE" wp14:editId="4F819D18">
            <wp:extent cx="5486400" cy="756539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486400" cy="7565390"/>
                    </a:xfrm>
                    <a:prstGeom prst="rect">
                      <a:avLst/>
                    </a:prstGeom>
                    <a:noFill/>
                    <a:ln w="9525">
                      <a:noFill/>
                      <a:miter lim="800000"/>
                      <a:headEnd/>
                      <a:tailEnd/>
                    </a:ln>
                  </pic:spPr>
                </pic:pic>
              </a:graphicData>
            </a:graphic>
          </wp:inline>
        </w:drawing>
      </w:r>
      <w:bookmarkStart w:id="319" w:name="section7"/>
      <w:bookmarkEnd w:id="319"/>
      <w:r>
        <w:rPr>
          <w:sz w:val="20"/>
        </w:rPr>
        <w:br w:type="page"/>
      </w:r>
    </w:p>
    <w:p w:rsidR="00002AEF" w:rsidRPr="00F26346" w:rsidRDefault="00002AEF" w:rsidP="00002AEF">
      <w:pPr>
        <w:pStyle w:val="Heading1"/>
      </w:pPr>
      <w:bookmarkStart w:id="320" w:name="_Toc371514979"/>
      <w:bookmarkStart w:id="321" w:name="_Toc432658664"/>
      <w:r w:rsidRPr="00F26346">
        <w:t>Appendix 4: Minister’s letter of October 27, 2010</w:t>
      </w:r>
      <w:bookmarkEnd w:id="320"/>
      <w:bookmarkEnd w:id="321"/>
    </w:p>
    <w:p w:rsidR="00002AEF" w:rsidRDefault="00002AEF" w:rsidP="0009295F">
      <w:pPr>
        <w:spacing w:before="0" w:after="0"/>
        <w:rPr>
          <w:sz w:val="20"/>
        </w:rPr>
      </w:pPr>
      <w:r w:rsidRPr="00002AEF">
        <w:rPr>
          <w:noProof/>
          <w:sz w:val="20"/>
        </w:rPr>
        <w:drawing>
          <wp:inline distT="0" distB="0" distL="0" distR="0" wp14:anchorId="3A748C91" wp14:editId="24417144">
            <wp:extent cx="5486400" cy="6915181"/>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5486400" cy="6915181"/>
                    </a:xfrm>
                    <a:prstGeom prst="rect">
                      <a:avLst/>
                    </a:prstGeom>
                    <a:noFill/>
                    <a:ln w="9525">
                      <a:noFill/>
                      <a:miter lim="800000"/>
                      <a:headEnd/>
                      <a:tailEnd/>
                    </a:ln>
                  </pic:spPr>
                </pic:pic>
              </a:graphicData>
            </a:graphic>
          </wp:inline>
        </w:drawing>
      </w:r>
    </w:p>
    <w:p w:rsidR="00002AEF" w:rsidRDefault="00002AEF">
      <w:pPr>
        <w:overflowPunct/>
        <w:autoSpaceDE/>
        <w:autoSpaceDN/>
        <w:adjustRightInd/>
        <w:spacing w:before="0" w:after="0"/>
        <w:textAlignment w:val="auto"/>
        <w:rPr>
          <w:sz w:val="20"/>
        </w:rPr>
      </w:pPr>
      <w:r>
        <w:rPr>
          <w:sz w:val="20"/>
        </w:rPr>
        <w:br w:type="page"/>
      </w:r>
    </w:p>
    <w:p w:rsidR="001331F2" w:rsidRPr="00FD1916" w:rsidRDefault="00002AEF" w:rsidP="002F363A">
      <w:pPr>
        <w:spacing w:before="0" w:after="0"/>
        <w:rPr>
          <w:sz w:val="20"/>
        </w:rPr>
      </w:pPr>
      <w:r w:rsidRPr="00002AEF">
        <w:rPr>
          <w:noProof/>
          <w:sz w:val="20"/>
        </w:rPr>
        <w:drawing>
          <wp:inline distT="0" distB="0" distL="0" distR="0" wp14:anchorId="7DA30854" wp14:editId="72837B6B">
            <wp:extent cx="5486400" cy="7274241"/>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5486400" cy="7274241"/>
                    </a:xfrm>
                    <a:prstGeom prst="rect">
                      <a:avLst/>
                    </a:prstGeom>
                    <a:noFill/>
                    <a:ln w="9525">
                      <a:noFill/>
                      <a:miter lim="800000"/>
                      <a:headEnd/>
                      <a:tailEnd/>
                    </a:ln>
                  </pic:spPr>
                </pic:pic>
              </a:graphicData>
            </a:graphic>
          </wp:inline>
        </w:drawing>
      </w:r>
    </w:p>
    <w:sectPr w:rsidR="001331F2" w:rsidRPr="00FD1916" w:rsidSect="00491C8A">
      <w:pgSz w:w="12240" w:h="15840"/>
      <w:pgMar w:top="1440" w:right="1800" w:bottom="1440" w:left="1800" w:header="706" w:footer="70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20C" w:rsidRDefault="00E8520C">
      <w:r>
        <w:separator/>
      </w:r>
    </w:p>
  </w:endnote>
  <w:endnote w:type="continuationSeparator" w:id="0">
    <w:p w:rsidR="00E8520C" w:rsidRDefault="00E8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New Roman Italic">
    <w:panose1 w:val="02020503050405090304"/>
    <w:charset w:val="00"/>
    <w:family w:val="auto"/>
    <w:pitch w:val="variable"/>
    <w:sig w:usb0="00000003" w:usb1="00000000" w:usb2="00000000" w:usb3="00000000" w:csb0="00000001" w:csb1="00000000"/>
  </w:font>
  <w:font w:name="Times New Roman Bold">
    <w:panose1 w:val="0202080307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78451"/>
      <w:docPartObj>
        <w:docPartGallery w:val="Page Numbers (Bottom of Page)"/>
        <w:docPartUnique/>
      </w:docPartObj>
    </w:sdtPr>
    <w:sdtEndPr/>
    <w:sdtContent>
      <w:p w:rsidR="00E8520C" w:rsidRDefault="00E8520C">
        <w:pPr>
          <w:pStyle w:val="Footer"/>
          <w:jc w:val="right"/>
        </w:pPr>
        <w:r>
          <w:fldChar w:fldCharType="begin"/>
        </w:r>
        <w:r>
          <w:instrText xml:space="preserve"> PAGE   \* MERGEFORMAT </w:instrText>
        </w:r>
        <w:r>
          <w:fldChar w:fldCharType="separate"/>
        </w:r>
        <w:r>
          <w:rPr>
            <w:noProof/>
          </w:rPr>
          <w:t>36</w:t>
        </w:r>
        <w:r>
          <w:rPr>
            <w:noProof/>
          </w:rPr>
          <w:fldChar w:fldCharType="end"/>
        </w:r>
      </w:p>
    </w:sdtContent>
  </w:sdt>
  <w:p w:rsidR="00E8520C" w:rsidRDefault="00E852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365025"/>
      <w:docPartObj>
        <w:docPartGallery w:val="Page Numbers (Bottom of Page)"/>
        <w:docPartUnique/>
      </w:docPartObj>
    </w:sdtPr>
    <w:sdtEndPr>
      <w:rPr>
        <w:noProof/>
      </w:rPr>
    </w:sdtEndPr>
    <w:sdtContent>
      <w:p w:rsidR="00E8520C" w:rsidRDefault="00E8520C">
        <w:pPr>
          <w:pStyle w:val="Footer"/>
        </w:pPr>
        <w:r>
          <w:t xml:space="preserve">Page </w:t>
        </w:r>
        <w:r>
          <w:fldChar w:fldCharType="begin"/>
        </w:r>
        <w:r>
          <w:instrText xml:space="preserve"> PAGE   \* MERGEFORMAT </w:instrText>
        </w:r>
        <w:r>
          <w:fldChar w:fldCharType="separate"/>
        </w:r>
        <w:r w:rsidR="00913691">
          <w:rPr>
            <w:noProof/>
          </w:rPr>
          <w:t>1</w:t>
        </w:r>
        <w:r>
          <w:rPr>
            <w:noProof/>
          </w:rPr>
          <w:fldChar w:fldCharType="end"/>
        </w:r>
      </w:p>
    </w:sdtContent>
  </w:sdt>
  <w:p w:rsidR="00E8520C" w:rsidRPr="00491C8A" w:rsidRDefault="00E8520C" w:rsidP="00491C8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Footer"/>
      <w:rPr>
        <w:rStyle w:val="PageNumber"/>
        <w:sz w:val="19"/>
      </w:rPr>
    </w:pPr>
    <w:r>
      <w:rPr>
        <w:rStyle w:val="PageNumber"/>
        <w:sz w:val="19"/>
      </w:rPr>
      <w:fldChar w:fldCharType="begin"/>
    </w:r>
    <w:r>
      <w:rPr>
        <w:rStyle w:val="PageNumber"/>
        <w:sz w:val="19"/>
      </w:rPr>
      <w:instrText xml:space="preserve">PAGE  </w:instrText>
    </w:r>
    <w:r>
      <w:rPr>
        <w:rStyle w:val="PageNumber"/>
        <w:sz w:val="19"/>
      </w:rPr>
      <w:fldChar w:fldCharType="separate"/>
    </w:r>
    <w:r>
      <w:rPr>
        <w:rStyle w:val="PageNumber"/>
        <w:noProof/>
        <w:sz w:val="19"/>
      </w:rPr>
      <w:t>36</w:t>
    </w:r>
    <w:r>
      <w:rPr>
        <w:rStyle w:val="PageNumber"/>
        <w:sz w:val="19"/>
      </w:rPr>
      <w:fldChar w:fldCharType="end"/>
    </w:r>
  </w:p>
  <w:p w:rsidR="00E8520C" w:rsidRDefault="00E8520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Pr="00491C8A" w:rsidRDefault="00E8520C" w:rsidP="00491C8A">
    <w:pPr>
      <w:pStyle w:val="Footer"/>
    </w:pPr>
    <w:r>
      <w:t xml:space="preserve">Page </w:t>
    </w:r>
    <w:r>
      <w:fldChar w:fldCharType="begin"/>
    </w:r>
    <w:r>
      <w:instrText xml:space="preserve"> PAGE   \* MERGEFORMAT </w:instrText>
    </w:r>
    <w:r>
      <w:fldChar w:fldCharType="separate"/>
    </w:r>
    <w:r w:rsidR="00913691">
      <w:rPr>
        <w:noProof/>
      </w:rPr>
      <w:t>41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20C" w:rsidRDefault="00E8520C">
      <w:r>
        <w:separator/>
      </w:r>
    </w:p>
  </w:footnote>
  <w:footnote w:type="continuationSeparator" w:id="0">
    <w:p w:rsidR="00E8520C" w:rsidRDefault="00E852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Pr="008724B1" w:rsidRDefault="00E8520C" w:rsidP="006F358A">
    <w:pPr>
      <w:pStyle w:val="Header"/>
      <w:jc w:val="right"/>
      <w:rPr>
        <w:sz w:val="22"/>
        <w:szCs w:val="22"/>
        <w:lang w:val="en-US"/>
      </w:rPr>
    </w:pPr>
    <w:r w:rsidRPr="008724B1">
      <w:rPr>
        <w:sz w:val="22"/>
        <w:szCs w:val="22"/>
        <w:lang w:val="en-US"/>
      </w:rPr>
      <w:t xml:space="preserve">AAC Rationale for TFL 48, </w:t>
    </w:r>
    <w:r>
      <w:rPr>
        <w:sz w:val="22"/>
        <w:szCs w:val="22"/>
        <w:lang w:val="en-US"/>
      </w:rPr>
      <w:t>October</w:t>
    </w:r>
    <w:r w:rsidRPr="008724B1">
      <w:rPr>
        <w:sz w:val="22"/>
        <w:szCs w:val="22"/>
        <w:lang w:val="en-US"/>
      </w:rPr>
      <w:t xml:space="preserve"> 2015</w:t>
    </w:r>
  </w:p>
  <w:p w:rsidR="00E8520C" w:rsidRDefault="00E852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Pr="00E31961" w:rsidRDefault="00E8520C">
    <w:pPr>
      <w:pStyle w:val="Header"/>
      <w:jc w:val="right"/>
      <w:rPr>
        <w:sz w:val="22"/>
        <w:szCs w:val="22"/>
      </w:rPr>
    </w:pPr>
    <w:r w:rsidRPr="00E31961">
      <w:rPr>
        <w:sz w:val="22"/>
        <w:szCs w:val="22"/>
      </w:rPr>
      <w:t xml:space="preserve">AAC Rationale for </w:t>
    </w:r>
    <w:r>
      <w:rPr>
        <w:sz w:val="22"/>
        <w:szCs w:val="22"/>
      </w:rPr>
      <w:t>TFL 48,</w:t>
    </w:r>
    <w:r w:rsidRPr="00E31961">
      <w:rPr>
        <w:sz w:val="22"/>
        <w:szCs w:val="22"/>
      </w:rPr>
      <w:t xml:space="preserve"> </w:t>
    </w:r>
    <w:r>
      <w:rPr>
        <w:sz w:val="22"/>
        <w:szCs w:val="22"/>
      </w:rPr>
      <w:t>October</w:t>
    </w:r>
    <w:r w:rsidRPr="00E31961">
      <w:rPr>
        <w:sz w:val="22"/>
        <w:szCs w:val="22"/>
      </w:rPr>
      <w:t xml:space="preserve"> 201</w:t>
    </w:r>
    <w:r>
      <w:rPr>
        <w:sz w:val="22"/>
        <w:szCs w:val="22"/>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B19"/>
    <w:multiLevelType w:val="hybridMultilevel"/>
    <w:tmpl w:val="5D8667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38D5FD6"/>
    <w:multiLevelType w:val="hybridMultilevel"/>
    <w:tmpl w:val="A080CF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6615E09"/>
    <w:multiLevelType w:val="hybridMultilevel"/>
    <w:tmpl w:val="7D6281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77A7D99"/>
    <w:multiLevelType w:val="hybridMultilevel"/>
    <w:tmpl w:val="58065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9427DB"/>
    <w:multiLevelType w:val="hybridMultilevel"/>
    <w:tmpl w:val="747C4138"/>
    <w:lvl w:ilvl="0" w:tplc="F6108E4E">
      <w:start w:val="1"/>
      <w:numFmt w:val="bullet"/>
      <w:lvlText w:val=""/>
      <w:lvlJc w:val="left"/>
      <w:pPr>
        <w:ind w:left="360" w:hanging="360"/>
      </w:pPr>
      <w:rPr>
        <w:rFonts w:ascii="Symbol" w:hAnsi="Symbol" w:hint="default"/>
      </w:rPr>
    </w:lvl>
    <w:lvl w:ilvl="1" w:tplc="B1EAEFC0" w:tentative="1">
      <w:start w:val="1"/>
      <w:numFmt w:val="bullet"/>
      <w:lvlText w:val="o"/>
      <w:lvlJc w:val="left"/>
      <w:pPr>
        <w:ind w:left="1080" w:hanging="360"/>
      </w:pPr>
      <w:rPr>
        <w:rFonts w:ascii="Courier New" w:hAnsi="Courier New" w:cs="Wingdings" w:hint="default"/>
      </w:rPr>
    </w:lvl>
    <w:lvl w:ilvl="2" w:tplc="4A9E1468" w:tentative="1">
      <w:start w:val="1"/>
      <w:numFmt w:val="bullet"/>
      <w:lvlText w:val=""/>
      <w:lvlJc w:val="left"/>
      <w:pPr>
        <w:ind w:left="1800" w:hanging="360"/>
      </w:pPr>
      <w:rPr>
        <w:rFonts w:ascii="Wingdings" w:hAnsi="Wingdings" w:hint="default"/>
      </w:rPr>
    </w:lvl>
    <w:lvl w:ilvl="3" w:tplc="52A4F80C" w:tentative="1">
      <w:start w:val="1"/>
      <w:numFmt w:val="bullet"/>
      <w:lvlText w:val=""/>
      <w:lvlJc w:val="left"/>
      <w:pPr>
        <w:ind w:left="2520" w:hanging="360"/>
      </w:pPr>
      <w:rPr>
        <w:rFonts w:ascii="Symbol" w:hAnsi="Symbol" w:hint="default"/>
      </w:rPr>
    </w:lvl>
    <w:lvl w:ilvl="4" w:tplc="6ED8F256" w:tentative="1">
      <w:start w:val="1"/>
      <w:numFmt w:val="bullet"/>
      <w:lvlText w:val="o"/>
      <w:lvlJc w:val="left"/>
      <w:pPr>
        <w:ind w:left="3240" w:hanging="360"/>
      </w:pPr>
      <w:rPr>
        <w:rFonts w:ascii="Courier New" w:hAnsi="Courier New" w:cs="Wingdings" w:hint="default"/>
      </w:rPr>
    </w:lvl>
    <w:lvl w:ilvl="5" w:tplc="974EF094" w:tentative="1">
      <w:start w:val="1"/>
      <w:numFmt w:val="bullet"/>
      <w:lvlText w:val=""/>
      <w:lvlJc w:val="left"/>
      <w:pPr>
        <w:ind w:left="3960" w:hanging="360"/>
      </w:pPr>
      <w:rPr>
        <w:rFonts w:ascii="Wingdings" w:hAnsi="Wingdings" w:hint="default"/>
      </w:rPr>
    </w:lvl>
    <w:lvl w:ilvl="6" w:tplc="0AFA8A94" w:tentative="1">
      <w:start w:val="1"/>
      <w:numFmt w:val="bullet"/>
      <w:lvlText w:val=""/>
      <w:lvlJc w:val="left"/>
      <w:pPr>
        <w:ind w:left="4680" w:hanging="360"/>
      </w:pPr>
      <w:rPr>
        <w:rFonts w:ascii="Symbol" w:hAnsi="Symbol" w:hint="default"/>
      </w:rPr>
    </w:lvl>
    <w:lvl w:ilvl="7" w:tplc="C8BEC326" w:tentative="1">
      <w:start w:val="1"/>
      <w:numFmt w:val="bullet"/>
      <w:lvlText w:val="o"/>
      <w:lvlJc w:val="left"/>
      <w:pPr>
        <w:ind w:left="5400" w:hanging="360"/>
      </w:pPr>
      <w:rPr>
        <w:rFonts w:ascii="Courier New" w:hAnsi="Courier New" w:cs="Wingdings" w:hint="default"/>
      </w:rPr>
    </w:lvl>
    <w:lvl w:ilvl="8" w:tplc="21B46A1A" w:tentative="1">
      <w:start w:val="1"/>
      <w:numFmt w:val="bullet"/>
      <w:lvlText w:val=""/>
      <w:lvlJc w:val="left"/>
      <w:pPr>
        <w:ind w:left="6120" w:hanging="360"/>
      </w:pPr>
      <w:rPr>
        <w:rFonts w:ascii="Wingdings" w:hAnsi="Wingdings" w:hint="default"/>
      </w:rPr>
    </w:lvl>
  </w:abstractNum>
  <w:abstractNum w:abstractNumId="5">
    <w:nsid w:val="09CE58F0"/>
    <w:multiLevelType w:val="hybridMultilevel"/>
    <w:tmpl w:val="71AC3A72"/>
    <w:lvl w:ilvl="0" w:tplc="C5B444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48296E"/>
    <w:multiLevelType w:val="hybridMultilevel"/>
    <w:tmpl w:val="264C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99236E"/>
    <w:multiLevelType w:val="hybridMultilevel"/>
    <w:tmpl w:val="98DE2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FA5F77"/>
    <w:multiLevelType w:val="hybridMultilevel"/>
    <w:tmpl w:val="45AC35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7E73FF3"/>
    <w:multiLevelType w:val="hybridMultilevel"/>
    <w:tmpl w:val="0A687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966AC5"/>
    <w:multiLevelType w:val="hybridMultilevel"/>
    <w:tmpl w:val="94B21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4F1897"/>
    <w:multiLevelType w:val="hybridMultilevel"/>
    <w:tmpl w:val="25081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94662A"/>
    <w:multiLevelType w:val="hybridMultilevel"/>
    <w:tmpl w:val="694643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EAA6B1D"/>
    <w:multiLevelType w:val="hybridMultilevel"/>
    <w:tmpl w:val="B3A07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FC2686C"/>
    <w:multiLevelType w:val="hybridMultilevel"/>
    <w:tmpl w:val="63F29ACC"/>
    <w:lvl w:ilvl="0" w:tplc="B2D05A98">
      <w:start w:val="1"/>
      <w:numFmt w:val="bullet"/>
      <w:lvlText w:val=""/>
      <w:lvlJc w:val="left"/>
      <w:pPr>
        <w:ind w:left="720" w:hanging="360"/>
      </w:pPr>
      <w:rPr>
        <w:rFonts w:ascii="Symbol" w:hAnsi="Symbol" w:hint="default"/>
      </w:rPr>
    </w:lvl>
    <w:lvl w:ilvl="1" w:tplc="CF80F072">
      <w:start w:val="1"/>
      <w:numFmt w:val="bullet"/>
      <w:lvlText w:val="o"/>
      <w:lvlJc w:val="left"/>
      <w:pPr>
        <w:ind w:left="1440" w:hanging="360"/>
      </w:pPr>
      <w:rPr>
        <w:rFonts w:ascii="Courier New" w:hAnsi="Courier New" w:cs="Wingdings" w:hint="default"/>
      </w:rPr>
    </w:lvl>
    <w:lvl w:ilvl="2" w:tplc="0A8E2962" w:tentative="1">
      <w:start w:val="1"/>
      <w:numFmt w:val="bullet"/>
      <w:lvlText w:val=""/>
      <w:lvlJc w:val="left"/>
      <w:pPr>
        <w:ind w:left="2160" w:hanging="360"/>
      </w:pPr>
      <w:rPr>
        <w:rFonts w:ascii="Wingdings" w:hAnsi="Wingdings" w:hint="default"/>
      </w:rPr>
    </w:lvl>
    <w:lvl w:ilvl="3" w:tplc="F2B4799A" w:tentative="1">
      <w:start w:val="1"/>
      <w:numFmt w:val="bullet"/>
      <w:lvlText w:val=""/>
      <w:lvlJc w:val="left"/>
      <w:pPr>
        <w:ind w:left="2880" w:hanging="360"/>
      </w:pPr>
      <w:rPr>
        <w:rFonts w:ascii="Symbol" w:hAnsi="Symbol" w:hint="default"/>
      </w:rPr>
    </w:lvl>
    <w:lvl w:ilvl="4" w:tplc="63DA18CC" w:tentative="1">
      <w:start w:val="1"/>
      <w:numFmt w:val="bullet"/>
      <w:lvlText w:val="o"/>
      <w:lvlJc w:val="left"/>
      <w:pPr>
        <w:ind w:left="3600" w:hanging="360"/>
      </w:pPr>
      <w:rPr>
        <w:rFonts w:ascii="Courier New" w:hAnsi="Courier New" w:cs="Wingdings" w:hint="default"/>
      </w:rPr>
    </w:lvl>
    <w:lvl w:ilvl="5" w:tplc="B9962916" w:tentative="1">
      <w:start w:val="1"/>
      <w:numFmt w:val="bullet"/>
      <w:lvlText w:val=""/>
      <w:lvlJc w:val="left"/>
      <w:pPr>
        <w:ind w:left="4320" w:hanging="360"/>
      </w:pPr>
      <w:rPr>
        <w:rFonts w:ascii="Wingdings" w:hAnsi="Wingdings" w:hint="default"/>
      </w:rPr>
    </w:lvl>
    <w:lvl w:ilvl="6" w:tplc="AAFAD580" w:tentative="1">
      <w:start w:val="1"/>
      <w:numFmt w:val="bullet"/>
      <w:lvlText w:val=""/>
      <w:lvlJc w:val="left"/>
      <w:pPr>
        <w:ind w:left="5040" w:hanging="360"/>
      </w:pPr>
      <w:rPr>
        <w:rFonts w:ascii="Symbol" w:hAnsi="Symbol" w:hint="default"/>
      </w:rPr>
    </w:lvl>
    <w:lvl w:ilvl="7" w:tplc="2F9E32AE" w:tentative="1">
      <w:start w:val="1"/>
      <w:numFmt w:val="bullet"/>
      <w:lvlText w:val="o"/>
      <w:lvlJc w:val="left"/>
      <w:pPr>
        <w:ind w:left="5760" w:hanging="360"/>
      </w:pPr>
      <w:rPr>
        <w:rFonts w:ascii="Courier New" w:hAnsi="Courier New" w:cs="Wingdings" w:hint="default"/>
      </w:rPr>
    </w:lvl>
    <w:lvl w:ilvl="8" w:tplc="99DE5EA8" w:tentative="1">
      <w:start w:val="1"/>
      <w:numFmt w:val="bullet"/>
      <w:lvlText w:val=""/>
      <w:lvlJc w:val="left"/>
      <w:pPr>
        <w:ind w:left="6480" w:hanging="360"/>
      </w:pPr>
      <w:rPr>
        <w:rFonts w:ascii="Wingdings" w:hAnsi="Wingdings" w:hint="default"/>
      </w:rPr>
    </w:lvl>
  </w:abstractNum>
  <w:abstractNum w:abstractNumId="15">
    <w:nsid w:val="30DA6116"/>
    <w:multiLevelType w:val="hybridMultilevel"/>
    <w:tmpl w:val="AE6E3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1CF7D62"/>
    <w:multiLevelType w:val="hybridMultilevel"/>
    <w:tmpl w:val="05FE36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6FC2CAC"/>
    <w:multiLevelType w:val="hybridMultilevel"/>
    <w:tmpl w:val="56429A76"/>
    <w:lvl w:ilvl="0" w:tplc="C6CC0ACA">
      <w:start w:val="1"/>
      <w:numFmt w:val="bullet"/>
      <w:lvlText w:val=""/>
      <w:lvlJc w:val="left"/>
      <w:pPr>
        <w:ind w:left="360" w:hanging="360"/>
      </w:pPr>
      <w:rPr>
        <w:rFonts w:ascii="Symbol" w:hAnsi="Symbol" w:hint="default"/>
      </w:rPr>
    </w:lvl>
    <w:lvl w:ilvl="1" w:tplc="472A9350">
      <w:start w:val="1"/>
      <w:numFmt w:val="bullet"/>
      <w:lvlText w:val="o"/>
      <w:lvlJc w:val="left"/>
      <w:pPr>
        <w:ind w:left="1080" w:hanging="360"/>
      </w:pPr>
      <w:rPr>
        <w:rFonts w:ascii="Courier New" w:hAnsi="Courier New" w:cs="Wingdings" w:hint="default"/>
      </w:rPr>
    </w:lvl>
    <w:lvl w:ilvl="2" w:tplc="D9F64D36" w:tentative="1">
      <w:start w:val="1"/>
      <w:numFmt w:val="bullet"/>
      <w:lvlText w:val=""/>
      <w:lvlJc w:val="left"/>
      <w:pPr>
        <w:ind w:left="1800" w:hanging="360"/>
      </w:pPr>
      <w:rPr>
        <w:rFonts w:ascii="Wingdings" w:hAnsi="Wingdings" w:hint="default"/>
      </w:rPr>
    </w:lvl>
    <w:lvl w:ilvl="3" w:tplc="7630A264" w:tentative="1">
      <w:start w:val="1"/>
      <w:numFmt w:val="bullet"/>
      <w:lvlText w:val=""/>
      <w:lvlJc w:val="left"/>
      <w:pPr>
        <w:ind w:left="2520" w:hanging="360"/>
      </w:pPr>
      <w:rPr>
        <w:rFonts w:ascii="Symbol" w:hAnsi="Symbol" w:hint="default"/>
      </w:rPr>
    </w:lvl>
    <w:lvl w:ilvl="4" w:tplc="4FACEAB6" w:tentative="1">
      <w:start w:val="1"/>
      <w:numFmt w:val="bullet"/>
      <w:lvlText w:val="o"/>
      <w:lvlJc w:val="left"/>
      <w:pPr>
        <w:ind w:left="3240" w:hanging="360"/>
      </w:pPr>
      <w:rPr>
        <w:rFonts w:ascii="Courier New" w:hAnsi="Courier New" w:cs="Wingdings" w:hint="default"/>
      </w:rPr>
    </w:lvl>
    <w:lvl w:ilvl="5" w:tplc="0F4A0468" w:tentative="1">
      <w:start w:val="1"/>
      <w:numFmt w:val="bullet"/>
      <w:lvlText w:val=""/>
      <w:lvlJc w:val="left"/>
      <w:pPr>
        <w:ind w:left="3960" w:hanging="360"/>
      </w:pPr>
      <w:rPr>
        <w:rFonts w:ascii="Wingdings" w:hAnsi="Wingdings" w:hint="default"/>
      </w:rPr>
    </w:lvl>
    <w:lvl w:ilvl="6" w:tplc="45041896" w:tentative="1">
      <w:start w:val="1"/>
      <w:numFmt w:val="bullet"/>
      <w:lvlText w:val=""/>
      <w:lvlJc w:val="left"/>
      <w:pPr>
        <w:ind w:left="4680" w:hanging="360"/>
      </w:pPr>
      <w:rPr>
        <w:rFonts w:ascii="Symbol" w:hAnsi="Symbol" w:hint="default"/>
      </w:rPr>
    </w:lvl>
    <w:lvl w:ilvl="7" w:tplc="8ED4F152" w:tentative="1">
      <w:start w:val="1"/>
      <w:numFmt w:val="bullet"/>
      <w:lvlText w:val="o"/>
      <w:lvlJc w:val="left"/>
      <w:pPr>
        <w:ind w:left="5400" w:hanging="360"/>
      </w:pPr>
      <w:rPr>
        <w:rFonts w:ascii="Courier New" w:hAnsi="Courier New" w:cs="Wingdings" w:hint="default"/>
      </w:rPr>
    </w:lvl>
    <w:lvl w:ilvl="8" w:tplc="A0C2DC0A" w:tentative="1">
      <w:start w:val="1"/>
      <w:numFmt w:val="bullet"/>
      <w:lvlText w:val=""/>
      <w:lvlJc w:val="left"/>
      <w:pPr>
        <w:ind w:left="6120" w:hanging="360"/>
      </w:pPr>
      <w:rPr>
        <w:rFonts w:ascii="Wingdings" w:hAnsi="Wingdings" w:hint="default"/>
      </w:rPr>
    </w:lvl>
  </w:abstractNum>
  <w:abstractNum w:abstractNumId="18">
    <w:nsid w:val="3C9F5F39"/>
    <w:multiLevelType w:val="hybridMultilevel"/>
    <w:tmpl w:val="D00616E2"/>
    <w:lvl w:ilvl="0" w:tplc="55AE5EEC">
      <w:start w:val="1"/>
      <w:numFmt w:val="bullet"/>
      <w:lvlText w:val=""/>
      <w:lvlJc w:val="left"/>
      <w:pPr>
        <w:ind w:left="720" w:hanging="360"/>
      </w:pPr>
      <w:rPr>
        <w:rFonts w:ascii="Symbol" w:hAnsi="Symbol" w:hint="default"/>
      </w:rPr>
    </w:lvl>
    <w:lvl w:ilvl="1" w:tplc="DB04BF84">
      <w:start w:val="1"/>
      <w:numFmt w:val="bullet"/>
      <w:lvlText w:val="o"/>
      <w:lvlJc w:val="left"/>
      <w:pPr>
        <w:ind w:left="1440" w:hanging="360"/>
      </w:pPr>
      <w:rPr>
        <w:rFonts w:ascii="Courier New" w:hAnsi="Courier New" w:cs="Wingdings" w:hint="default"/>
      </w:rPr>
    </w:lvl>
    <w:lvl w:ilvl="2" w:tplc="AE1C1552" w:tentative="1">
      <w:start w:val="1"/>
      <w:numFmt w:val="bullet"/>
      <w:lvlText w:val=""/>
      <w:lvlJc w:val="left"/>
      <w:pPr>
        <w:ind w:left="2160" w:hanging="360"/>
      </w:pPr>
      <w:rPr>
        <w:rFonts w:ascii="Wingdings" w:hAnsi="Wingdings" w:hint="default"/>
      </w:rPr>
    </w:lvl>
    <w:lvl w:ilvl="3" w:tplc="693A771C" w:tentative="1">
      <w:start w:val="1"/>
      <w:numFmt w:val="bullet"/>
      <w:lvlText w:val=""/>
      <w:lvlJc w:val="left"/>
      <w:pPr>
        <w:ind w:left="2880" w:hanging="360"/>
      </w:pPr>
      <w:rPr>
        <w:rFonts w:ascii="Symbol" w:hAnsi="Symbol" w:hint="default"/>
      </w:rPr>
    </w:lvl>
    <w:lvl w:ilvl="4" w:tplc="C710477C" w:tentative="1">
      <w:start w:val="1"/>
      <w:numFmt w:val="bullet"/>
      <w:lvlText w:val="o"/>
      <w:lvlJc w:val="left"/>
      <w:pPr>
        <w:ind w:left="3600" w:hanging="360"/>
      </w:pPr>
      <w:rPr>
        <w:rFonts w:ascii="Courier New" w:hAnsi="Courier New" w:cs="Wingdings" w:hint="default"/>
      </w:rPr>
    </w:lvl>
    <w:lvl w:ilvl="5" w:tplc="C876DFA8" w:tentative="1">
      <w:start w:val="1"/>
      <w:numFmt w:val="bullet"/>
      <w:lvlText w:val=""/>
      <w:lvlJc w:val="left"/>
      <w:pPr>
        <w:ind w:left="4320" w:hanging="360"/>
      </w:pPr>
      <w:rPr>
        <w:rFonts w:ascii="Wingdings" w:hAnsi="Wingdings" w:hint="default"/>
      </w:rPr>
    </w:lvl>
    <w:lvl w:ilvl="6" w:tplc="B9F8EEC0" w:tentative="1">
      <w:start w:val="1"/>
      <w:numFmt w:val="bullet"/>
      <w:lvlText w:val=""/>
      <w:lvlJc w:val="left"/>
      <w:pPr>
        <w:ind w:left="5040" w:hanging="360"/>
      </w:pPr>
      <w:rPr>
        <w:rFonts w:ascii="Symbol" w:hAnsi="Symbol" w:hint="default"/>
      </w:rPr>
    </w:lvl>
    <w:lvl w:ilvl="7" w:tplc="E0884730" w:tentative="1">
      <w:start w:val="1"/>
      <w:numFmt w:val="bullet"/>
      <w:lvlText w:val="o"/>
      <w:lvlJc w:val="left"/>
      <w:pPr>
        <w:ind w:left="5760" w:hanging="360"/>
      </w:pPr>
      <w:rPr>
        <w:rFonts w:ascii="Courier New" w:hAnsi="Courier New" w:cs="Wingdings" w:hint="default"/>
      </w:rPr>
    </w:lvl>
    <w:lvl w:ilvl="8" w:tplc="93FCD350" w:tentative="1">
      <w:start w:val="1"/>
      <w:numFmt w:val="bullet"/>
      <w:lvlText w:val=""/>
      <w:lvlJc w:val="left"/>
      <w:pPr>
        <w:ind w:left="6480" w:hanging="360"/>
      </w:pPr>
      <w:rPr>
        <w:rFonts w:ascii="Wingdings" w:hAnsi="Wingdings" w:hint="default"/>
      </w:rPr>
    </w:lvl>
  </w:abstractNum>
  <w:abstractNum w:abstractNumId="19">
    <w:nsid w:val="3FB011D6"/>
    <w:multiLevelType w:val="hybridMultilevel"/>
    <w:tmpl w:val="5BCC1B82"/>
    <w:lvl w:ilvl="0" w:tplc="0D3E60C8">
      <w:start w:val="1"/>
      <w:numFmt w:val="bullet"/>
      <w:lvlText w:val=""/>
      <w:lvlJc w:val="left"/>
      <w:pPr>
        <w:ind w:left="360" w:hanging="360"/>
      </w:pPr>
      <w:rPr>
        <w:rFonts w:ascii="Symbol" w:hAnsi="Symbol" w:hint="default"/>
      </w:rPr>
    </w:lvl>
    <w:lvl w:ilvl="1" w:tplc="6CA42E20">
      <w:start w:val="1"/>
      <w:numFmt w:val="bullet"/>
      <w:lvlText w:val="o"/>
      <w:lvlJc w:val="left"/>
      <w:pPr>
        <w:ind w:left="644" w:hanging="360"/>
      </w:pPr>
      <w:rPr>
        <w:rFonts w:ascii="Courier New" w:hAnsi="Courier New" w:cs="Courier New" w:hint="default"/>
      </w:rPr>
    </w:lvl>
    <w:lvl w:ilvl="2" w:tplc="D8EEE498" w:tentative="1">
      <w:start w:val="1"/>
      <w:numFmt w:val="bullet"/>
      <w:lvlText w:val=""/>
      <w:lvlJc w:val="left"/>
      <w:pPr>
        <w:ind w:left="1800" w:hanging="360"/>
      </w:pPr>
      <w:rPr>
        <w:rFonts w:ascii="Wingdings" w:hAnsi="Wingdings" w:hint="default"/>
      </w:rPr>
    </w:lvl>
    <w:lvl w:ilvl="3" w:tplc="5FD4B14E" w:tentative="1">
      <w:start w:val="1"/>
      <w:numFmt w:val="bullet"/>
      <w:lvlText w:val=""/>
      <w:lvlJc w:val="left"/>
      <w:pPr>
        <w:ind w:left="2520" w:hanging="360"/>
      </w:pPr>
      <w:rPr>
        <w:rFonts w:ascii="Symbol" w:hAnsi="Symbol" w:hint="default"/>
      </w:rPr>
    </w:lvl>
    <w:lvl w:ilvl="4" w:tplc="865E48F4" w:tentative="1">
      <w:start w:val="1"/>
      <w:numFmt w:val="bullet"/>
      <w:lvlText w:val="o"/>
      <w:lvlJc w:val="left"/>
      <w:pPr>
        <w:ind w:left="3240" w:hanging="360"/>
      </w:pPr>
      <w:rPr>
        <w:rFonts w:ascii="Courier New" w:hAnsi="Courier New" w:cs="Courier New" w:hint="default"/>
      </w:rPr>
    </w:lvl>
    <w:lvl w:ilvl="5" w:tplc="3D880698" w:tentative="1">
      <w:start w:val="1"/>
      <w:numFmt w:val="bullet"/>
      <w:lvlText w:val=""/>
      <w:lvlJc w:val="left"/>
      <w:pPr>
        <w:ind w:left="3960" w:hanging="360"/>
      </w:pPr>
      <w:rPr>
        <w:rFonts w:ascii="Wingdings" w:hAnsi="Wingdings" w:hint="default"/>
      </w:rPr>
    </w:lvl>
    <w:lvl w:ilvl="6" w:tplc="64BCFCC2" w:tentative="1">
      <w:start w:val="1"/>
      <w:numFmt w:val="bullet"/>
      <w:lvlText w:val=""/>
      <w:lvlJc w:val="left"/>
      <w:pPr>
        <w:ind w:left="4680" w:hanging="360"/>
      </w:pPr>
      <w:rPr>
        <w:rFonts w:ascii="Symbol" w:hAnsi="Symbol" w:hint="default"/>
      </w:rPr>
    </w:lvl>
    <w:lvl w:ilvl="7" w:tplc="5FDA8B1A" w:tentative="1">
      <w:start w:val="1"/>
      <w:numFmt w:val="bullet"/>
      <w:lvlText w:val="o"/>
      <w:lvlJc w:val="left"/>
      <w:pPr>
        <w:ind w:left="5400" w:hanging="360"/>
      </w:pPr>
      <w:rPr>
        <w:rFonts w:ascii="Courier New" w:hAnsi="Courier New" w:cs="Courier New" w:hint="default"/>
      </w:rPr>
    </w:lvl>
    <w:lvl w:ilvl="8" w:tplc="E140D756" w:tentative="1">
      <w:start w:val="1"/>
      <w:numFmt w:val="bullet"/>
      <w:lvlText w:val=""/>
      <w:lvlJc w:val="left"/>
      <w:pPr>
        <w:ind w:left="6120" w:hanging="360"/>
      </w:pPr>
      <w:rPr>
        <w:rFonts w:ascii="Wingdings" w:hAnsi="Wingdings" w:hint="default"/>
      </w:rPr>
    </w:lvl>
  </w:abstractNum>
  <w:abstractNum w:abstractNumId="20">
    <w:nsid w:val="411157D4"/>
    <w:multiLevelType w:val="hybridMultilevel"/>
    <w:tmpl w:val="BA644640"/>
    <w:lvl w:ilvl="0" w:tplc="E082560C">
      <w:start w:val="1"/>
      <w:numFmt w:val="bullet"/>
      <w:pStyle w:val="bullets"/>
      <w:lvlText w:val=""/>
      <w:lvlJc w:val="left"/>
      <w:pPr>
        <w:ind w:left="720" w:hanging="360"/>
      </w:pPr>
      <w:rPr>
        <w:rFonts w:ascii="Symbol" w:hAnsi="Symbol" w:hint="default"/>
      </w:rPr>
    </w:lvl>
    <w:lvl w:ilvl="1" w:tplc="5E4C1CB8">
      <w:start w:val="1"/>
      <w:numFmt w:val="bullet"/>
      <w:lvlText w:val="o"/>
      <w:lvlJc w:val="left"/>
      <w:pPr>
        <w:ind w:left="1440" w:hanging="360"/>
      </w:pPr>
      <w:rPr>
        <w:rFonts w:ascii="Courier New" w:hAnsi="Courier New" w:hint="default"/>
      </w:rPr>
    </w:lvl>
    <w:lvl w:ilvl="2" w:tplc="3D66D8C4">
      <w:start w:val="1"/>
      <w:numFmt w:val="bullet"/>
      <w:lvlText w:val=""/>
      <w:lvlJc w:val="left"/>
      <w:pPr>
        <w:ind w:left="2160" w:hanging="360"/>
      </w:pPr>
      <w:rPr>
        <w:rFonts w:ascii="Wingdings" w:hAnsi="Wingdings" w:hint="default"/>
      </w:rPr>
    </w:lvl>
    <w:lvl w:ilvl="3" w:tplc="77D6F1F4">
      <w:start w:val="1"/>
      <w:numFmt w:val="bullet"/>
      <w:lvlText w:val=""/>
      <w:lvlJc w:val="left"/>
      <w:pPr>
        <w:ind w:left="2880" w:hanging="360"/>
      </w:pPr>
      <w:rPr>
        <w:rFonts w:ascii="Symbol" w:hAnsi="Symbol" w:hint="default"/>
      </w:rPr>
    </w:lvl>
    <w:lvl w:ilvl="4" w:tplc="E8AEEA10">
      <w:start w:val="1"/>
      <w:numFmt w:val="bullet"/>
      <w:lvlText w:val="o"/>
      <w:lvlJc w:val="left"/>
      <w:pPr>
        <w:ind w:left="3600" w:hanging="360"/>
      </w:pPr>
      <w:rPr>
        <w:rFonts w:ascii="Courier New" w:hAnsi="Courier New" w:hint="default"/>
      </w:rPr>
    </w:lvl>
    <w:lvl w:ilvl="5" w:tplc="2D28BA6E">
      <w:start w:val="1"/>
      <w:numFmt w:val="bullet"/>
      <w:lvlText w:val=""/>
      <w:lvlJc w:val="left"/>
      <w:pPr>
        <w:ind w:left="4320" w:hanging="360"/>
      </w:pPr>
      <w:rPr>
        <w:rFonts w:ascii="Wingdings" w:hAnsi="Wingdings" w:hint="default"/>
      </w:rPr>
    </w:lvl>
    <w:lvl w:ilvl="6" w:tplc="B5B0D96C">
      <w:start w:val="1"/>
      <w:numFmt w:val="bullet"/>
      <w:lvlText w:val=""/>
      <w:lvlJc w:val="left"/>
      <w:pPr>
        <w:ind w:left="5040" w:hanging="360"/>
      </w:pPr>
      <w:rPr>
        <w:rFonts w:ascii="Symbol" w:hAnsi="Symbol" w:hint="default"/>
      </w:rPr>
    </w:lvl>
    <w:lvl w:ilvl="7" w:tplc="8198308C">
      <w:start w:val="1"/>
      <w:numFmt w:val="bullet"/>
      <w:lvlText w:val="o"/>
      <w:lvlJc w:val="left"/>
      <w:pPr>
        <w:ind w:left="5760" w:hanging="360"/>
      </w:pPr>
      <w:rPr>
        <w:rFonts w:ascii="Courier New" w:hAnsi="Courier New" w:hint="default"/>
      </w:rPr>
    </w:lvl>
    <w:lvl w:ilvl="8" w:tplc="DA187536">
      <w:start w:val="1"/>
      <w:numFmt w:val="bullet"/>
      <w:lvlText w:val=""/>
      <w:lvlJc w:val="left"/>
      <w:pPr>
        <w:ind w:left="6480" w:hanging="360"/>
      </w:pPr>
      <w:rPr>
        <w:rFonts w:ascii="Wingdings" w:hAnsi="Wingdings" w:hint="default"/>
      </w:rPr>
    </w:lvl>
  </w:abstractNum>
  <w:abstractNum w:abstractNumId="21">
    <w:nsid w:val="423473FB"/>
    <w:multiLevelType w:val="hybridMultilevel"/>
    <w:tmpl w:val="6A2A39C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nsid w:val="42A75600"/>
    <w:multiLevelType w:val="hybridMultilevel"/>
    <w:tmpl w:val="8D44D212"/>
    <w:lvl w:ilvl="0" w:tplc="2BDABDCA">
      <w:start w:val="1"/>
      <w:numFmt w:val="lowerRoman"/>
      <w:lvlText w:val="(%1)"/>
      <w:lvlJc w:val="left"/>
      <w:pPr>
        <w:tabs>
          <w:tab w:val="num" w:pos="720"/>
        </w:tabs>
        <w:ind w:left="720" w:hanging="720"/>
      </w:pPr>
      <w:rPr>
        <w:rFonts w:cs="Times New Roman" w:hint="default"/>
      </w:rPr>
    </w:lvl>
    <w:lvl w:ilvl="1" w:tplc="62A6D914">
      <w:start w:val="1"/>
      <w:numFmt w:val="lowerLetter"/>
      <w:lvlText w:val="%2."/>
      <w:lvlJc w:val="left"/>
      <w:pPr>
        <w:tabs>
          <w:tab w:val="num" w:pos="1080"/>
        </w:tabs>
        <w:ind w:left="1080" w:hanging="360"/>
      </w:pPr>
      <w:rPr>
        <w:rFonts w:cs="Times New Roman"/>
      </w:rPr>
    </w:lvl>
    <w:lvl w:ilvl="2" w:tplc="8D047CF2">
      <w:start w:val="1"/>
      <w:numFmt w:val="lowerRoman"/>
      <w:lvlText w:val="%3."/>
      <w:lvlJc w:val="right"/>
      <w:pPr>
        <w:tabs>
          <w:tab w:val="num" w:pos="1800"/>
        </w:tabs>
        <w:ind w:left="1800" w:hanging="180"/>
      </w:pPr>
      <w:rPr>
        <w:rFonts w:cs="Times New Roman"/>
      </w:rPr>
    </w:lvl>
    <w:lvl w:ilvl="3" w:tplc="B9CEC258">
      <w:start w:val="1"/>
      <w:numFmt w:val="decimal"/>
      <w:lvlText w:val="%4."/>
      <w:lvlJc w:val="left"/>
      <w:pPr>
        <w:tabs>
          <w:tab w:val="num" w:pos="2520"/>
        </w:tabs>
        <w:ind w:left="2520" w:hanging="360"/>
      </w:pPr>
      <w:rPr>
        <w:rFonts w:cs="Times New Roman"/>
      </w:rPr>
    </w:lvl>
    <w:lvl w:ilvl="4" w:tplc="2598A88C">
      <w:start w:val="1"/>
      <w:numFmt w:val="lowerLetter"/>
      <w:lvlText w:val="%5."/>
      <w:lvlJc w:val="left"/>
      <w:pPr>
        <w:tabs>
          <w:tab w:val="num" w:pos="3240"/>
        </w:tabs>
        <w:ind w:left="3240" w:hanging="360"/>
      </w:pPr>
      <w:rPr>
        <w:rFonts w:cs="Times New Roman"/>
      </w:rPr>
    </w:lvl>
    <w:lvl w:ilvl="5" w:tplc="892C0380">
      <w:start w:val="1"/>
      <w:numFmt w:val="lowerRoman"/>
      <w:lvlText w:val="%6."/>
      <w:lvlJc w:val="right"/>
      <w:pPr>
        <w:tabs>
          <w:tab w:val="num" w:pos="3960"/>
        </w:tabs>
        <w:ind w:left="3960" w:hanging="180"/>
      </w:pPr>
      <w:rPr>
        <w:rFonts w:cs="Times New Roman"/>
      </w:rPr>
    </w:lvl>
    <w:lvl w:ilvl="6" w:tplc="9B72D7E0">
      <w:start w:val="1"/>
      <w:numFmt w:val="decimal"/>
      <w:lvlText w:val="%7."/>
      <w:lvlJc w:val="left"/>
      <w:pPr>
        <w:tabs>
          <w:tab w:val="num" w:pos="4680"/>
        </w:tabs>
        <w:ind w:left="4680" w:hanging="360"/>
      </w:pPr>
      <w:rPr>
        <w:rFonts w:cs="Times New Roman"/>
      </w:rPr>
    </w:lvl>
    <w:lvl w:ilvl="7" w:tplc="2B66722A">
      <w:start w:val="1"/>
      <w:numFmt w:val="lowerLetter"/>
      <w:lvlText w:val="%8."/>
      <w:lvlJc w:val="left"/>
      <w:pPr>
        <w:tabs>
          <w:tab w:val="num" w:pos="5400"/>
        </w:tabs>
        <w:ind w:left="5400" w:hanging="360"/>
      </w:pPr>
      <w:rPr>
        <w:rFonts w:cs="Times New Roman"/>
      </w:rPr>
    </w:lvl>
    <w:lvl w:ilvl="8" w:tplc="14404FE6">
      <w:start w:val="1"/>
      <w:numFmt w:val="lowerRoman"/>
      <w:lvlText w:val="%9."/>
      <w:lvlJc w:val="right"/>
      <w:pPr>
        <w:tabs>
          <w:tab w:val="num" w:pos="6120"/>
        </w:tabs>
        <w:ind w:left="6120" w:hanging="180"/>
      </w:pPr>
      <w:rPr>
        <w:rFonts w:cs="Times New Roman"/>
      </w:rPr>
    </w:lvl>
  </w:abstractNum>
  <w:abstractNum w:abstractNumId="23">
    <w:nsid w:val="492C733B"/>
    <w:multiLevelType w:val="hybridMultilevel"/>
    <w:tmpl w:val="D058630C"/>
    <w:lvl w:ilvl="0" w:tplc="14E8741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BF423F3"/>
    <w:multiLevelType w:val="hybridMultilevel"/>
    <w:tmpl w:val="EA5A2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C5D4E4E"/>
    <w:multiLevelType w:val="hybridMultilevel"/>
    <w:tmpl w:val="136C7AFE"/>
    <w:lvl w:ilvl="0" w:tplc="10090001">
      <w:start w:val="1"/>
      <w:numFmt w:val="bullet"/>
      <w:lvlText w:val=""/>
      <w:lvlJc w:val="left"/>
      <w:pPr>
        <w:ind w:left="720" w:hanging="360"/>
      </w:pPr>
      <w:rPr>
        <w:rFonts w:ascii="Symbol" w:hAnsi="Symbol" w:hint="default"/>
      </w:rPr>
    </w:lvl>
    <w:lvl w:ilvl="1" w:tplc="F03A6CE6">
      <w:numFmt w:val="bullet"/>
      <w:lvlText w:val="•"/>
      <w:lvlJc w:val="left"/>
      <w:pPr>
        <w:ind w:left="1800" w:hanging="720"/>
      </w:pPr>
      <w:rPr>
        <w:rFonts w:ascii="Times New Roman" w:eastAsia="Times New Roman"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CC2704F"/>
    <w:multiLevelType w:val="hybridMultilevel"/>
    <w:tmpl w:val="F0CC53B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86"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nsid w:val="4EE569DD"/>
    <w:multiLevelType w:val="multilevel"/>
    <w:tmpl w:val="46C0BFE2"/>
    <w:lvl w:ilvl="0">
      <w:start w:val="1"/>
      <w:numFmt w:val="lowerRoman"/>
      <w:lvlText w:val="(%1)"/>
      <w:lvlJc w:val="left"/>
      <w:pPr>
        <w:tabs>
          <w:tab w:val="num" w:pos="432"/>
        </w:tabs>
        <w:ind w:left="432" w:hanging="432"/>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nsid w:val="523036CF"/>
    <w:multiLevelType w:val="singleLevel"/>
    <w:tmpl w:val="4964DE8A"/>
    <w:lvl w:ilvl="0">
      <w:start w:val="1"/>
      <w:numFmt w:val="bullet"/>
      <w:pStyle w:val="bullet2"/>
      <w:lvlText w:val=""/>
      <w:lvlJc w:val="left"/>
      <w:pPr>
        <w:tabs>
          <w:tab w:val="num" w:pos="360"/>
        </w:tabs>
        <w:ind w:left="360" w:hanging="360"/>
      </w:pPr>
      <w:rPr>
        <w:rFonts w:ascii="Symbol" w:hAnsi="Symbol" w:hint="default"/>
      </w:rPr>
    </w:lvl>
  </w:abstractNum>
  <w:abstractNum w:abstractNumId="29">
    <w:nsid w:val="543D7ECA"/>
    <w:multiLevelType w:val="hybridMultilevel"/>
    <w:tmpl w:val="A50893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nsid w:val="54492C2B"/>
    <w:multiLevelType w:val="hybridMultilevel"/>
    <w:tmpl w:val="5EEE5A78"/>
    <w:lvl w:ilvl="0" w:tplc="2592CA5A">
      <w:start w:val="1"/>
      <w:numFmt w:val="bullet"/>
      <w:lvlText w:val=""/>
      <w:lvlJc w:val="left"/>
      <w:pPr>
        <w:ind w:left="360" w:hanging="360"/>
      </w:pPr>
      <w:rPr>
        <w:rFonts w:ascii="Symbol" w:hAnsi="Symbol" w:hint="default"/>
      </w:rPr>
    </w:lvl>
    <w:lvl w:ilvl="1" w:tplc="72A8F88E">
      <w:start w:val="1"/>
      <w:numFmt w:val="bullet"/>
      <w:lvlText w:val="o"/>
      <w:lvlJc w:val="left"/>
      <w:pPr>
        <w:ind w:left="644" w:hanging="360"/>
      </w:pPr>
      <w:rPr>
        <w:rFonts w:ascii="Courier New" w:hAnsi="Courier New" w:cs="Courier New" w:hint="default"/>
      </w:rPr>
    </w:lvl>
    <w:lvl w:ilvl="2" w:tplc="0AEEAA54">
      <w:start w:val="1"/>
      <w:numFmt w:val="bullet"/>
      <w:lvlText w:val=""/>
      <w:lvlJc w:val="left"/>
      <w:pPr>
        <w:ind w:left="1800" w:hanging="360"/>
      </w:pPr>
      <w:rPr>
        <w:rFonts w:ascii="Wingdings" w:hAnsi="Wingdings" w:hint="default"/>
      </w:rPr>
    </w:lvl>
    <w:lvl w:ilvl="3" w:tplc="FE602E32" w:tentative="1">
      <w:start w:val="1"/>
      <w:numFmt w:val="bullet"/>
      <w:lvlText w:val=""/>
      <w:lvlJc w:val="left"/>
      <w:pPr>
        <w:ind w:left="2520" w:hanging="360"/>
      </w:pPr>
      <w:rPr>
        <w:rFonts w:ascii="Symbol" w:hAnsi="Symbol" w:hint="default"/>
      </w:rPr>
    </w:lvl>
    <w:lvl w:ilvl="4" w:tplc="848EDF52" w:tentative="1">
      <w:start w:val="1"/>
      <w:numFmt w:val="bullet"/>
      <w:lvlText w:val="o"/>
      <w:lvlJc w:val="left"/>
      <w:pPr>
        <w:ind w:left="3240" w:hanging="360"/>
      </w:pPr>
      <w:rPr>
        <w:rFonts w:ascii="Courier New" w:hAnsi="Courier New" w:cs="Courier New" w:hint="default"/>
      </w:rPr>
    </w:lvl>
    <w:lvl w:ilvl="5" w:tplc="032E7B6E" w:tentative="1">
      <w:start w:val="1"/>
      <w:numFmt w:val="bullet"/>
      <w:lvlText w:val=""/>
      <w:lvlJc w:val="left"/>
      <w:pPr>
        <w:ind w:left="3960" w:hanging="360"/>
      </w:pPr>
      <w:rPr>
        <w:rFonts w:ascii="Wingdings" w:hAnsi="Wingdings" w:hint="default"/>
      </w:rPr>
    </w:lvl>
    <w:lvl w:ilvl="6" w:tplc="92009CC6" w:tentative="1">
      <w:start w:val="1"/>
      <w:numFmt w:val="bullet"/>
      <w:lvlText w:val=""/>
      <w:lvlJc w:val="left"/>
      <w:pPr>
        <w:ind w:left="4680" w:hanging="360"/>
      </w:pPr>
      <w:rPr>
        <w:rFonts w:ascii="Symbol" w:hAnsi="Symbol" w:hint="default"/>
      </w:rPr>
    </w:lvl>
    <w:lvl w:ilvl="7" w:tplc="F2C61612" w:tentative="1">
      <w:start w:val="1"/>
      <w:numFmt w:val="bullet"/>
      <w:lvlText w:val="o"/>
      <w:lvlJc w:val="left"/>
      <w:pPr>
        <w:ind w:left="5400" w:hanging="360"/>
      </w:pPr>
      <w:rPr>
        <w:rFonts w:ascii="Courier New" w:hAnsi="Courier New" w:cs="Courier New" w:hint="default"/>
      </w:rPr>
    </w:lvl>
    <w:lvl w:ilvl="8" w:tplc="1F3C86D4" w:tentative="1">
      <w:start w:val="1"/>
      <w:numFmt w:val="bullet"/>
      <w:lvlText w:val=""/>
      <w:lvlJc w:val="left"/>
      <w:pPr>
        <w:ind w:left="6120" w:hanging="360"/>
      </w:pPr>
      <w:rPr>
        <w:rFonts w:ascii="Wingdings" w:hAnsi="Wingdings" w:hint="default"/>
      </w:rPr>
    </w:lvl>
  </w:abstractNum>
  <w:abstractNum w:abstractNumId="31">
    <w:nsid w:val="56595BD8"/>
    <w:multiLevelType w:val="hybridMultilevel"/>
    <w:tmpl w:val="5A6AEBDC"/>
    <w:lvl w:ilvl="0" w:tplc="0409000F">
      <w:start w:val="1"/>
      <w:numFmt w:val="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2">
    <w:nsid w:val="56B35916"/>
    <w:multiLevelType w:val="hybridMultilevel"/>
    <w:tmpl w:val="1D80427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644"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nsid w:val="57AE720D"/>
    <w:multiLevelType w:val="hybridMultilevel"/>
    <w:tmpl w:val="6538AA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5A0F3263"/>
    <w:multiLevelType w:val="hybridMultilevel"/>
    <w:tmpl w:val="800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C46C1A"/>
    <w:multiLevelType w:val="hybridMultilevel"/>
    <w:tmpl w:val="BCDA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6B155EC3"/>
    <w:multiLevelType w:val="hybridMultilevel"/>
    <w:tmpl w:val="548A99A6"/>
    <w:lvl w:ilvl="0" w:tplc="398625CE">
      <w:start w:val="1"/>
      <w:numFmt w:val="bullet"/>
      <w:lvlText w:val=""/>
      <w:lvlJc w:val="left"/>
      <w:pPr>
        <w:ind w:left="720" w:hanging="360"/>
      </w:pPr>
      <w:rPr>
        <w:rFonts w:ascii="Symbol" w:hAnsi="Symbol" w:hint="default"/>
      </w:rPr>
    </w:lvl>
    <w:lvl w:ilvl="1" w:tplc="B76A1674">
      <w:start w:val="1"/>
      <w:numFmt w:val="bullet"/>
      <w:lvlText w:val="o"/>
      <w:lvlJc w:val="left"/>
      <w:pPr>
        <w:ind w:left="1440" w:hanging="360"/>
      </w:pPr>
      <w:rPr>
        <w:rFonts w:ascii="Courier New" w:hAnsi="Courier New" w:cs="Courier New" w:hint="default"/>
      </w:rPr>
    </w:lvl>
    <w:lvl w:ilvl="2" w:tplc="CB42186A">
      <w:start w:val="1"/>
      <w:numFmt w:val="bullet"/>
      <w:lvlText w:val=""/>
      <w:lvlJc w:val="left"/>
      <w:pPr>
        <w:ind w:left="2160" w:hanging="360"/>
      </w:pPr>
      <w:rPr>
        <w:rFonts w:ascii="Wingdings" w:hAnsi="Wingdings" w:hint="default"/>
      </w:rPr>
    </w:lvl>
    <w:lvl w:ilvl="3" w:tplc="23C210B6">
      <w:start w:val="1"/>
      <w:numFmt w:val="bullet"/>
      <w:lvlText w:val=""/>
      <w:lvlJc w:val="left"/>
      <w:pPr>
        <w:ind w:left="2880" w:hanging="360"/>
      </w:pPr>
      <w:rPr>
        <w:rFonts w:ascii="Symbol" w:hAnsi="Symbol" w:hint="default"/>
      </w:rPr>
    </w:lvl>
    <w:lvl w:ilvl="4" w:tplc="82A0C2EC" w:tentative="1">
      <w:start w:val="1"/>
      <w:numFmt w:val="bullet"/>
      <w:lvlText w:val="o"/>
      <w:lvlJc w:val="left"/>
      <w:pPr>
        <w:ind w:left="3600" w:hanging="360"/>
      </w:pPr>
      <w:rPr>
        <w:rFonts w:ascii="Courier New" w:hAnsi="Courier New" w:cs="Courier New" w:hint="default"/>
      </w:rPr>
    </w:lvl>
    <w:lvl w:ilvl="5" w:tplc="4A26FC3E" w:tentative="1">
      <w:start w:val="1"/>
      <w:numFmt w:val="bullet"/>
      <w:lvlText w:val=""/>
      <w:lvlJc w:val="left"/>
      <w:pPr>
        <w:ind w:left="4320" w:hanging="360"/>
      </w:pPr>
      <w:rPr>
        <w:rFonts w:ascii="Wingdings" w:hAnsi="Wingdings" w:hint="default"/>
      </w:rPr>
    </w:lvl>
    <w:lvl w:ilvl="6" w:tplc="8346829A" w:tentative="1">
      <w:start w:val="1"/>
      <w:numFmt w:val="bullet"/>
      <w:lvlText w:val=""/>
      <w:lvlJc w:val="left"/>
      <w:pPr>
        <w:ind w:left="5040" w:hanging="360"/>
      </w:pPr>
      <w:rPr>
        <w:rFonts w:ascii="Symbol" w:hAnsi="Symbol" w:hint="default"/>
      </w:rPr>
    </w:lvl>
    <w:lvl w:ilvl="7" w:tplc="DD1ABC14" w:tentative="1">
      <w:start w:val="1"/>
      <w:numFmt w:val="bullet"/>
      <w:lvlText w:val="o"/>
      <w:lvlJc w:val="left"/>
      <w:pPr>
        <w:ind w:left="5760" w:hanging="360"/>
      </w:pPr>
      <w:rPr>
        <w:rFonts w:ascii="Courier New" w:hAnsi="Courier New" w:cs="Courier New" w:hint="default"/>
      </w:rPr>
    </w:lvl>
    <w:lvl w:ilvl="8" w:tplc="FFCCDBC8" w:tentative="1">
      <w:start w:val="1"/>
      <w:numFmt w:val="bullet"/>
      <w:lvlText w:val=""/>
      <w:lvlJc w:val="left"/>
      <w:pPr>
        <w:ind w:left="6480" w:hanging="360"/>
      </w:pPr>
      <w:rPr>
        <w:rFonts w:ascii="Wingdings" w:hAnsi="Wingdings" w:hint="default"/>
      </w:rPr>
    </w:lvl>
  </w:abstractNum>
  <w:abstractNum w:abstractNumId="37">
    <w:nsid w:val="710C24DE"/>
    <w:multiLevelType w:val="multilevel"/>
    <w:tmpl w:val="600898F8"/>
    <w:lvl w:ilvl="0">
      <w:start w:val="1"/>
      <w:numFmt w:val="lowerRoman"/>
      <w:pStyle w:val="ListNumber"/>
      <w:lvlText w:val="(%1)"/>
      <w:lvlJc w:val="left"/>
      <w:pPr>
        <w:tabs>
          <w:tab w:val="num" w:pos="576"/>
        </w:tabs>
        <w:ind w:left="576" w:hanging="576"/>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8">
    <w:nsid w:val="7666005B"/>
    <w:multiLevelType w:val="hybridMultilevel"/>
    <w:tmpl w:val="C6AA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1D5BC4"/>
    <w:multiLevelType w:val="hybridMultilevel"/>
    <w:tmpl w:val="70561F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28"/>
  </w:num>
  <w:num w:numId="4">
    <w:abstractNumId w:val="18"/>
  </w:num>
  <w:num w:numId="5">
    <w:abstractNumId w:val="4"/>
  </w:num>
  <w:num w:numId="6">
    <w:abstractNumId w:val="17"/>
  </w:num>
  <w:num w:numId="7">
    <w:abstractNumId w:val="14"/>
  </w:num>
  <w:num w:numId="8">
    <w:abstractNumId w:val="11"/>
  </w:num>
  <w:num w:numId="9">
    <w:abstractNumId w:val="3"/>
  </w:num>
  <w:num w:numId="10">
    <w:abstractNumId w:val="5"/>
  </w:num>
  <w:num w:numId="11">
    <w:abstractNumId w:val="6"/>
  </w:num>
  <w:num w:numId="12">
    <w:abstractNumId w:val="34"/>
  </w:num>
  <w:num w:numId="13">
    <w:abstractNumId w:val="10"/>
  </w:num>
  <w:num w:numId="14">
    <w:abstractNumId w:val="1"/>
  </w:num>
  <w:num w:numId="15">
    <w:abstractNumId w:val="35"/>
  </w:num>
  <w:num w:numId="16">
    <w:abstractNumId w:val="8"/>
  </w:num>
  <w:num w:numId="17">
    <w:abstractNumId w:val="21"/>
  </w:num>
  <w:num w:numId="18">
    <w:abstractNumId w:val="26"/>
  </w:num>
  <w:num w:numId="19">
    <w:abstractNumId w:val="19"/>
  </w:num>
  <w:num w:numId="20">
    <w:abstractNumId w:val="36"/>
  </w:num>
  <w:num w:numId="21">
    <w:abstractNumId w:val="3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32"/>
  </w:num>
  <w:num w:numId="24">
    <w:abstractNumId w:val="29"/>
  </w:num>
  <w:num w:numId="25">
    <w:abstractNumId w:val="0"/>
  </w:num>
  <w:num w:numId="26">
    <w:abstractNumId w:val="38"/>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num>
  <w:num w:numId="30">
    <w:abstractNumId w:val="12"/>
  </w:num>
  <w:num w:numId="31">
    <w:abstractNumId w:val="15"/>
  </w:num>
  <w:num w:numId="32">
    <w:abstractNumId w:val="13"/>
  </w:num>
  <w:num w:numId="33">
    <w:abstractNumId w:val="39"/>
  </w:num>
  <w:num w:numId="34">
    <w:abstractNumId w:val="2"/>
  </w:num>
  <w:num w:numId="3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25"/>
  </w:num>
  <w:num w:numId="38">
    <w:abstractNumId w:val="16"/>
  </w:num>
  <w:num w:numId="39">
    <w:abstractNumId w:val="24"/>
  </w:num>
  <w:num w:numId="40">
    <w:abstractNumId w:val="23"/>
  </w:num>
  <w:num w:numId="41">
    <w:abstractNumId w:val="7"/>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cumentProtection w:edit="readOnly" w:formatting="1" w:enforcement="1"/>
  <w:styleLockTheme/>
  <w:styleLockQFSet/>
  <w:defaultTabStop w:val="720"/>
  <w:doNotHyphenateCaps/>
  <w:drawingGridHorizontalSpacing w:val="110"/>
  <w:drawingGridVerticalSpacing w:val="120"/>
  <w:displayHorizontalDrawingGridEvery w:val="2"/>
  <w:displayVerticalDrawingGridEvery w:val="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B41"/>
    <w:rsid w:val="00000823"/>
    <w:rsid w:val="00002748"/>
    <w:rsid w:val="00002AEF"/>
    <w:rsid w:val="00003B5C"/>
    <w:rsid w:val="00003B96"/>
    <w:rsid w:val="0000416F"/>
    <w:rsid w:val="00004ABD"/>
    <w:rsid w:val="00005D6C"/>
    <w:rsid w:val="00005E67"/>
    <w:rsid w:val="00006A5C"/>
    <w:rsid w:val="00007DAC"/>
    <w:rsid w:val="00010316"/>
    <w:rsid w:val="0001039B"/>
    <w:rsid w:val="00010D0F"/>
    <w:rsid w:val="0001205C"/>
    <w:rsid w:val="00012337"/>
    <w:rsid w:val="0001371D"/>
    <w:rsid w:val="00015A19"/>
    <w:rsid w:val="000166BF"/>
    <w:rsid w:val="00017707"/>
    <w:rsid w:val="00017CDF"/>
    <w:rsid w:val="00020F31"/>
    <w:rsid w:val="00022103"/>
    <w:rsid w:val="000233F2"/>
    <w:rsid w:val="00024480"/>
    <w:rsid w:val="00025363"/>
    <w:rsid w:val="0002558B"/>
    <w:rsid w:val="00025613"/>
    <w:rsid w:val="00025BDD"/>
    <w:rsid w:val="0002662E"/>
    <w:rsid w:val="00026C1C"/>
    <w:rsid w:val="00030F97"/>
    <w:rsid w:val="00031043"/>
    <w:rsid w:val="00031322"/>
    <w:rsid w:val="0003136F"/>
    <w:rsid w:val="00032918"/>
    <w:rsid w:val="00032BF5"/>
    <w:rsid w:val="000339DE"/>
    <w:rsid w:val="000340E9"/>
    <w:rsid w:val="00034D1E"/>
    <w:rsid w:val="00036F6D"/>
    <w:rsid w:val="00040B6B"/>
    <w:rsid w:val="00041266"/>
    <w:rsid w:val="0004131A"/>
    <w:rsid w:val="00041818"/>
    <w:rsid w:val="00043D4A"/>
    <w:rsid w:val="000441B9"/>
    <w:rsid w:val="00045597"/>
    <w:rsid w:val="00046B09"/>
    <w:rsid w:val="00047223"/>
    <w:rsid w:val="00047E92"/>
    <w:rsid w:val="00051071"/>
    <w:rsid w:val="0005251E"/>
    <w:rsid w:val="000527EE"/>
    <w:rsid w:val="0005560B"/>
    <w:rsid w:val="00055D55"/>
    <w:rsid w:val="0005631B"/>
    <w:rsid w:val="0005699A"/>
    <w:rsid w:val="00056AD9"/>
    <w:rsid w:val="00056CE2"/>
    <w:rsid w:val="00061205"/>
    <w:rsid w:val="00062B1A"/>
    <w:rsid w:val="00063A3F"/>
    <w:rsid w:val="00063AEC"/>
    <w:rsid w:val="00065816"/>
    <w:rsid w:val="00066466"/>
    <w:rsid w:val="000670BD"/>
    <w:rsid w:val="0006749C"/>
    <w:rsid w:val="000701EF"/>
    <w:rsid w:val="000704E4"/>
    <w:rsid w:val="00073C47"/>
    <w:rsid w:val="00074352"/>
    <w:rsid w:val="00074514"/>
    <w:rsid w:val="000747AD"/>
    <w:rsid w:val="000763B2"/>
    <w:rsid w:val="000763D1"/>
    <w:rsid w:val="00076405"/>
    <w:rsid w:val="0008026F"/>
    <w:rsid w:val="00080A73"/>
    <w:rsid w:val="00081D85"/>
    <w:rsid w:val="00082102"/>
    <w:rsid w:val="00082A5E"/>
    <w:rsid w:val="00083637"/>
    <w:rsid w:val="00083752"/>
    <w:rsid w:val="000838B9"/>
    <w:rsid w:val="000849C5"/>
    <w:rsid w:val="00084A61"/>
    <w:rsid w:val="00084F73"/>
    <w:rsid w:val="00084F7A"/>
    <w:rsid w:val="00085341"/>
    <w:rsid w:val="000854EA"/>
    <w:rsid w:val="000856FA"/>
    <w:rsid w:val="00085AA4"/>
    <w:rsid w:val="000869FF"/>
    <w:rsid w:val="00087424"/>
    <w:rsid w:val="00090202"/>
    <w:rsid w:val="00090E4D"/>
    <w:rsid w:val="0009295F"/>
    <w:rsid w:val="0009325F"/>
    <w:rsid w:val="000935CD"/>
    <w:rsid w:val="00093B81"/>
    <w:rsid w:val="0009489F"/>
    <w:rsid w:val="00094932"/>
    <w:rsid w:val="00095FD6"/>
    <w:rsid w:val="000961AF"/>
    <w:rsid w:val="00097D10"/>
    <w:rsid w:val="00097D45"/>
    <w:rsid w:val="000A518B"/>
    <w:rsid w:val="000A52CA"/>
    <w:rsid w:val="000A6E85"/>
    <w:rsid w:val="000A6E9F"/>
    <w:rsid w:val="000A733E"/>
    <w:rsid w:val="000B036A"/>
    <w:rsid w:val="000B0A95"/>
    <w:rsid w:val="000B1255"/>
    <w:rsid w:val="000B19BF"/>
    <w:rsid w:val="000B1A4C"/>
    <w:rsid w:val="000B50AF"/>
    <w:rsid w:val="000B5813"/>
    <w:rsid w:val="000B740D"/>
    <w:rsid w:val="000C028A"/>
    <w:rsid w:val="000C0DAA"/>
    <w:rsid w:val="000C1A21"/>
    <w:rsid w:val="000C2EBB"/>
    <w:rsid w:val="000C335B"/>
    <w:rsid w:val="000C3AF6"/>
    <w:rsid w:val="000C5E72"/>
    <w:rsid w:val="000C6FF1"/>
    <w:rsid w:val="000D04C5"/>
    <w:rsid w:val="000D140B"/>
    <w:rsid w:val="000D2575"/>
    <w:rsid w:val="000D351B"/>
    <w:rsid w:val="000D4897"/>
    <w:rsid w:val="000D63BD"/>
    <w:rsid w:val="000E1781"/>
    <w:rsid w:val="000E34CC"/>
    <w:rsid w:val="000E483A"/>
    <w:rsid w:val="000E4A3F"/>
    <w:rsid w:val="000E5501"/>
    <w:rsid w:val="000E755F"/>
    <w:rsid w:val="000E7727"/>
    <w:rsid w:val="000E7F49"/>
    <w:rsid w:val="000F1263"/>
    <w:rsid w:val="000F1545"/>
    <w:rsid w:val="000F1F04"/>
    <w:rsid w:val="000F2490"/>
    <w:rsid w:val="000F2810"/>
    <w:rsid w:val="000F3760"/>
    <w:rsid w:val="000F42EF"/>
    <w:rsid w:val="000F501B"/>
    <w:rsid w:val="000F5D6B"/>
    <w:rsid w:val="000F711F"/>
    <w:rsid w:val="000F71C9"/>
    <w:rsid w:val="000F7FD9"/>
    <w:rsid w:val="00100127"/>
    <w:rsid w:val="00100B9C"/>
    <w:rsid w:val="001011A8"/>
    <w:rsid w:val="0010202E"/>
    <w:rsid w:val="00103349"/>
    <w:rsid w:val="0010462F"/>
    <w:rsid w:val="001064A8"/>
    <w:rsid w:val="001065B9"/>
    <w:rsid w:val="00107143"/>
    <w:rsid w:val="0010746C"/>
    <w:rsid w:val="0011065E"/>
    <w:rsid w:val="001120EE"/>
    <w:rsid w:val="001136AC"/>
    <w:rsid w:val="001151BE"/>
    <w:rsid w:val="00115871"/>
    <w:rsid w:val="00115D97"/>
    <w:rsid w:val="00116C32"/>
    <w:rsid w:val="00117CB3"/>
    <w:rsid w:val="00121812"/>
    <w:rsid w:val="00122171"/>
    <w:rsid w:val="001232B4"/>
    <w:rsid w:val="00124EA9"/>
    <w:rsid w:val="001253B0"/>
    <w:rsid w:val="001258F0"/>
    <w:rsid w:val="00130502"/>
    <w:rsid w:val="00130687"/>
    <w:rsid w:val="00130F61"/>
    <w:rsid w:val="001313E4"/>
    <w:rsid w:val="001325A1"/>
    <w:rsid w:val="00133093"/>
    <w:rsid w:val="001331F2"/>
    <w:rsid w:val="0013322A"/>
    <w:rsid w:val="00133720"/>
    <w:rsid w:val="00135688"/>
    <w:rsid w:val="00135BB1"/>
    <w:rsid w:val="00136854"/>
    <w:rsid w:val="00136C84"/>
    <w:rsid w:val="00137775"/>
    <w:rsid w:val="001377C8"/>
    <w:rsid w:val="0014089D"/>
    <w:rsid w:val="00143A05"/>
    <w:rsid w:val="00143D8F"/>
    <w:rsid w:val="00143E21"/>
    <w:rsid w:val="001454E0"/>
    <w:rsid w:val="00145592"/>
    <w:rsid w:val="001469CB"/>
    <w:rsid w:val="00150F02"/>
    <w:rsid w:val="00151F36"/>
    <w:rsid w:val="00154DCF"/>
    <w:rsid w:val="00154EC7"/>
    <w:rsid w:val="00155041"/>
    <w:rsid w:val="00160B12"/>
    <w:rsid w:val="00161591"/>
    <w:rsid w:val="0016255A"/>
    <w:rsid w:val="0016328C"/>
    <w:rsid w:val="00163EC2"/>
    <w:rsid w:val="00165E15"/>
    <w:rsid w:val="001701A3"/>
    <w:rsid w:val="001712E5"/>
    <w:rsid w:val="00171C7E"/>
    <w:rsid w:val="001723BD"/>
    <w:rsid w:val="00172FFD"/>
    <w:rsid w:val="00173267"/>
    <w:rsid w:val="00175ECA"/>
    <w:rsid w:val="001761E3"/>
    <w:rsid w:val="00176323"/>
    <w:rsid w:val="001771F6"/>
    <w:rsid w:val="001778CD"/>
    <w:rsid w:val="0018047F"/>
    <w:rsid w:val="00180D30"/>
    <w:rsid w:val="001817AC"/>
    <w:rsid w:val="00181F30"/>
    <w:rsid w:val="00181F5B"/>
    <w:rsid w:val="00183AAC"/>
    <w:rsid w:val="00184164"/>
    <w:rsid w:val="00185B7F"/>
    <w:rsid w:val="001864DB"/>
    <w:rsid w:val="00186774"/>
    <w:rsid w:val="00187259"/>
    <w:rsid w:val="001875C8"/>
    <w:rsid w:val="001907D3"/>
    <w:rsid w:val="001913C5"/>
    <w:rsid w:val="0019207E"/>
    <w:rsid w:val="00197434"/>
    <w:rsid w:val="00197822"/>
    <w:rsid w:val="001A0B68"/>
    <w:rsid w:val="001A127E"/>
    <w:rsid w:val="001A44D8"/>
    <w:rsid w:val="001A479C"/>
    <w:rsid w:val="001A4812"/>
    <w:rsid w:val="001A5B28"/>
    <w:rsid w:val="001A5C61"/>
    <w:rsid w:val="001A6A9C"/>
    <w:rsid w:val="001A7235"/>
    <w:rsid w:val="001A767E"/>
    <w:rsid w:val="001A7C25"/>
    <w:rsid w:val="001B0AF8"/>
    <w:rsid w:val="001B12C2"/>
    <w:rsid w:val="001B1721"/>
    <w:rsid w:val="001B4439"/>
    <w:rsid w:val="001B606C"/>
    <w:rsid w:val="001B6D5D"/>
    <w:rsid w:val="001C020C"/>
    <w:rsid w:val="001C0E43"/>
    <w:rsid w:val="001C1CB9"/>
    <w:rsid w:val="001C227F"/>
    <w:rsid w:val="001C2A3F"/>
    <w:rsid w:val="001C49C8"/>
    <w:rsid w:val="001C4B5D"/>
    <w:rsid w:val="001C7398"/>
    <w:rsid w:val="001D0086"/>
    <w:rsid w:val="001D30DD"/>
    <w:rsid w:val="001D46B8"/>
    <w:rsid w:val="001D51CD"/>
    <w:rsid w:val="001D567B"/>
    <w:rsid w:val="001D5888"/>
    <w:rsid w:val="001D693E"/>
    <w:rsid w:val="001E04AD"/>
    <w:rsid w:val="001E30F7"/>
    <w:rsid w:val="001E3D73"/>
    <w:rsid w:val="001E5D58"/>
    <w:rsid w:val="001E6A2F"/>
    <w:rsid w:val="001E7299"/>
    <w:rsid w:val="001E74A9"/>
    <w:rsid w:val="001F1F10"/>
    <w:rsid w:val="001F4540"/>
    <w:rsid w:val="001F489F"/>
    <w:rsid w:val="001F7120"/>
    <w:rsid w:val="001F719A"/>
    <w:rsid w:val="001F74B9"/>
    <w:rsid w:val="001F752B"/>
    <w:rsid w:val="001F761C"/>
    <w:rsid w:val="001F7E02"/>
    <w:rsid w:val="001F7EA0"/>
    <w:rsid w:val="002014C7"/>
    <w:rsid w:val="0020369D"/>
    <w:rsid w:val="00203B04"/>
    <w:rsid w:val="0020406A"/>
    <w:rsid w:val="00205CC5"/>
    <w:rsid w:val="00206E37"/>
    <w:rsid w:val="00206F6D"/>
    <w:rsid w:val="00207D9C"/>
    <w:rsid w:val="00211AB9"/>
    <w:rsid w:val="0021330B"/>
    <w:rsid w:val="00213A9A"/>
    <w:rsid w:val="00214A7E"/>
    <w:rsid w:val="002152AB"/>
    <w:rsid w:val="00215C05"/>
    <w:rsid w:val="002175FE"/>
    <w:rsid w:val="00221685"/>
    <w:rsid w:val="002218C5"/>
    <w:rsid w:val="00223254"/>
    <w:rsid w:val="00223DBE"/>
    <w:rsid w:val="00223F56"/>
    <w:rsid w:val="00224D70"/>
    <w:rsid w:val="002262D6"/>
    <w:rsid w:val="00226870"/>
    <w:rsid w:val="002276C7"/>
    <w:rsid w:val="0023032C"/>
    <w:rsid w:val="002339ED"/>
    <w:rsid w:val="002346C5"/>
    <w:rsid w:val="00234B78"/>
    <w:rsid w:val="0023571E"/>
    <w:rsid w:val="00240333"/>
    <w:rsid w:val="00240A65"/>
    <w:rsid w:val="0024116A"/>
    <w:rsid w:val="00241B44"/>
    <w:rsid w:val="00242043"/>
    <w:rsid w:val="00242399"/>
    <w:rsid w:val="00243C00"/>
    <w:rsid w:val="0024401C"/>
    <w:rsid w:val="00246A41"/>
    <w:rsid w:val="002471D6"/>
    <w:rsid w:val="002500EA"/>
    <w:rsid w:val="00250F33"/>
    <w:rsid w:val="002510DE"/>
    <w:rsid w:val="0025119B"/>
    <w:rsid w:val="002520EA"/>
    <w:rsid w:val="00253998"/>
    <w:rsid w:val="00253D7D"/>
    <w:rsid w:val="00254703"/>
    <w:rsid w:val="00256088"/>
    <w:rsid w:val="002563F1"/>
    <w:rsid w:val="00257054"/>
    <w:rsid w:val="00260848"/>
    <w:rsid w:val="00262519"/>
    <w:rsid w:val="00262AA9"/>
    <w:rsid w:val="00263BA6"/>
    <w:rsid w:val="00263D1C"/>
    <w:rsid w:val="00263EC5"/>
    <w:rsid w:val="00264D7F"/>
    <w:rsid w:val="00265E75"/>
    <w:rsid w:val="002662F5"/>
    <w:rsid w:val="002672CE"/>
    <w:rsid w:val="002674C9"/>
    <w:rsid w:val="0027059A"/>
    <w:rsid w:val="00270B5A"/>
    <w:rsid w:val="00270FC6"/>
    <w:rsid w:val="002741F3"/>
    <w:rsid w:val="00274AD8"/>
    <w:rsid w:val="00275045"/>
    <w:rsid w:val="002757E7"/>
    <w:rsid w:val="00276310"/>
    <w:rsid w:val="00276311"/>
    <w:rsid w:val="002768B5"/>
    <w:rsid w:val="00277B1D"/>
    <w:rsid w:val="0028042B"/>
    <w:rsid w:val="00281B0A"/>
    <w:rsid w:val="00282CCF"/>
    <w:rsid w:val="00283583"/>
    <w:rsid w:val="00283819"/>
    <w:rsid w:val="002844C0"/>
    <w:rsid w:val="002846D4"/>
    <w:rsid w:val="00284A69"/>
    <w:rsid w:val="00290AC9"/>
    <w:rsid w:val="00290B5E"/>
    <w:rsid w:val="00290EDD"/>
    <w:rsid w:val="00290F34"/>
    <w:rsid w:val="0029376B"/>
    <w:rsid w:val="00295738"/>
    <w:rsid w:val="00297FA9"/>
    <w:rsid w:val="002A153C"/>
    <w:rsid w:val="002A205B"/>
    <w:rsid w:val="002A23EE"/>
    <w:rsid w:val="002A2869"/>
    <w:rsid w:val="002A2EDE"/>
    <w:rsid w:val="002A3551"/>
    <w:rsid w:val="002A36A9"/>
    <w:rsid w:val="002A64FA"/>
    <w:rsid w:val="002A6AC2"/>
    <w:rsid w:val="002A6DA2"/>
    <w:rsid w:val="002A6FEB"/>
    <w:rsid w:val="002B0FF5"/>
    <w:rsid w:val="002B1908"/>
    <w:rsid w:val="002B1AA6"/>
    <w:rsid w:val="002B270F"/>
    <w:rsid w:val="002B282C"/>
    <w:rsid w:val="002B288E"/>
    <w:rsid w:val="002B31CF"/>
    <w:rsid w:val="002B533E"/>
    <w:rsid w:val="002B62B2"/>
    <w:rsid w:val="002B6BB6"/>
    <w:rsid w:val="002C07B0"/>
    <w:rsid w:val="002C10C8"/>
    <w:rsid w:val="002C1769"/>
    <w:rsid w:val="002C479C"/>
    <w:rsid w:val="002C5496"/>
    <w:rsid w:val="002C6307"/>
    <w:rsid w:val="002D20D9"/>
    <w:rsid w:val="002D2218"/>
    <w:rsid w:val="002D40DF"/>
    <w:rsid w:val="002D678F"/>
    <w:rsid w:val="002E1632"/>
    <w:rsid w:val="002E1803"/>
    <w:rsid w:val="002E405D"/>
    <w:rsid w:val="002E56D4"/>
    <w:rsid w:val="002E6364"/>
    <w:rsid w:val="002F08DA"/>
    <w:rsid w:val="002F091D"/>
    <w:rsid w:val="002F363A"/>
    <w:rsid w:val="002F667F"/>
    <w:rsid w:val="002F6870"/>
    <w:rsid w:val="00302ED1"/>
    <w:rsid w:val="00302F68"/>
    <w:rsid w:val="003040F8"/>
    <w:rsid w:val="003040FE"/>
    <w:rsid w:val="003051A2"/>
    <w:rsid w:val="00305397"/>
    <w:rsid w:val="00305635"/>
    <w:rsid w:val="00305D32"/>
    <w:rsid w:val="00305F51"/>
    <w:rsid w:val="003060D6"/>
    <w:rsid w:val="0030672E"/>
    <w:rsid w:val="00307E41"/>
    <w:rsid w:val="003100C7"/>
    <w:rsid w:val="00313C53"/>
    <w:rsid w:val="003162D4"/>
    <w:rsid w:val="00316A01"/>
    <w:rsid w:val="00316DC0"/>
    <w:rsid w:val="0032049A"/>
    <w:rsid w:val="003216C8"/>
    <w:rsid w:val="00321746"/>
    <w:rsid w:val="00322816"/>
    <w:rsid w:val="003235A7"/>
    <w:rsid w:val="00324AB1"/>
    <w:rsid w:val="00324C82"/>
    <w:rsid w:val="00325B5F"/>
    <w:rsid w:val="00325EEB"/>
    <w:rsid w:val="00325FC3"/>
    <w:rsid w:val="00326856"/>
    <w:rsid w:val="00331C98"/>
    <w:rsid w:val="00332D4B"/>
    <w:rsid w:val="00333186"/>
    <w:rsid w:val="0033341C"/>
    <w:rsid w:val="0033614F"/>
    <w:rsid w:val="00336E99"/>
    <w:rsid w:val="0034010A"/>
    <w:rsid w:val="003407FF"/>
    <w:rsid w:val="00342016"/>
    <w:rsid w:val="00342A7B"/>
    <w:rsid w:val="00342B19"/>
    <w:rsid w:val="00345205"/>
    <w:rsid w:val="00345DA5"/>
    <w:rsid w:val="00345DAD"/>
    <w:rsid w:val="00345F00"/>
    <w:rsid w:val="00346575"/>
    <w:rsid w:val="00346D70"/>
    <w:rsid w:val="00347509"/>
    <w:rsid w:val="00347C3A"/>
    <w:rsid w:val="00350392"/>
    <w:rsid w:val="00351A98"/>
    <w:rsid w:val="00354395"/>
    <w:rsid w:val="0035560C"/>
    <w:rsid w:val="003561D7"/>
    <w:rsid w:val="003567D7"/>
    <w:rsid w:val="00356930"/>
    <w:rsid w:val="00356C20"/>
    <w:rsid w:val="00357371"/>
    <w:rsid w:val="00357972"/>
    <w:rsid w:val="0036094D"/>
    <w:rsid w:val="0036182B"/>
    <w:rsid w:val="00361E54"/>
    <w:rsid w:val="00362626"/>
    <w:rsid w:val="00364316"/>
    <w:rsid w:val="00364514"/>
    <w:rsid w:val="00364618"/>
    <w:rsid w:val="00365977"/>
    <w:rsid w:val="00366EA5"/>
    <w:rsid w:val="0036740D"/>
    <w:rsid w:val="00371F62"/>
    <w:rsid w:val="00374AFA"/>
    <w:rsid w:val="00376C9B"/>
    <w:rsid w:val="00377BF5"/>
    <w:rsid w:val="00380A3D"/>
    <w:rsid w:val="00381167"/>
    <w:rsid w:val="00381692"/>
    <w:rsid w:val="00382B4B"/>
    <w:rsid w:val="00383E0D"/>
    <w:rsid w:val="0038496C"/>
    <w:rsid w:val="00384FAA"/>
    <w:rsid w:val="00385F64"/>
    <w:rsid w:val="0038710D"/>
    <w:rsid w:val="00387F91"/>
    <w:rsid w:val="00391021"/>
    <w:rsid w:val="0039162B"/>
    <w:rsid w:val="003916BC"/>
    <w:rsid w:val="0039226C"/>
    <w:rsid w:val="0039542E"/>
    <w:rsid w:val="0039605D"/>
    <w:rsid w:val="00397702"/>
    <w:rsid w:val="003A0A31"/>
    <w:rsid w:val="003A1178"/>
    <w:rsid w:val="003A58AA"/>
    <w:rsid w:val="003A5941"/>
    <w:rsid w:val="003A5CFC"/>
    <w:rsid w:val="003A6069"/>
    <w:rsid w:val="003A7DD4"/>
    <w:rsid w:val="003B0621"/>
    <w:rsid w:val="003B0CD4"/>
    <w:rsid w:val="003B2FB5"/>
    <w:rsid w:val="003B38F9"/>
    <w:rsid w:val="003B3D34"/>
    <w:rsid w:val="003B4000"/>
    <w:rsid w:val="003B4262"/>
    <w:rsid w:val="003B4638"/>
    <w:rsid w:val="003B4915"/>
    <w:rsid w:val="003B4C7F"/>
    <w:rsid w:val="003B4CEC"/>
    <w:rsid w:val="003B5686"/>
    <w:rsid w:val="003B7E16"/>
    <w:rsid w:val="003C47D9"/>
    <w:rsid w:val="003C5C84"/>
    <w:rsid w:val="003C6242"/>
    <w:rsid w:val="003C6405"/>
    <w:rsid w:val="003D02A4"/>
    <w:rsid w:val="003D31F3"/>
    <w:rsid w:val="003D385F"/>
    <w:rsid w:val="003D717A"/>
    <w:rsid w:val="003E1ABF"/>
    <w:rsid w:val="003E3688"/>
    <w:rsid w:val="003E37CA"/>
    <w:rsid w:val="003E3ACC"/>
    <w:rsid w:val="003E5036"/>
    <w:rsid w:val="003E71E6"/>
    <w:rsid w:val="003F2AAF"/>
    <w:rsid w:val="003F48E7"/>
    <w:rsid w:val="003F50EF"/>
    <w:rsid w:val="003F5768"/>
    <w:rsid w:val="003F67BB"/>
    <w:rsid w:val="003F7C50"/>
    <w:rsid w:val="00400DB2"/>
    <w:rsid w:val="00401204"/>
    <w:rsid w:val="004032FC"/>
    <w:rsid w:val="00404F7A"/>
    <w:rsid w:val="004052C9"/>
    <w:rsid w:val="00405646"/>
    <w:rsid w:val="00411F64"/>
    <w:rsid w:val="004127D8"/>
    <w:rsid w:val="00412A30"/>
    <w:rsid w:val="00412A5A"/>
    <w:rsid w:val="00412C24"/>
    <w:rsid w:val="00414B29"/>
    <w:rsid w:val="00414DA8"/>
    <w:rsid w:val="00416A48"/>
    <w:rsid w:val="00416FD7"/>
    <w:rsid w:val="00420097"/>
    <w:rsid w:val="00420F68"/>
    <w:rsid w:val="00423D42"/>
    <w:rsid w:val="00425446"/>
    <w:rsid w:val="00426ED3"/>
    <w:rsid w:val="00427E76"/>
    <w:rsid w:val="004312DE"/>
    <w:rsid w:val="00431352"/>
    <w:rsid w:val="004318B0"/>
    <w:rsid w:val="00432246"/>
    <w:rsid w:val="0043362E"/>
    <w:rsid w:val="004338CD"/>
    <w:rsid w:val="00433EC6"/>
    <w:rsid w:val="00434A99"/>
    <w:rsid w:val="0043509F"/>
    <w:rsid w:val="00442875"/>
    <w:rsid w:val="0044307A"/>
    <w:rsid w:val="00443700"/>
    <w:rsid w:val="00445918"/>
    <w:rsid w:val="00447C0D"/>
    <w:rsid w:val="00447FF0"/>
    <w:rsid w:val="00451EEF"/>
    <w:rsid w:val="00452D11"/>
    <w:rsid w:val="00453064"/>
    <w:rsid w:val="00453C9F"/>
    <w:rsid w:val="004564F6"/>
    <w:rsid w:val="00456906"/>
    <w:rsid w:val="00456A09"/>
    <w:rsid w:val="004572B4"/>
    <w:rsid w:val="00457B44"/>
    <w:rsid w:val="0046102C"/>
    <w:rsid w:val="0046273B"/>
    <w:rsid w:val="004657D8"/>
    <w:rsid w:val="00465EE1"/>
    <w:rsid w:val="00466172"/>
    <w:rsid w:val="00466404"/>
    <w:rsid w:val="00467125"/>
    <w:rsid w:val="004700A4"/>
    <w:rsid w:val="00470216"/>
    <w:rsid w:val="004726BE"/>
    <w:rsid w:val="004726EF"/>
    <w:rsid w:val="00472D5F"/>
    <w:rsid w:val="00474A0E"/>
    <w:rsid w:val="00474B42"/>
    <w:rsid w:val="004755C8"/>
    <w:rsid w:val="00475FC8"/>
    <w:rsid w:val="00476045"/>
    <w:rsid w:val="00476694"/>
    <w:rsid w:val="00481511"/>
    <w:rsid w:val="0048155A"/>
    <w:rsid w:val="0048187A"/>
    <w:rsid w:val="00481C2E"/>
    <w:rsid w:val="00481D2D"/>
    <w:rsid w:val="00486F99"/>
    <w:rsid w:val="00490EF5"/>
    <w:rsid w:val="00491B58"/>
    <w:rsid w:val="00491C8A"/>
    <w:rsid w:val="00492951"/>
    <w:rsid w:val="004951F1"/>
    <w:rsid w:val="004954D7"/>
    <w:rsid w:val="00496741"/>
    <w:rsid w:val="0049682F"/>
    <w:rsid w:val="00497E8A"/>
    <w:rsid w:val="004A3F20"/>
    <w:rsid w:val="004A6282"/>
    <w:rsid w:val="004A7108"/>
    <w:rsid w:val="004B0227"/>
    <w:rsid w:val="004B0D8F"/>
    <w:rsid w:val="004B204F"/>
    <w:rsid w:val="004B221E"/>
    <w:rsid w:val="004B2A24"/>
    <w:rsid w:val="004B2D7D"/>
    <w:rsid w:val="004B2DC5"/>
    <w:rsid w:val="004B3719"/>
    <w:rsid w:val="004B3B34"/>
    <w:rsid w:val="004B40FD"/>
    <w:rsid w:val="004B5844"/>
    <w:rsid w:val="004B6E00"/>
    <w:rsid w:val="004B7AE1"/>
    <w:rsid w:val="004B7CE7"/>
    <w:rsid w:val="004C03C1"/>
    <w:rsid w:val="004C0DBA"/>
    <w:rsid w:val="004C1F38"/>
    <w:rsid w:val="004C2376"/>
    <w:rsid w:val="004C6BB8"/>
    <w:rsid w:val="004C7169"/>
    <w:rsid w:val="004D00CE"/>
    <w:rsid w:val="004D13C8"/>
    <w:rsid w:val="004D17D6"/>
    <w:rsid w:val="004D193A"/>
    <w:rsid w:val="004D1FAC"/>
    <w:rsid w:val="004D25B3"/>
    <w:rsid w:val="004D3F3F"/>
    <w:rsid w:val="004D422A"/>
    <w:rsid w:val="004D44C0"/>
    <w:rsid w:val="004D4A74"/>
    <w:rsid w:val="004D6749"/>
    <w:rsid w:val="004D680B"/>
    <w:rsid w:val="004E0A3B"/>
    <w:rsid w:val="004E0BD5"/>
    <w:rsid w:val="004E1A15"/>
    <w:rsid w:val="004E2169"/>
    <w:rsid w:val="004E34A4"/>
    <w:rsid w:val="004E36A4"/>
    <w:rsid w:val="004E5352"/>
    <w:rsid w:val="004E59A7"/>
    <w:rsid w:val="004E6903"/>
    <w:rsid w:val="004E7839"/>
    <w:rsid w:val="004E7A06"/>
    <w:rsid w:val="004E7CBE"/>
    <w:rsid w:val="004F031A"/>
    <w:rsid w:val="004F04FF"/>
    <w:rsid w:val="004F0761"/>
    <w:rsid w:val="004F0F07"/>
    <w:rsid w:val="004F1B7E"/>
    <w:rsid w:val="004F299B"/>
    <w:rsid w:val="004F3BB1"/>
    <w:rsid w:val="004F4457"/>
    <w:rsid w:val="004F5C8C"/>
    <w:rsid w:val="004F6800"/>
    <w:rsid w:val="0050051C"/>
    <w:rsid w:val="00500D70"/>
    <w:rsid w:val="00501CED"/>
    <w:rsid w:val="00503C48"/>
    <w:rsid w:val="00504345"/>
    <w:rsid w:val="005045DD"/>
    <w:rsid w:val="0050525C"/>
    <w:rsid w:val="00505C27"/>
    <w:rsid w:val="00507F84"/>
    <w:rsid w:val="0051163C"/>
    <w:rsid w:val="0051177E"/>
    <w:rsid w:val="00512A86"/>
    <w:rsid w:val="0051389D"/>
    <w:rsid w:val="0051605A"/>
    <w:rsid w:val="00517D50"/>
    <w:rsid w:val="00517D68"/>
    <w:rsid w:val="005221DF"/>
    <w:rsid w:val="005227D9"/>
    <w:rsid w:val="0052303D"/>
    <w:rsid w:val="00523688"/>
    <w:rsid w:val="00523C4B"/>
    <w:rsid w:val="00524DDE"/>
    <w:rsid w:val="0053023D"/>
    <w:rsid w:val="005303F4"/>
    <w:rsid w:val="00531A7B"/>
    <w:rsid w:val="00531C54"/>
    <w:rsid w:val="00534445"/>
    <w:rsid w:val="00537893"/>
    <w:rsid w:val="00537CAC"/>
    <w:rsid w:val="00540343"/>
    <w:rsid w:val="00540D49"/>
    <w:rsid w:val="00543C9C"/>
    <w:rsid w:val="005448EC"/>
    <w:rsid w:val="0054686A"/>
    <w:rsid w:val="00547F48"/>
    <w:rsid w:val="00551C70"/>
    <w:rsid w:val="0055241C"/>
    <w:rsid w:val="0055290C"/>
    <w:rsid w:val="00553756"/>
    <w:rsid w:val="00554E0B"/>
    <w:rsid w:val="00555D92"/>
    <w:rsid w:val="00556701"/>
    <w:rsid w:val="00556CA8"/>
    <w:rsid w:val="00556F2B"/>
    <w:rsid w:val="005573ED"/>
    <w:rsid w:val="0055740A"/>
    <w:rsid w:val="005574AE"/>
    <w:rsid w:val="00560703"/>
    <w:rsid w:val="0056203C"/>
    <w:rsid w:val="005629AB"/>
    <w:rsid w:val="00564F64"/>
    <w:rsid w:val="005657B2"/>
    <w:rsid w:val="00565E33"/>
    <w:rsid w:val="00565EB2"/>
    <w:rsid w:val="0056699D"/>
    <w:rsid w:val="0056714C"/>
    <w:rsid w:val="0056739C"/>
    <w:rsid w:val="00567EBC"/>
    <w:rsid w:val="005706D2"/>
    <w:rsid w:val="00570916"/>
    <w:rsid w:val="00571D86"/>
    <w:rsid w:val="005728B7"/>
    <w:rsid w:val="00575426"/>
    <w:rsid w:val="00576422"/>
    <w:rsid w:val="00577D9A"/>
    <w:rsid w:val="00580BF3"/>
    <w:rsid w:val="00581BCC"/>
    <w:rsid w:val="00581E16"/>
    <w:rsid w:val="0058201B"/>
    <w:rsid w:val="005831A5"/>
    <w:rsid w:val="00583758"/>
    <w:rsid w:val="00583900"/>
    <w:rsid w:val="00584D4C"/>
    <w:rsid w:val="00585826"/>
    <w:rsid w:val="005859F4"/>
    <w:rsid w:val="00586DDE"/>
    <w:rsid w:val="00587003"/>
    <w:rsid w:val="00587055"/>
    <w:rsid w:val="00590499"/>
    <w:rsid w:val="00590FC4"/>
    <w:rsid w:val="005924DA"/>
    <w:rsid w:val="00593F7F"/>
    <w:rsid w:val="00595BFA"/>
    <w:rsid w:val="005965D2"/>
    <w:rsid w:val="005975CD"/>
    <w:rsid w:val="005A0229"/>
    <w:rsid w:val="005A0699"/>
    <w:rsid w:val="005A14B4"/>
    <w:rsid w:val="005A1625"/>
    <w:rsid w:val="005A2445"/>
    <w:rsid w:val="005A27C0"/>
    <w:rsid w:val="005A33A4"/>
    <w:rsid w:val="005A377E"/>
    <w:rsid w:val="005A651F"/>
    <w:rsid w:val="005A669C"/>
    <w:rsid w:val="005A66D7"/>
    <w:rsid w:val="005A67FE"/>
    <w:rsid w:val="005A6C77"/>
    <w:rsid w:val="005A7233"/>
    <w:rsid w:val="005A74BE"/>
    <w:rsid w:val="005B0527"/>
    <w:rsid w:val="005B1442"/>
    <w:rsid w:val="005B25EB"/>
    <w:rsid w:val="005B38F7"/>
    <w:rsid w:val="005B44BD"/>
    <w:rsid w:val="005B475B"/>
    <w:rsid w:val="005B56F7"/>
    <w:rsid w:val="005B5DD6"/>
    <w:rsid w:val="005B62FA"/>
    <w:rsid w:val="005B650A"/>
    <w:rsid w:val="005B6C9B"/>
    <w:rsid w:val="005B6F72"/>
    <w:rsid w:val="005B747B"/>
    <w:rsid w:val="005C5BEC"/>
    <w:rsid w:val="005C74C7"/>
    <w:rsid w:val="005C7BAD"/>
    <w:rsid w:val="005D165E"/>
    <w:rsid w:val="005D3DB0"/>
    <w:rsid w:val="005D6978"/>
    <w:rsid w:val="005E05B3"/>
    <w:rsid w:val="005E1CA7"/>
    <w:rsid w:val="005E2090"/>
    <w:rsid w:val="005E2FAE"/>
    <w:rsid w:val="005E3775"/>
    <w:rsid w:val="005E3CA5"/>
    <w:rsid w:val="005E4A47"/>
    <w:rsid w:val="005E6B9C"/>
    <w:rsid w:val="005E7E78"/>
    <w:rsid w:val="005F05C2"/>
    <w:rsid w:val="005F1AA7"/>
    <w:rsid w:val="005F1E20"/>
    <w:rsid w:val="005F30CC"/>
    <w:rsid w:val="005F4071"/>
    <w:rsid w:val="005F6244"/>
    <w:rsid w:val="00600A00"/>
    <w:rsid w:val="00602677"/>
    <w:rsid w:val="006029EC"/>
    <w:rsid w:val="00602C2C"/>
    <w:rsid w:val="006032A5"/>
    <w:rsid w:val="006039C5"/>
    <w:rsid w:val="006042BF"/>
    <w:rsid w:val="00604BA6"/>
    <w:rsid w:val="006058A3"/>
    <w:rsid w:val="00606706"/>
    <w:rsid w:val="00606E7F"/>
    <w:rsid w:val="006071BD"/>
    <w:rsid w:val="0061037B"/>
    <w:rsid w:val="006128A9"/>
    <w:rsid w:val="0061386E"/>
    <w:rsid w:val="0061503F"/>
    <w:rsid w:val="006150A3"/>
    <w:rsid w:val="006158E8"/>
    <w:rsid w:val="0061640C"/>
    <w:rsid w:val="00616E0E"/>
    <w:rsid w:val="00617B01"/>
    <w:rsid w:val="00620846"/>
    <w:rsid w:val="00620B41"/>
    <w:rsid w:val="00624E11"/>
    <w:rsid w:val="00625AF4"/>
    <w:rsid w:val="006277D8"/>
    <w:rsid w:val="0062795F"/>
    <w:rsid w:val="00627B92"/>
    <w:rsid w:val="006314FA"/>
    <w:rsid w:val="00631B59"/>
    <w:rsid w:val="00631D3B"/>
    <w:rsid w:val="00634FFD"/>
    <w:rsid w:val="006365D4"/>
    <w:rsid w:val="006367E7"/>
    <w:rsid w:val="006372CC"/>
    <w:rsid w:val="00637469"/>
    <w:rsid w:val="00637646"/>
    <w:rsid w:val="00641598"/>
    <w:rsid w:val="00642BD0"/>
    <w:rsid w:val="00643782"/>
    <w:rsid w:val="00644062"/>
    <w:rsid w:val="00644478"/>
    <w:rsid w:val="0064611E"/>
    <w:rsid w:val="00646163"/>
    <w:rsid w:val="0064656B"/>
    <w:rsid w:val="00646BF7"/>
    <w:rsid w:val="006512C3"/>
    <w:rsid w:val="00652113"/>
    <w:rsid w:val="0065298B"/>
    <w:rsid w:val="00653649"/>
    <w:rsid w:val="00653697"/>
    <w:rsid w:val="00653D74"/>
    <w:rsid w:val="00653FA1"/>
    <w:rsid w:val="0065420F"/>
    <w:rsid w:val="00654743"/>
    <w:rsid w:val="00654AB6"/>
    <w:rsid w:val="006550BB"/>
    <w:rsid w:val="00655A9B"/>
    <w:rsid w:val="00655AC5"/>
    <w:rsid w:val="00655BC4"/>
    <w:rsid w:val="00657873"/>
    <w:rsid w:val="00657CA7"/>
    <w:rsid w:val="00660510"/>
    <w:rsid w:val="00660D42"/>
    <w:rsid w:val="0066102D"/>
    <w:rsid w:val="0066128B"/>
    <w:rsid w:val="006617DE"/>
    <w:rsid w:val="00662C17"/>
    <w:rsid w:val="00663330"/>
    <w:rsid w:val="00663423"/>
    <w:rsid w:val="00663593"/>
    <w:rsid w:val="00664646"/>
    <w:rsid w:val="00665103"/>
    <w:rsid w:val="0066692B"/>
    <w:rsid w:val="00666BE6"/>
    <w:rsid w:val="006727B8"/>
    <w:rsid w:val="00673B44"/>
    <w:rsid w:val="0067446B"/>
    <w:rsid w:val="0067484A"/>
    <w:rsid w:val="006752A4"/>
    <w:rsid w:val="006758F0"/>
    <w:rsid w:val="00675909"/>
    <w:rsid w:val="00675AAB"/>
    <w:rsid w:val="00675E2C"/>
    <w:rsid w:val="0067634F"/>
    <w:rsid w:val="00676F23"/>
    <w:rsid w:val="006772BD"/>
    <w:rsid w:val="00677305"/>
    <w:rsid w:val="006800AC"/>
    <w:rsid w:val="00681248"/>
    <w:rsid w:val="0068217E"/>
    <w:rsid w:val="0068255C"/>
    <w:rsid w:val="006825F3"/>
    <w:rsid w:val="00683491"/>
    <w:rsid w:val="00685F21"/>
    <w:rsid w:val="00687CD0"/>
    <w:rsid w:val="006907DC"/>
    <w:rsid w:val="00690B3A"/>
    <w:rsid w:val="00694E90"/>
    <w:rsid w:val="006A034F"/>
    <w:rsid w:val="006A1E9B"/>
    <w:rsid w:val="006A35B6"/>
    <w:rsid w:val="006A462D"/>
    <w:rsid w:val="006A4F7F"/>
    <w:rsid w:val="006A532D"/>
    <w:rsid w:val="006A6424"/>
    <w:rsid w:val="006A69BF"/>
    <w:rsid w:val="006A69C3"/>
    <w:rsid w:val="006A6A0E"/>
    <w:rsid w:val="006A73EE"/>
    <w:rsid w:val="006A74B9"/>
    <w:rsid w:val="006A783F"/>
    <w:rsid w:val="006B190C"/>
    <w:rsid w:val="006B2BA7"/>
    <w:rsid w:val="006B2D79"/>
    <w:rsid w:val="006B4551"/>
    <w:rsid w:val="006B5A41"/>
    <w:rsid w:val="006B6236"/>
    <w:rsid w:val="006B66CC"/>
    <w:rsid w:val="006B6E06"/>
    <w:rsid w:val="006B7324"/>
    <w:rsid w:val="006C0970"/>
    <w:rsid w:val="006C5178"/>
    <w:rsid w:val="006C5D30"/>
    <w:rsid w:val="006C6370"/>
    <w:rsid w:val="006C6C86"/>
    <w:rsid w:val="006C6FEE"/>
    <w:rsid w:val="006D08BC"/>
    <w:rsid w:val="006D19C6"/>
    <w:rsid w:val="006D281F"/>
    <w:rsid w:val="006D2E58"/>
    <w:rsid w:val="006D3CDE"/>
    <w:rsid w:val="006D4438"/>
    <w:rsid w:val="006D63DA"/>
    <w:rsid w:val="006D6EB0"/>
    <w:rsid w:val="006E1C14"/>
    <w:rsid w:val="006E2ADB"/>
    <w:rsid w:val="006E2FFC"/>
    <w:rsid w:val="006E5824"/>
    <w:rsid w:val="006E6145"/>
    <w:rsid w:val="006E6C92"/>
    <w:rsid w:val="006F0357"/>
    <w:rsid w:val="006F0DFA"/>
    <w:rsid w:val="006F1EEA"/>
    <w:rsid w:val="006F2515"/>
    <w:rsid w:val="006F2BF5"/>
    <w:rsid w:val="006F3209"/>
    <w:rsid w:val="006F358A"/>
    <w:rsid w:val="006F3E09"/>
    <w:rsid w:val="006F4B4F"/>
    <w:rsid w:val="006F5699"/>
    <w:rsid w:val="006F68E4"/>
    <w:rsid w:val="006F6FA1"/>
    <w:rsid w:val="006F76D5"/>
    <w:rsid w:val="006F7D38"/>
    <w:rsid w:val="007003BF"/>
    <w:rsid w:val="00700467"/>
    <w:rsid w:val="007009EF"/>
    <w:rsid w:val="007013A4"/>
    <w:rsid w:val="007023E8"/>
    <w:rsid w:val="007038A2"/>
    <w:rsid w:val="0070391E"/>
    <w:rsid w:val="00704319"/>
    <w:rsid w:val="00705464"/>
    <w:rsid w:val="00705D7F"/>
    <w:rsid w:val="00706584"/>
    <w:rsid w:val="0071086A"/>
    <w:rsid w:val="0071174D"/>
    <w:rsid w:val="007117E0"/>
    <w:rsid w:val="0071279D"/>
    <w:rsid w:val="00712CE9"/>
    <w:rsid w:val="00713161"/>
    <w:rsid w:val="007162A4"/>
    <w:rsid w:val="00716B02"/>
    <w:rsid w:val="00716C18"/>
    <w:rsid w:val="00717E10"/>
    <w:rsid w:val="00717FD0"/>
    <w:rsid w:val="00721D06"/>
    <w:rsid w:val="00722026"/>
    <w:rsid w:val="0072403E"/>
    <w:rsid w:val="00724701"/>
    <w:rsid w:val="007249FA"/>
    <w:rsid w:val="007262AF"/>
    <w:rsid w:val="00726311"/>
    <w:rsid w:val="00726706"/>
    <w:rsid w:val="007268CE"/>
    <w:rsid w:val="00726BCA"/>
    <w:rsid w:val="007276C4"/>
    <w:rsid w:val="00727DCB"/>
    <w:rsid w:val="00732B58"/>
    <w:rsid w:val="00732EFE"/>
    <w:rsid w:val="00733856"/>
    <w:rsid w:val="00734EF9"/>
    <w:rsid w:val="007403A6"/>
    <w:rsid w:val="0074363E"/>
    <w:rsid w:val="00743D28"/>
    <w:rsid w:val="0074426F"/>
    <w:rsid w:val="007453C3"/>
    <w:rsid w:val="007474E0"/>
    <w:rsid w:val="007478D1"/>
    <w:rsid w:val="00747ACC"/>
    <w:rsid w:val="007525B5"/>
    <w:rsid w:val="00757100"/>
    <w:rsid w:val="00757734"/>
    <w:rsid w:val="007614CD"/>
    <w:rsid w:val="007615A1"/>
    <w:rsid w:val="0076221B"/>
    <w:rsid w:val="0076350E"/>
    <w:rsid w:val="00764CD1"/>
    <w:rsid w:val="007663D7"/>
    <w:rsid w:val="00770EFE"/>
    <w:rsid w:val="007710F7"/>
    <w:rsid w:val="00771970"/>
    <w:rsid w:val="0077545B"/>
    <w:rsid w:val="0077561E"/>
    <w:rsid w:val="007756FC"/>
    <w:rsid w:val="00775870"/>
    <w:rsid w:val="007765B4"/>
    <w:rsid w:val="00777345"/>
    <w:rsid w:val="007775C1"/>
    <w:rsid w:val="0077761C"/>
    <w:rsid w:val="007779FA"/>
    <w:rsid w:val="00780A2C"/>
    <w:rsid w:val="007841F3"/>
    <w:rsid w:val="00784E9A"/>
    <w:rsid w:val="00785F1B"/>
    <w:rsid w:val="00785FEE"/>
    <w:rsid w:val="007867C7"/>
    <w:rsid w:val="00787B72"/>
    <w:rsid w:val="00790FBD"/>
    <w:rsid w:val="00791335"/>
    <w:rsid w:val="00791E5F"/>
    <w:rsid w:val="007922E5"/>
    <w:rsid w:val="00792489"/>
    <w:rsid w:val="0079254B"/>
    <w:rsid w:val="00792ED3"/>
    <w:rsid w:val="007931C8"/>
    <w:rsid w:val="0079373A"/>
    <w:rsid w:val="007937CF"/>
    <w:rsid w:val="00793ED7"/>
    <w:rsid w:val="00795BB9"/>
    <w:rsid w:val="00795C7A"/>
    <w:rsid w:val="00795D53"/>
    <w:rsid w:val="0079625D"/>
    <w:rsid w:val="00796610"/>
    <w:rsid w:val="0079684E"/>
    <w:rsid w:val="00796B36"/>
    <w:rsid w:val="007A0D71"/>
    <w:rsid w:val="007A1D66"/>
    <w:rsid w:val="007A4A4F"/>
    <w:rsid w:val="007A4A71"/>
    <w:rsid w:val="007A5F0C"/>
    <w:rsid w:val="007A6C69"/>
    <w:rsid w:val="007A70FB"/>
    <w:rsid w:val="007A7226"/>
    <w:rsid w:val="007B072F"/>
    <w:rsid w:val="007B0803"/>
    <w:rsid w:val="007B0A34"/>
    <w:rsid w:val="007B11E5"/>
    <w:rsid w:val="007B1D48"/>
    <w:rsid w:val="007B51A5"/>
    <w:rsid w:val="007B6049"/>
    <w:rsid w:val="007B6B14"/>
    <w:rsid w:val="007B753A"/>
    <w:rsid w:val="007C0224"/>
    <w:rsid w:val="007C036A"/>
    <w:rsid w:val="007C18C4"/>
    <w:rsid w:val="007C2242"/>
    <w:rsid w:val="007C2F52"/>
    <w:rsid w:val="007C4C98"/>
    <w:rsid w:val="007C54CA"/>
    <w:rsid w:val="007C573D"/>
    <w:rsid w:val="007C6660"/>
    <w:rsid w:val="007C6ECF"/>
    <w:rsid w:val="007C7F7B"/>
    <w:rsid w:val="007D0356"/>
    <w:rsid w:val="007D0958"/>
    <w:rsid w:val="007D3454"/>
    <w:rsid w:val="007D3B43"/>
    <w:rsid w:val="007D46E2"/>
    <w:rsid w:val="007D6F3B"/>
    <w:rsid w:val="007D7864"/>
    <w:rsid w:val="007E00BB"/>
    <w:rsid w:val="007E07E2"/>
    <w:rsid w:val="007E3146"/>
    <w:rsid w:val="007E39FA"/>
    <w:rsid w:val="007E41D9"/>
    <w:rsid w:val="007E448A"/>
    <w:rsid w:val="007E685C"/>
    <w:rsid w:val="007E75D7"/>
    <w:rsid w:val="007F0340"/>
    <w:rsid w:val="007F0786"/>
    <w:rsid w:val="007F0E41"/>
    <w:rsid w:val="007F1232"/>
    <w:rsid w:val="007F1FEE"/>
    <w:rsid w:val="007F2294"/>
    <w:rsid w:val="007F2C6C"/>
    <w:rsid w:val="007F2EBB"/>
    <w:rsid w:val="007F409C"/>
    <w:rsid w:val="007F4368"/>
    <w:rsid w:val="007F4FFE"/>
    <w:rsid w:val="007F5F92"/>
    <w:rsid w:val="007F7489"/>
    <w:rsid w:val="007F7C8E"/>
    <w:rsid w:val="008005A5"/>
    <w:rsid w:val="0080098C"/>
    <w:rsid w:val="00800FA3"/>
    <w:rsid w:val="00803DAC"/>
    <w:rsid w:val="008047EC"/>
    <w:rsid w:val="0080542F"/>
    <w:rsid w:val="00806EE9"/>
    <w:rsid w:val="00807866"/>
    <w:rsid w:val="00810054"/>
    <w:rsid w:val="008107A3"/>
    <w:rsid w:val="00810A36"/>
    <w:rsid w:val="008135BC"/>
    <w:rsid w:val="0081370D"/>
    <w:rsid w:val="0081405B"/>
    <w:rsid w:val="00814ADF"/>
    <w:rsid w:val="00814F87"/>
    <w:rsid w:val="00815267"/>
    <w:rsid w:val="008156EF"/>
    <w:rsid w:val="00817DB0"/>
    <w:rsid w:val="00820DC3"/>
    <w:rsid w:val="0082167F"/>
    <w:rsid w:val="00823100"/>
    <w:rsid w:val="008231AB"/>
    <w:rsid w:val="00823FC5"/>
    <w:rsid w:val="008240AD"/>
    <w:rsid w:val="00825443"/>
    <w:rsid w:val="00826CAA"/>
    <w:rsid w:val="008273A5"/>
    <w:rsid w:val="00827BFF"/>
    <w:rsid w:val="0083000A"/>
    <w:rsid w:val="00832F10"/>
    <w:rsid w:val="008330D8"/>
    <w:rsid w:val="00833B28"/>
    <w:rsid w:val="00835CC3"/>
    <w:rsid w:val="00836690"/>
    <w:rsid w:val="00841DA0"/>
    <w:rsid w:val="00841F03"/>
    <w:rsid w:val="00842A88"/>
    <w:rsid w:val="008441D0"/>
    <w:rsid w:val="0084492D"/>
    <w:rsid w:val="00846A63"/>
    <w:rsid w:val="008470A8"/>
    <w:rsid w:val="00847826"/>
    <w:rsid w:val="00847B76"/>
    <w:rsid w:val="00850701"/>
    <w:rsid w:val="008510C8"/>
    <w:rsid w:val="00852F93"/>
    <w:rsid w:val="008532EC"/>
    <w:rsid w:val="008535DE"/>
    <w:rsid w:val="00853AEC"/>
    <w:rsid w:val="008540EC"/>
    <w:rsid w:val="00854635"/>
    <w:rsid w:val="008569E3"/>
    <w:rsid w:val="00856C4E"/>
    <w:rsid w:val="008603C1"/>
    <w:rsid w:val="00860F28"/>
    <w:rsid w:val="00861A59"/>
    <w:rsid w:val="00861E4D"/>
    <w:rsid w:val="00862A85"/>
    <w:rsid w:val="00865858"/>
    <w:rsid w:val="00865938"/>
    <w:rsid w:val="00866BF7"/>
    <w:rsid w:val="00866D2B"/>
    <w:rsid w:val="008671A0"/>
    <w:rsid w:val="00870FED"/>
    <w:rsid w:val="008724B1"/>
    <w:rsid w:val="008726CD"/>
    <w:rsid w:val="008738BB"/>
    <w:rsid w:val="00874EC8"/>
    <w:rsid w:val="00875472"/>
    <w:rsid w:val="00875AC7"/>
    <w:rsid w:val="00875F7B"/>
    <w:rsid w:val="00876DBF"/>
    <w:rsid w:val="00880A46"/>
    <w:rsid w:val="00881211"/>
    <w:rsid w:val="008821C6"/>
    <w:rsid w:val="008826C6"/>
    <w:rsid w:val="00884335"/>
    <w:rsid w:val="008854DC"/>
    <w:rsid w:val="00886929"/>
    <w:rsid w:val="00887354"/>
    <w:rsid w:val="00887CAD"/>
    <w:rsid w:val="008911CB"/>
    <w:rsid w:val="00892EF1"/>
    <w:rsid w:val="00893C9C"/>
    <w:rsid w:val="00894C03"/>
    <w:rsid w:val="00895F5E"/>
    <w:rsid w:val="008A0311"/>
    <w:rsid w:val="008A10DB"/>
    <w:rsid w:val="008A1F1B"/>
    <w:rsid w:val="008A217B"/>
    <w:rsid w:val="008A359F"/>
    <w:rsid w:val="008A3B29"/>
    <w:rsid w:val="008A3C1A"/>
    <w:rsid w:val="008A4520"/>
    <w:rsid w:val="008A47A9"/>
    <w:rsid w:val="008A5233"/>
    <w:rsid w:val="008A72F7"/>
    <w:rsid w:val="008A7A34"/>
    <w:rsid w:val="008B04B8"/>
    <w:rsid w:val="008B1853"/>
    <w:rsid w:val="008B1AEF"/>
    <w:rsid w:val="008B1F16"/>
    <w:rsid w:val="008B2185"/>
    <w:rsid w:val="008B225F"/>
    <w:rsid w:val="008B29D2"/>
    <w:rsid w:val="008B2A92"/>
    <w:rsid w:val="008B423D"/>
    <w:rsid w:val="008B46C8"/>
    <w:rsid w:val="008B5DAD"/>
    <w:rsid w:val="008B66F8"/>
    <w:rsid w:val="008B7703"/>
    <w:rsid w:val="008B7F99"/>
    <w:rsid w:val="008C011A"/>
    <w:rsid w:val="008C0D99"/>
    <w:rsid w:val="008C18E1"/>
    <w:rsid w:val="008C25FF"/>
    <w:rsid w:val="008C263A"/>
    <w:rsid w:val="008C5852"/>
    <w:rsid w:val="008C5C49"/>
    <w:rsid w:val="008C5E1F"/>
    <w:rsid w:val="008C6472"/>
    <w:rsid w:val="008C7B2A"/>
    <w:rsid w:val="008C7F3E"/>
    <w:rsid w:val="008D04C4"/>
    <w:rsid w:val="008D060D"/>
    <w:rsid w:val="008D11C0"/>
    <w:rsid w:val="008D1F8F"/>
    <w:rsid w:val="008D3001"/>
    <w:rsid w:val="008D3948"/>
    <w:rsid w:val="008D4623"/>
    <w:rsid w:val="008D4771"/>
    <w:rsid w:val="008D5343"/>
    <w:rsid w:val="008D658C"/>
    <w:rsid w:val="008D75AC"/>
    <w:rsid w:val="008E0AA7"/>
    <w:rsid w:val="008E25A0"/>
    <w:rsid w:val="008E262F"/>
    <w:rsid w:val="008E4BF9"/>
    <w:rsid w:val="008E550D"/>
    <w:rsid w:val="008F1360"/>
    <w:rsid w:val="009003EB"/>
    <w:rsid w:val="0090079E"/>
    <w:rsid w:val="00900FF5"/>
    <w:rsid w:val="00902972"/>
    <w:rsid w:val="00902AA2"/>
    <w:rsid w:val="00905461"/>
    <w:rsid w:val="00905521"/>
    <w:rsid w:val="00910458"/>
    <w:rsid w:val="0091095A"/>
    <w:rsid w:val="00910A33"/>
    <w:rsid w:val="00911681"/>
    <w:rsid w:val="00912A6B"/>
    <w:rsid w:val="00913691"/>
    <w:rsid w:val="00915A72"/>
    <w:rsid w:val="00915EB1"/>
    <w:rsid w:val="0091658D"/>
    <w:rsid w:val="00917313"/>
    <w:rsid w:val="00917942"/>
    <w:rsid w:val="00920DF7"/>
    <w:rsid w:val="00922763"/>
    <w:rsid w:val="009227EC"/>
    <w:rsid w:val="00922CBE"/>
    <w:rsid w:val="00923E11"/>
    <w:rsid w:val="00923F44"/>
    <w:rsid w:val="00924715"/>
    <w:rsid w:val="0092795C"/>
    <w:rsid w:val="009306F9"/>
    <w:rsid w:val="00930BFD"/>
    <w:rsid w:val="00930E0F"/>
    <w:rsid w:val="00930EF6"/>
    <w:rsid w:val="009314CA"/>
    <w:rsid w:val="0093160F"/>
    <w:rsid w:val="00931D8A"/>
    <w:rsid w:val="009325C8"/>
    <w:rsid w:val="009330BE"/>
    <w:rsid w:val="009340E0"/>
    <w:rsid w:val="00936A1F"/>
    <w:rsid w:val="0094191F"/>
    <w:rsid w:val="00942E19"/>
    <w:rsid w:val="00942F45"/>
    <w:rsid w:val="00943906"/>
    <w:rsid w:val="00944D97"/>
    <w:rsid w:val="00950321"/>
    <w:rsid w:val="009505B9"/>
    <w:rsid w:val="009517BA"/>
    <w:rsid w:val="00952F6D"/>
    <w:rsid w:val="00953917"/>
    <w:rsid w:val="00955185"/>
    <w:rsid w:val="00955DBE"/>
    <w:rsid w:val="00957638"/>
    <w:rsid w:val="009607E4"/>
    <w:rsid w:val="00961490"/>
    <w:rsid w:val="0096388C"/>
    <w:rsid w:val="00963B34"/>
    <w:rsid w:val="00963D5E"/>
    <w:rsid w:val="00964216"/>
    <w:rsid w:val="00964A87"/>
    <w:rsid w:val="00965F06"/>
    <w:rsid w:val="0096622A"/>
    <w:rsid w:val="00966C88"/>
    <w:rsid w:val="00966D7E"/>
    <w:rsid w:val="009675C9"/>
    <w:rsid w:val="0097250A"/>
    <w:rsid w:val="00972DEA"/>
    <w:rsid w:val="009736DA"/>
    <w:rsid w:val="00973702"/>
    <w:rsid w:val="009739ED"/>
    <w:rsid w:val="00975661"/>
    <w:rsid w:val="009762D4"/>
    <w:rsid w:val="0098026A"/>
    <w:rsid w:val="009803A6"/>
    <w:rsid w:val="00981E91"/>
    <w:rsid w:val="009831C0"/>
    <w:rsid w:val="009832A2"/>
    <w:rsid w:val="00984512"/>
    <w:rsid w:val="0098496A"/>
    <w:rsid w:val="00985881"/>
    <w:rsid w:val="00986925"/>
    <w:rsid w:val="00987962"/>
    <w:rsid w:val="00990844"/>
    <w:rsid w:val="00990D02"/>
    <w:rsid w:val="00992556"/>
    <w:rsid w:val="00993DC9"/>
    <w:rsid w:val="009941E9"/>
    <w:rsid w:val="00996F7B"/>
    <w:rsid w:val="00997222"/>
    <w:rsid w:val="009A1355"/>
    <w:rsid w:val="009A19DD"/>
    <w:rsid w:val="009A357F"/>
    <w:rsid w:val="009A4B6F"/>
    <w:rsid w:val="009A4D6C"/>
    <w:rsid w:val="009A52CC"/>
    <w:rsid w:val="009A57AA"/>
    <w:rsid w:val="009A5A96"/>
    <w:rsid w:val="009A6E7F"/>
    <w:rsid w:val="009B04D3"/>
    <w:rsid w:val="009B08F9"/>
    <w:rsid w:val="009B2C4A"/>
    <w:rsid w:val="009B4ED3"/>
    <w:rsid w:val="009B6CB5"/>
    <w:rsid w:val="009C0603"/>
    <w:rsid w:val="009C0E4E"/>
    <w:rsid w:val="009C160D"/>
    <w:rsid w:val="009C3ABD"/>
    <w:rsid w:val="009C3F7A"/>
    <w:rsid w:val="009C5960"/>
    <w:rsid w:val="009C5985"/>
    <w:rsid w:val="009C6C4F"/>
    <w:rsid w:val="009D0A12"/>
    <w:rsid w:val="009D135B"/>
    <w:rsid w:val="009D39FF"/>
    <w:rsid w:val="009D61F1"/>
    <w:rsid w:val="009D6734"/>
    <w:rsid w:val="009E2584"/>
    <w:rsid w:val="009E3407"/>
    <w:rsid w:val="009E373B"/>
    <w:rsid w:val="009E4703"/>
    <w:rsid w:val="009E4C3D"/>
    <w:rsid w:val="009E5E07"/>
    <w:rsid w:val="009E6335"/>
    <w:rsid w:val="009E6E88"/>
    <w:rsid w:val="009E7758"/>
    <w:rsid w:val="009F163B"/>
    <w:rsid w:val="009F2382"/>
    <w:rsid w:val="009F2F47"/>
    <w:rsid w:val="009F381E"/>
    <w:rsid w:val="009F4510"/>
    <w:rsid w:val="009F471E"/>
    <w:rsid w:val="009F47B4"/>
    <w:rsid w:val="009F506E"/>
    <w:rsid w:val="009F6384"/>
    <w:rsid w:val="009F6F9B"/>
    <w:rsid w:val="00A004AE"/>
    <w:rsid w:val="00A01185"/>
    <w:rsid w:val="00A02629"/>
    <w:rsid w:val="00A03B52"/>
    <w:rsid w:val="00A04128"/>
    <w:rsid w:val="00A04701"/>
    <w:rsid w:val="00A07C1A"/>
    <w:rsid w:val="00A10AEB"/>
    <w:rsid w:val="00A110C3"/>
    <w:rsid w:val="00A11F31"/>
    <w:rsid w:val="00A13895"/>
    <w:rsid w:val="00A13C53"/>
    <w:rsid w:val="00A21478"/>
    <w:rsid w:val="00A22B70"/>
    <w:rsid w:val="00A2312B"/>
    <w:rsid w:val="00A259D5"/>
    <w:rsid w:val="00A260AF"/>
    <w:rsid w:val="00A268A8"/>
    <w:rsid w:val="00A27F86"/>
    <w:rsid w:val="00A30D5D"/>
    <w:rsid w:val="00A3177A"/>
    <w:rsid w:val="00A3191D"/>
    <w:rsid w:val="00A319C4"/>
    <w:rsid w:val="00A32F18"/>
    <w:rsid w:val="00A3442D"/>
    <w:rsid w:val="00A34756"/>
    <w:rsid w:val="00A352CD"/>
    <w:rsid w:val="00A36326"/>
    <w:rsid w:val="00A41506"/>
    <w:rsid w:val="00A444CE"/>
    <w:rsid w:val="00A447B1"/>
    <w:rsid w:val="00A460B1"/>
    <w:rsid w:val="00A4722E"/>
    <w:rsid w:val="00A4745D"/>
    <w:rsid w:val="00A502D6"/>
    <w:rsid w:val="00A5060E"/>
    <w:rsid w:val="00A5104C"/>
    <w:rsid w:val="00A523C3"/>
    <w:rsid w:val="00A524A9"/>
    <w:rsid w:val="00A52739"/>
    <w:rsid w:val="00A52FCA"/>
    <w:rsid w:val="00A53107"/>
    <w:rsid w:val="00A54142"/>
    <w:rsid w:val="00A57171"/>
    <w:rsid w:val="00A575C6"/>
    <w:rsid w:val="00A60005"/>
    <w:rsid w:val="00A6060B"/>
    <w:rsid w:val="00A60E0A"/>
    <w:rsid w:val="00A61DE2"/>
    <w:rsid w:val="00A61F70"/>
    <w:rsid w:val="00A63DFC"/>
    <w:rsid w:val="00A641C2"/>
    <w:rsid w:val="00A6580D"/>
    <w:rsid w:val="00A66208"/>
    <w:rsid w:val="00A6753C"/>
    <w:rsid w:val="00A677C0"/>
    <w:rsid w:val="00A677C8"/>
    <w:rsid w:val="00A678E5"/>
    <w:rsid w:val="00A70EAF"/>
    <w:rsid w:val="00A730AD"/>
    <w:rsid w:val="00A7437F"/>
    <w:rsid w:val="00A74F69"/>
    <w:rsid w:val="00A74FB9"/>
    <w:rsid w:val="00A75740"/>
    <w:rsid w:val="00A757DE"/>
    <w:rsid w:val="00A7603F"/>
    <w:rsid w:val="00A7668A"/>
    <w:rsid w:val="00A80F5D"/>
    <w:rsid w:val="00A82670"/>
    <w:rsid w:val="00A827A4"/>
    <w:rsid w:val="00A82F1C"/>
    <w:rsid w:val="00A83C98"/>
    <w:rsid w:val="00A86D1C"/>
    <w:rsid w:val="00A8758B"/>
    <w:rsid w:val="00A87B9B"/>
    <w:rsid w:val="00A87DBC"/>
    <w:rsid w:val="00A87DD8"/>
    <w:rsid w:val="00A906E7"/>
    <w:rsid w:val="00A90F97"/>
    <w:rsid w:val="00A92C59"/>
    <w:rsid w:val="00A94955"/>
    <w:rsid w:val="00A94A98"/>
    <w:rsid w:val="00A97B39"/>
    <w:rsid w:val="00AA1D0F"/>
    <w:rsid w:val="00AA27AC"/>
    <w:rsid w:val="00AA40C5"/>
    <w:rsid w:val="00AA45D4"/>
    <w:rsid w:val="00AA4ACB"/>
    <w:rsid w:val="00AA5F81"/>
    <w:rsid w:val="00AA687C"/>
    <w:rsid w:val="00AA7349"/>
    <w:rsid w:val="00AB1185"/>
    <w:rsid w:val="00AB14CC"/>
    <w:rsid w:val="00AB156C"/>
    <w:rsid w:val="00AB29AA"/>
    <w:rsid w:val="00AB3269"/>
    <w:rsid w:val="00AB3675"/>
    <w:rsid w:val="00AB3FAF"/>
    <w:rsid w:val="00AB489A"/>
    <w:rsid w:val="00AB69B6"/>
    <w:rsid w:val="00AB6CD3"/>
    <w:rsid w:val="00AB6FF8"/>
    <w:rsid w:val="00AB79D3"/>
    <w:rsid w:val="00AC066B"/>
    <w:rsid w:val="00AC0B6B"/>
    <w:rsid w:val="00AC1552"/>
    <w:rsid w:val="00AC2E83"/>
    <w:rsid w:val="00AC2F0B"/>
    <w:rsid w:val="00AC44F3"/>
    <w:rsid w:val="00AC4BC5"/>
    <w:rsid w:val="00AC55CE"/>
    <w:rsid w:val="00AC562F"/>
    <w:rsid w:val="00AC57C4"/>
    <w:rsid w:val="00AC6BA1"/>
    <w:rsid w:val="00AD0322"/>
    <w:rsid w:val="00AD04F4"/>
    <w:rsid w:val="00AD0EFD"/>
    <w:rsid w:val="00AD20EB"/>
    <w:rsid w:val="00AD2DAE"/>
    <w:rsid w:val="00AD2FD0"/>
    <w:rsid w:val="00AD386E"/>
    <w:rsid w:val="00AD48AD"/>
    <w:rsid w:val="00AD4F35"/>
    <w:rsid w:val="00AD6897"/>
    <w:rsid w:val="00AE3068"/>
    <w:rsid w:val="00AE5728"/>
    <w:rsid w:val="00AE6BC7"/>
    <w:rsid w:val="00AE794C"/>
    <w:rsid w:val="00AE79CD"/>
    <w:rsid w:val="00AF09BE"/>
    <w:rsid w:val="00AF188C"/>
    <w:rsid w:val="00AF34E5"/>
    <w:rsid w:val="00AF49D7"/>
    <w:rsid w:val="00AF57EF"/>
    <w:rsid w:val="00AF5C67"/>
    <w:rsid w:val="00AF70C8"/>
    <w:rsid w:val="00AF71C2"/>
    <w:rsid w:val="00B01453"/>
    <w:rsid w:val="00B01B4D"/>
    <w:rsid w:val="00B032DD"/>
    <w:rsid w:val="00B03314"/>
    <w:rsid w:val="00B03632"/>
    <w:rsid w:val="00B03BE6"/>
    <w:rsid w:val="00B044A7"/>
    <w:rsid w:val="00B06C35"/>
    <w:rsid w:val="00B073FF"/>
    <w:rsid w:val="00B075EA"/>
    <w:rsid w:val="00B078E6"/>
    <w:rsid w:val="00B105E8"/>
    <w:rsid w:val="00B1451F"/>
    <w:rsid w:val="00B15817"/>
    <w:rsid w:val="00B1744F"/>
    <w:rsid w:val="00B20E0E"/>
    <w:rsid w:val="00B2178B"/>
    <w:rsid w:val="00B22DC6"/>
    <w:rsid w:val="00B235BE"/>
    <w:rsid w:val="00B239F4"/>
    <w:rsid w:val="00B23B4C"/>
    <w:rsid w:val="00B23B67"/>
    <w:rsid w:val="00B24B15"/>
    <w:rsid w:val="00B25071"/>
    <w:rsid w:val="00B251EB"/>
    <w:rsid w:val="00B257B6"/>
    <w:rsid w:val="00B25BDF"/>
    <w:rsid w:val="00B26354"/>
    <w:rsid w:val="00B26A2B"/>
    <w:rsid w:val="00B275B5"/>
    <w:rsid w:val="00B30C88"/>
    <w:rsid w:val="00B31233"/>
    <w:rsid w:val="00B321EA"/>
    <w:rsid w:val="00B32B19"/>
    <w:rsid w:val="00B33A13"/>
    <w:rsid w:val="00B342A0"/>
    <w:rsid w:val="00B348D7"/>
    <w:rsid w:val="00B40A0A"/>
    <w:rsid w:val="00B410A0"/>
    <w:rsid w:val="00B410D1"/>
    <w:rsid w:val="00B41C1F"/>
    <w:rsid w:val="00B428EA"/>
    <w:rsid w:val="00B43B67"/>
    <w:rsid w:val="00B44B79"/>
    <w:rsid w:val="00B45778"/>
    <w:rsid w:val="00B45806"/>
    <w:rsid w:val="00B46AED"/>
    <w:rsid w:val="00B47245"/>
    <w:rsid w:val="00B47CDA"/>
    <w:rsid w:val="00B5197A"/>
    <w:rsid w:val="00B52F30"/>
    <w:rsid w:val="00B53577"/>
    <w:rsid w:val="00B55027"/>
    <w:rsid w:val="00B55824"/>
    <w:rsid w:val="00B55DC0"/>
    <w:rsid w:val="00B56067"/>
    <w:rsid w:val="00B56A83"/>
    <w:rsid w:val="00B60058"/>
    <w:rsid w:val="00B61419"/>
    <w:rsid w:val="00B62E7D"/>
    <w:rsid w:val="00B636A8"/>
    <w:rsid w:val="00B64B1F"/>
    <w:rsid w:val="00B65FAD"/>
    <w:rsid w:val="00B6780A"/>
    <w:rsid w:val="00B67846"/>
    <w:rsid w:val="00B67C89"/>
    <w:rsid w:val="00B70995"/>
    <w:rsid w:val="00B7204C"/>
    <w:rsid w:val="00B723D6"/>
    <w:rsid w:val="00B74222"/>
    <w:rsid w:val="00B750F2"/>
    <w:rsid w:val="00B76491"/>
    <w:rsid w:val="00B77784"/>
    <w:rsid w:val="00B777F5"/>
    <w:rsid w:val="00B77D3A"/>
    <w:rsid w:val="00B807E1"/>
    <w:rsid w:val="00B81456"/>
    <w:rsid w:val="00B81515"/>
    <w:rsid w:val="00B816DF"/>
    <w:rsid w:val="00B81857"/>
    <w:rsid w:val="00B820B6"/>
    <w:rsid w:val="00B83D1C"/>
    <w:rsid w:val="00B83DD9"/>
    <w:rsid w:val="00B855E6"/>
    <w:rsid w:val="00B8572E"/>
    <w:rsid w:val="00B90AA3"/>
    <w:rsid w:val="00B9136F"/>
    <w:rsid w:val="00B91918"/>
    <w:rsid w:val="00B9346F"/>
    <w:rsid w:val="00B9421F"/>
    <w:rsid w:val="00B94F61"/>
    <w:rsid w:val="00BA0130"/>
    <w:rsid w:val="00BA35D8"/>
    <w:rsid w:val="00BA3603"/>
    <w:rsid w:val="00BA4FAF"/>
    <w:rsid w:val="00BA529A"/>
    <w:rsid w:val="00BA63FE"/>
    <w:rsid w:val="00BA6562"/>
    <w:rsid w:val="00BA75E4"/>
    <w:rsid w:val="00BA7CCD"/>
    <w:rsid w:val="00BB0609"/>
    <w:rsid w:val="00BB0804"/>
    <w:rsid w:val="00BB09E6"/>
    <w:rsid w:val="00BB234C"/>
    <w:rsid w:val="00BB2788"/>
    <w:rsid w:val="00BB2A15"/>
    <w:rsid w:val="00BB320D"/>
    <w:rsid w:val="00BB4113"/>
    <w:rsid w:val="00BB46A9"/>
    <w:rsid w:val="00BB69BB"/>
    <w:rsid w:val="00BB7275"/>
    <w:rsid w:val="00BC0AC1"/>
    <w:rsid w:val="00BC1F46"/>
    <w:rsid w:val="00BC34CD"/>
    <w:rsid w:val="00BC3A6B"/>
    <w:rsid w:val="00BC3E19"/>
    <w:rsid w:val="00BC4D35"/>
    <w:rsid w:val="00BC5124"/>
    <w:rsid w:val="00BC5CC1"/>
    <w:rsid w:val="00BC6709"/>
    <w:rsid w:val="00BC698C"/>
    <w:rsid w:val="00BC6A52"/>
    <w:rsid w:val="00BD0078"/>
    <w:rsid w:val="00BD17F5"/>
    <w:rsid w:val="00BD2870"/>
    <w:rsid w:val="00BD63CB"/>
    <w:rsid w:val="00BE0862"/>
    <w:rsid w:val="00BE0987"/>
    <w:rsid w:val="00BE1971"/>
    <w:rsid w:val="00BE1B37"/>
    <w:rsid w:val="00BE1E23"/>
    <w:rsid w:val="00BE4B25"/>
    <w:rsid w:val="00BE573D"/>
    <w:rsid w:val="00BE5E9F"/>
    <w:rsid w:val="00BF2BF4"/>
    <w:rsid w:val="00BF4CA8"/>
    <w:rsid w:val="00BF500B"/>
    <w:rsid w:val="00BF6B12"/>
    <w:rsid w:val="00BF75B0"/>
    <w:rsid w:val="00C0005F"/>
    <w:rsid w:val="00C001A4"/>
    <w:rsid w:val="00C005E5"/>
    <w:rsid w:val="00C010D4"/>
    <w:rsid w:val="00C0152C"/>
    <w:rsid w:val="00C01C55"/>
    <w:rsid w:val="00C01E7F"/>
    <w:rsid w:val="00C03B84"/>
    <w:rsid w:val="00C03D35"/>
    <w:rsid w:val="00C047AE"/>
    <w:rsid w:val="00C05624"/>
    <w:rsid w:val="00C06A68"/>
    <w:rsid w:val="00C070D5"/>
    <w:rsid w:val="00C10106"/>
    <w:rsid w:val="00C106EB"/>
    <w:rsid w:val="00C117AE"/>
    <w:rsid w:val="00C11849"/>
    <w:rsid w:val="00C147D2"/>
    <w:rsid w:val="00C148EF"/>
    <w:rsid w:val="00C148F0"/>
    <w:rsid w:val="00C150C8"/>
    <w:rsid w:val="00C167B7"/>
    <w:rsid w:val="00C20905"/>
    <w:rsid w:val="00C2095D"/>
    <w:rsid w:val="00C20EAB"/>
    <w:rsid w:val="00C22D40"/>
    <w:rsid w:val="00C254E4"/>
    <w:rsid w:val="00C27A6B"/>
    <w:rsid w:val="00C27BD9"/>
    <w:rsid w:val="00C30A23"/>
    <w:rsid w:val="00C30D52"/>
    <w:rsid w:val="00C3173D"/>
    <w:rsid w:val="00C31F99"/>
    <w:rsid w:val="00C32856"/>
    <w:rsid w:val="00C330AC"/>
    <w:rsid w:val="00C3473B"/>
    <w:rsid w:val="00C347BB"/>
    <w:rsid w:val="00C37A39"/>
    <w:rsid w:val="00C37E8B"/>
    <w:rsid w:val="00C40BA5"/>
    <w:rsid w:val="00C40D4F"/>
    <w:rsid w:val="00C413A2"/>
    <w:rsid w:val="00C4173F"/>
    <w:rsid w:val="00C43290"/>
    <w:rsid w:val="00C450C8"/>
    <w:rsid w:val="00C47AD1"/>
    <w:rsid w:val="00C5167D"/>
    <w:rsid w:val="00C52491"/>
    <w:rsid w:val="00C541B6"/>
    <w:rsid w:val="00C54934"/>
    <w:rsid w:val="00C55C2C"/>
    <w:rsid w:val="00C56D89"/>
    <w:rsid w:val="00C60EBC"/>
    <w:rsid w:val="00C61ABA"/>
    <w:rsid w:val="00C637BA"/>
    <w:rsid w:val="00C6498F"/>
    <w:rsid w:val="00C64E13"/>
    <w:rsid w:val="00C66050"/>
    <w:rsid w:val="00C667CB"/>
    <w:rsid w:val="00C71185"/>
    <w:rsid w:val="00C721F8"/>
    <w:rsid w:val="00C72D51"/>
    <w:rsid w:val="00C73EAC"/>
    <w:rsid w:val="00C74178"/>
    <w:rsid w:val="00C747D3"/>
    <w:rsid w:val="00C75B2F"/>
    <w:rsid w:val="00C75C03"/>
    <w:rsid w:val="00C76F43"/>
    <w:rsid w:val="00C77FC5"/>
    <w:rsid w:val="00C80412"/>
    <w:rsid w:val="00C81337"/>
    <w:rsid w:val="00C8168E"/>
    <w:rsid w:val="00C82AE5"/>
    <w:rsid w:val="00C84EBB"/>
    <w:rsid w:val="00C86A2F"/>
    <w:rsid w:val="00C86CE6"/>
    <w:rsid w:val="00C903D6"/>
    <w:rsid w:val="00C90805"/>
    <w:rsid w:val="00C90A9F"/>
    <w:rsid w:val="00C91272"/>
    <w:rsid w:val="00C91713"/>
    <w:rsid w:val="00C91A39"/>
    <w:rsid w:val="00C91B5F"/>
    <w:rsid w:val="00C9359D"/>
    <w:rsid w:val="00C93838"/>
    <w:rsid w:val="00C95B1A"/>
    <w:rsid w:val="00C95F44"/>
    <w:rsid w:val="00C9721A"/>
    <w:rsid w:val="00C9742C"/>
    <w:rsid w:val="00CA0B10"/>
    <w:rsid w:val="00CA2D3E"/>
    <w:rsid w:val="00CA3B71"/>
    <w:rsid w:val="00CA3F8B"/>
    <w:rsid w:val="00CA5A5A"/>
    <w:rsid w:val="00CA6FD2"/>
    <w:rsid w:val="00CB0555"/>
    <w:rsid w:val="00CB217B"/>
    <w:rsid w:val="00CB2412"/>
    <w:rsid w:val="00CB2AB7"/>
    <w:rsid w:val="00CB3F14"/>
    <w:rsid w:val="00CB4396"/>
    <w:rsid w:val="00CB4588"/>
    <w:rsid w:val="00CB4B9D"/>
    <w:rsid w:val="00CB4D24"/>
    <w:rsid w:val="00CB5359"/>
    <w:rsid w:val="00CB5A47"/>
    <w:rsid w:val="00CB6948"/>
    <w:rsid w:val="00CC1C23"/>
    <w:rsid w:val="00CC1E1C"/>
    <w:rsid w:val="00CC390F"/>
    <w:rsid w:val="00CC5B96"/>
    <w:rsid w:val="00CC5F20"/>
    <w:rsid w:val="00CC77E5"/>
    <w:rsid w:val="00CD20FD"/>
    <w:rsid w:val="00CD22B8"/>
    <w:rsid w:val="00CD3ADC"/>
    <w:rsid w:val="00CD5387"/>
    <w:rsid w:val="00CD5A3C"/>
    <w:rsid w:val="00CD6CD5"/>
    <w:rsid w:val="00CD7117"/>
    <w:rsid w:val="00CD72D4"/>
    <w:rsid w:val="00CE090A"/>
    <w:rsid w:val="00CE1A66"/>
    <w:rsid w:val="00CE336C"/>
    <w:rsid w:val="00CE3C0C"/>
    <w:rsid w:val="00CE400E"/>
    <w:rsid w:val="00CE4B0F"/>
    <w:rsid w:val="00CE4B76"/>
    <w:rsid w:val="00CE58FE"/>
    <w:rsid w:val="00CE63D6"/>
    <w:rsid w:val="00CE6CBA"/>
    <w:rsid w:val="00CE6DD7"/>
    <w:rsid w:val="00CE7345"/>
    <w:rsid w:val="00CE79C3"/>
    <w:rsid w:val="00CF05D5"/>
    <w:rsid w:val="00CF253C"/>
    <w:rsid w:val="00CF356A"/>
    <w:rsid w:val="00CF36B4"/>
    <w:rsid w:val="00CF5A79"/>
    <w:rsid w:val="00CF5E13"/>
    <w:rsid w:val="00CF615E"/>
    <w:rsid w:val="00D00ECB"/>
    <w:rsid w:val="00D0141B"/>
    <w:rsid w:val="00D01E98"/>
    <w:rsid w:val="00D02060"/>
    <w:rsid w:val="00D0234A"/>
    <w:rsid w:val="00D02457"/>
    <w:rsid w:val="00D02697"/>
    <w:rsid w:val="00D029C2"/>
    <w:rsid w:val="00D038F1"/>
    <w:rsid w:val="00D04EF2"/>
    <w:rsid w:val="00D05796"/>
    <w:rsid w:val="00D058CF"/>
    <w:rsid w:val="00D0634B"/>
    <w:rsid w:val="00D07A79"/>
    <w:rsid w:val="00D07BB4"/>
    <w:rsid w:val="00D07D83"/>
    <w:rsid w:val="00D11E37"/>
    <w:rsid w:val="00D1307B"/>
    <w:rsid w:val="00D13957"/>
    <w:rsid w:val="00D14211"/>
    <w:rsid w:val="00D14D6F"/>
    <w:rsid w:val="00D15C57"/>
    <w:rsid w:val="00D16BE8"/>
    <w:rsid w:val="00D17605"/>
    <w:rsid w:val="00D17A9D"/>
    <w:rsid w:val="00D20874"/>
    <w:rsid w:val="00D21AB2"/>
    <w:rsid w:val="00D2251A"/>
    <w:rsid w:val="00D2358E"/>
    <w:rsid w:val="00D23B1F"/>
    <w:rsid w:val="00D26569"/>
    <w:rsid w:val="00D278AD"/>
    <w:rsid w:val="00D27BCB"/>
    <w:rsid w:val="00D329A1"/>
    <w:rsid w:val="00D32C68"/>
    <w:rsid w:val="00D3379A"/>
    <w:rsid w:val="00D33815"/>
    <w:rsid w:val="00D33C31"/>
    <w:rsid w:val="00D33DEE"/>
    <w:rsid w:val="00D35722"/>
    <w:rsid w:val="00D3693B"/>
    <w:rsid w:val="00D3784E"/>
    <w:rsid w:val="00D411D0"/>
    <w:rsid w:val="00D430D3"/>
    <w:rsid w:val="00D43504"/>
    <w:rsid w:val="00D43960"/>
    <w:rsid w:val="00D4397E"/>
    <w:rsid w:val="00D4493D"/>
    <w:rsid w:val="00D45D8F"/>
    <w:rsid w:val="00D4600B"/>
    <w:rsid w:val="00D46229"/>
    <w:rsid w:val="00D46EBD"/>
    <w:rsid w:val="00D50DC2"/>
    <w:rsid w:val="00D519FC"/>
    <w:rsid w:val="00D51B60"/>
    <w:rsid w:val="00D51C24"/>
    <w:rsid w:val="00D51D2E"/>
    <w:rsid w:val="00D5396C"/>
    <w:rsid w:val="00D54B7B"/>
    <w:rsid w:val="00D56846"/>
    <w:rsid w:val="00D5773A"/>
    <w:rsid w:val="00D60225"/>
    <w:rsid w:val="00D61B6C"/>
    <w:rsid w:val="00D61FB9"/>
    <w:rsid w:val="00D61FEA"/>
    <w:rsid w:val="00D627B9"/>
    <w:rsid w:val="00D62F08"/>
    <w:rsid w:val="00D6397D"/>
    <w:rsid w:val="00D648D9"/>
    <w:rsid w:val="00D65844"/>
    <w:rsid w:val="00D664F8"/>
    <w:rsid w:val="00D669E7"/>
    <w:rsid w:val="00D67306"/>
    <w:rsid w:val="00D707F2"/>
    <w:rsid w:val="00D72B8D"/>
    <w:rsid w:val="00D72F23"/>
    <w:rsid w:val="00D75149"/>
    <w:rsid w:val="00D75880"/>
    <w:rsid w:val="00D77053"/>
    <w:rsid w:val="00D772F7"/>
    <w:rsid w:val="00D77594"/>
    <w:rsid w:val="00D77BCB"/>
    <w:rsid w:val="00D77D67"/>
    <w:rsid w:val="00D802CC"/>
    <w:rsid w:val="00D80698"/>
    <w:rsid w:val="00D80CD6"/>
    <w:rsid w:val="00D82361"/>
    <w:rsid w:val="00D826F8"/>
    <w:rsid w:val="00D82813"/>
    <w:rsid w:val="00D8361F"/>
    <w:rsid w:val="00D83D52"/>
    <w:rsid w:val="00D84B46"/>
    <w:rsid w:val="00D85EA3"/>
    <w:rsid w:val="00D864CD"/>
    <w:rsid w:val="00D8677B"/>
    <w:rsid w:val="00D86871"/>
    <w:rsid w:val="00D871F2"/>
    <w:rsid w:val="00D87F53"/>
    <w:rsid w:val="00D902D3"/>
    <w:rsid w:val="00D9137F"/>
    <w:rsid w:val="00D917AC"/>
    <w:rsid w:val="00D933A4"/>
    <w:rsid w:val="00D9469F"/>
    <w:rsid w:val="00D94E08"/>
    <w:rsid w:val="00D95390"/>
    <w:rsid w:val="00D95529"/>
    <w:rsid w:val="00D95B9F"/>
    <w:rsid w:val="00D97E3F"/>
    <w:rsid w:val="00DA0088"/>
    <w:rsid w:val="00DA40D6"/>
    <w:rsid w:val="00DA4589"/>
    <w:rsid w:val="00DA5138"/>
    <w:rsid w:val="00DA5D8D"/>
    <w:rsid w:val="00DA668F"/>
    <w:rsid w:val="00DA6837"/>
    <w:rsid w:val="00DA7D89"/>
    <w:rsid w:val="00DB07F8"/>
    <w:rsid w:val="00DB0A37"/>
    <w:rsid w:val="00DB10B2"/>
    <w:rsid w:val="00DB232F"/>
    <w:rsid w:val="00DB31C0"/>
    <w:rsid w:val="00DB5864"/>
    <w:rsid w:val="00DB6A4D"/>
    <w:rsid w:val="00DC1546"/>
    <w:rsid w:val="00DC1F7F"/>
    <w:rsid w:val="00DC3D85"/>
    <w:rsid w:val="00DC5B67"/>
    <w:rsid w:val="00DC5D01"/>
    <w:rsid w:val="00DC5D45"/>
    <w:rsid w:val="00DC64E6"/>
    <w:rsid w:val="00DC7276"/>
    <w:rsid w:val="00DC7471"/>
    <w:rsid w:val="00DC7A53"/>
    <w:rsid w:val="00DD0050"/>
    <w:rsid w:val="00DD06DE"/>
    <w:rsid w:val="00DD0A2E"/>
    <w:rsid w:val="00DD2375"/>
    <w:rsid w:val="00DD2770"/>
    <w:rsid w:val="00DD35AF"/>
    <w:rsid w:val="00DD37A9"/>
    <w:rsid w:val="00DD3862"/>
    <w:rsid w:val="00DD54D0"/>
    <w:rsid w:val="00DD6692"/>
    <w:rsid w:val="00DD7043"/>
    <w:rsid w:val="00DE0382"/>
    <w:rsid w:val="00DE1179"/>
    <w:rsid w:val="00DE17D3"/>
    <w:rsid w:val="00DE4458"/>
    <w:rsid w:val="00DE466C"/>
    <w:rsid w:val="00DE4E43"/>
    <w:rsid w:val="00DE4F59"/>
    <w:rsid w:val="00DE50B4"/>
    <w:rsid w:val="00DE6ACF"/>
    <w:rsid w:val="00DE6CBF"/>
    <w:rsid w:val="00DE7C47"/>
    <w:rsid w:val="00DF18A6"/>
    <w:rsid w:val="00DF3E5A"/>
    <w:rsid w:val="00DF48A5"/>
    <w:rsid w:val="00DF4BC6"/>
    <w:rsid w:val="00DF53D2"/>
    <w:rsid w:val="00DF7C4C"/>
    <w:rsid w:val="00E01C87"/>
    <w:rsid w:val="00E02572"/>
    <w:rsid w:val="00E026B9"/>
    <w:rsid w:val="00E02AFB"/>
    <w:rsid w:val="00E030E3"/>
    <w:rsid w:val="00E03857"/>
    <w:rsid w:val="00E05881"/>
    <w:rsid w:val="00E06B7C"/>
    <w:rsid w:val="00E06B97"/>
    <w:rsid w:val="00E07C53"/>
    <w:rsid w:val="00E10858"/>
    <w:rsid w:val="00E11303"/>
    <w:rsid w:val="00E126AA"/>
    <w:rsid w:val="00E131CF"/>
    <w:rsid w:val="00E13A37"/>
    <w:rsid w:val="00E13CA6"/>
    <w:rsid w:val="00E13CF2"/>
    <w:rsid w:val="00E17477"/>
    <w:rsid w:val="00E17622"/>
    <w:rsid w:val="00E2038F"/>
    <w:rsid w:val="00E23D17"/>
    <w:rsid w:val="00E23FEF"/>
    <w:rsid w:val="00E24110"/>
    <w:rsid w:val="00E2597C"/>
    <w:rsid w:val="00E3013B"/>
    <w:rsid w:val="00E3058A"/>
    <w:rsid w:val="00E306CF"/>
    <w:rsid w:val="00E31961"/>
    <w:rsid w:val="00E319C4"/>
    <w:rsid w:val="00E31CC1"/>
    <w:rsid w:val="00E32F52"/>
    <w:rsid w:val="00E33C6C"/>
    <w:rsid w:val="00E35578"/>
    <w:rsid w:val="00E35C40"/>
    <w:rsid w:val="00E419B5"/>
    <w:rsid w:val="00E419DD"/>
    <w:rsid w:val="00E42957"/>
    <w:rsid w:val="00E43541"/>
    <w:rsid w:val="00E448EE"/>
    <w:rsid w:val="00E464C3"/>
    <w:rsid w:val="00E50AF3"/>
    <w:rsid w:val="00E511AA"/>
    <w:rsid w:val="00E5320D"/>
    <w:rsid w:val="00E53786"/>
    <w:rsid w:val="00E53C3D"/>
    <w:rsid w:val="00E56C6D"/>
    <w:rsid w:val="00E6162A"/>
    <w:rsid w:val="00E61A5D"/>
    <w:rsid w:val="00E62F16"/>
    <w:rsid w:val="00E63AAC"/>
    <w:rsid w:val="00E640BD"/>
    <w:rsid w:val="00E6435B"/>
    <w:rsid w:val="00E65209"/>
    <w:rsid w:val="00E668C8"/>
    <w:rsid w:val="00E66DD8"/>
    <w:rsid w:val="00E705BD"/>
    <w:rsid w:val="00E70FA2"/>
    <w:rsid w:val="00E72AF7"/>
    <w:rsid w:val="00E73EC1"/>
    <w:rsid w:val="00E75865"/>
    <w:rsid w:val="00E7618C"/>
    <w:rsid w:val="00E76198"/>
    <w:rsid w:val="00E80179"/>
    <w:rsid w:val="00E80E0D"/>
    <w:rsid w:val="00E81300"/>
    <w:rsid w:val="00E8139A"/>
    <w:rsid w:val="00E81618"/>
    <w:rsid w:val="00E82364"/>
    <w:rsid w:val="00E828B8"/>
    <w:rsid w:val="00E829B1"/>
    <w:rsid w:val="00E82A35"/>
    <w:rsid w:val="00E8375B"/>
    <w:rsid w:val="00E838A4"/>
    <w:rsid w:val="00E84F29"/>
    <w:rsid w:val="00E8520C"/>
    <w:rsid w:val="00E85842"/>
    <w:rsid w:val="00E859AB"/>
    <w:rsid w:val="00E87B86"/>
    <w:rsid w:val="00E900D3"/>
    <w:rsid w:val="00E9079A"/>
    <w:rsid w:val="00E90953"/>
    <w:rsid w:val="00E91577"/>
    <w:rsid w:val="00E92C41"/>
    <w:rsid w:val="00E931A4"/>
    <w:rsid w:val="00E94426"/>
    <w:rsid w:val="00E94731"/>
    <w:rsid w:val="00E947DC"/>
    <w:rsid w:val="00E95463"/>
    <w:rsid w:val="00E95FAA"/>
    <w:rsid w:val="00E9784D"/>
    <w:rsid w:val="00E97E87"/>
    <w:rsid w:val="00EA007B"/>
    <w:rsid w:val="00EA0279"/>
    <w:rsid w:val="00EA04EA"/>
    <w:rsid w:val="00EA127F"/>
    <w:rsid w:val="00EA1947"/>
    <w:rsid w:val="00EA1CE2"/>
    <w:rsid w:val="00EA2F26"/>
    <w:rsid w:val="00EA3B1C"/>
    <w:rsid w:val="00EA3C13"/>
    <w:rsid w:val="00EA3D2F"/>
    <w:rsid w:val="00EA40EC"/>
    <w:rsid w:val="00EA424F"/>
    <w:rsid w:val="00EA4D3F"/>
    <w:rsid w:val="00EA52CF"/>
    <w:rsid w:val="00EA6483"/>
    <w:rsid w:val="00EA6F1E"/>
    <w:rsid w:val="00EB499D"/>
    <w:rsid w:val="00EB5A67"/>
    <w:rsid w:val="00EB6182"/>
    <w:rsid w:val="00EB682C"/>
    <w:rsid w:val="00EC0E03"/>
    <w:rsid w:val="00EC146A"/>
    <w:rsid w:val="00EC1C4D"/>
    <w:rsid w:val="00EC522A"/>
    <w:rsid w:val="00EC52B4"/>
    <w:rsid w:val="00EC5E15"/>
    <w:rsid w:val="00EC6A8C"/>
    <w:rsid w:val="00ED0257"/>
    <w:rsid w:val="00ED0DA2"/>
    <w:rsid w:val="00ED101B"/>
    <w:rsid w:val="00ED11AD"/>
    <w:rsid w:val="00ED18F8"/>
    <w:rsid w:val="00ED2300"/>
    <w:rsid w:val="00ED2A8F"/>
    <w:rsid w:val="00ED6220"/>
    <w:rsid w:val="00ED731E"/>
    <w:rsid w:val="00ED74DB"/>
    <w:rsid w:val="00EE0E6A"/>
    <w:rsid w:val="00EE1728"/>
    <w:rsid w:val="00EE2512"/>
    <w:rsid w:val="00EE3BEF"/>
    <w:rsid w:val="00EE3F49"/>
    <w:rsid w:val="00EE4EFC"/>
    <w:rsid w:val="00EE5207"/>
    <w:rsid w:val="00EE5594"/>
    <w:rsid w:val="00EE6C4F"/>
    <w:rsid w:val="00EE770A"/>
    <w:rsid w:val="00EF0669"/>
    <w:rsid w:val="00EF11CC"/>
    <w:rsid w:val="00EF19D7"/>
    <w:rsid w:val="00EF20B5"/>
    <w:rsid w:val="00EF26CA"/>
    <w:rsid w:val="00EF4F0E"/>
    <w:rsid w:val="00EF53FA"/>
    <w:rsid w:val="00EF5E04"/>
    <w:rsid w:val="00EF613C"/>
    <w:rsid w:val="00EF62AE"/>
    <w:rsid w:val="00EF66FF"/>
    <w:rsid w:val="00F02039"/>
    <w:rsid w:val="00F0262C"/>
    <w:rsid w:val="00F02D83"/>
    <w:rsid w:val="00F03022"/>
    <w:rsid w:val="00F04812"/>
    <w:rsid w:val="00F049D6"/>
    <w:rsid w:val="00F05D72"/>
    <w:rsid w:val="00F05F2A"/>
    <w:rsid w:val="00F062F5"/>
    <w:rsid w:val="00F070F5"/>
    <w:rsid w:val="00F10D86"/>
    <w:rsid w:val="00F14793"/>
    <w:rsid w:val="00F14A67"/>
    <w:rsid w:val="00F162BD"/>
    <w:rsid w:val="00F168B1"/>
    <w:rsid w:val="00F1769B"/>
    <w:rsid w:val="00F176B9"/>
    <w:rsid w:val="00F20017"/>
    <w:rsid w:val="00F2065D"/>
    <w:rsid w:val="00F22D6B"/>
    <w:rsid w:val="00F2325B"/>
    <w:rsid w:val="00F245CB"/>
    <w:rsid w:val="00F26BD7"/>
    <w:rsid w:val="00F26CE6"/>
    <w:rsid w:val="00F26D10"/>
    <w:rsid w:val="00F27C69"/>
    <w:rsid w:val="00F31D54"/>
    <w:rsid w:val="00F32518"/>
    <w:rsid w:val="00F34E83"/>
    <w:rsid w:val="00F361BE"/>
    <w:rsid w:val="00F36DCB"/>
    <w:rsid w:val="00F36DFE"/>
    <w:rsid w:val="00F37376"/>
    <w:rsid w:val="00F37DC9"/>
    <w:rsid w:val="00F407D5"/>
    <w:rsid w:val="00F40906"/>
    <w:rsid w:val="00F40C24"/>
    <w:rsid w:val="00F412FA"/>
    <w:rsid w:val="00F42327"/>
    <w:rsid w:val="00F4279E"/>
    <w:rsid w:val="00F44D90"/>
    <w:rsid w:val="00F47169"/>
    <w:rsid w:val="00F51D02"/>
    <w:rsid w:val="00F5210A"/>
    <w:rsid w:val="00F53CAD"/>
    <w:rsid w:val="00F53F0A"/>
    <w:rsid w:val="00F54575"/>
    <w:rsid w:val="00F55502"/>
    <w:rsid w:val="00F566E0"/>
    <w:rsid w:val="00F56E2C"/>
    <w:rsid w:val="00F617FE"/>
    <w:rsid w:val="00F6233D"/>
    <w:rsid w:val="00F62B63"/>
    <w:rsid w:val="00F62B73"/>
    <w:rsid w:val="00F62C83"/>
    <w:rsid w:val="00F642B5"/>
    <w:rsid w:val="00F64AA6"/>
    <w:rsid w:val="00F65A33"/>
    <w:rsid w:val="00F65A60"/>
    <w:rsid w:val="00F66428"/>
    <w:rsid w:val="00F6653D"/>
    <w:rsid w:val="00F6734C"/>
    <w:rsid w:val="00F676DD"/>
    <w:rsid w:val="00F67A19"/>
    <w:rsid w:val="00F67B94"/>
    <w:rsid w:val="00F70B22"/>
    <w:rsid w:val="00F72C69"/>
    <w:rsid w:val="00F7360D"/>
    <w:rsid w:val="00F7467D"/>
    <w:rsid w:val="00F74DAD"/>
    <w:rsid w:val="00F75EAD"/>
    <w:rsid w:val="00F760AD"/>
    <w:rsid w:val="00F760CA"/>
    <w:rsid w:val="00F7646A"/>
    <w:rsid w:val="00F772A5"/>
    <w:rsid w:val="00F804BE"/>
    <w:rsid w:val="00F8068F"/>
    <w:rsid w:val="00F83052"/>
    <w:rsid w:val="00F8445C"/>
    <w:rsid w:val="00F847EF"/>
    <w:rsid w:val="00F8503E"/>
    <w:rsid w:val="00F853E3"/>
    <w:rsid w:val="00F86990"/>
    <w:rsid w:val="00F86AC2"/>
    <w:rsid w:val="00F8788B"/>
    <w:rsid w:val="00F9069A"/>
    <w:rsid w:val="00F9073C"/>
    <w:rsid w:val="00F9374C"/>
    <w:rsid w:val="00F94997"/>
    <w:rsid w:val="00F95602"/>
    <w:rsid w:val="00F97271"/>
    <w:rsid w:val="00F9759C"/>
    <w:rsid w:val="00F97B4B"/>
    <w:rsid w:val="00F97F2F"/>
    <w:rsid w:val="00F97F82"/>
    <w:rsid w:val="00FA03A8"/>
    <w:rsid w:val="00FA0CFB"/>
    <w:rsid w:val="00FA2F14"/>
    <w:rsid w:val="00FA38B1"/>
    <w:rsid w:val="00FA3CAE"/>
    <w:rsid w:val="00FA4E3C"/>
    <w:rsid w:val="00FA656A"/>
    <w:rsid w:val="00FA6CB5"/>
    <w:rsid w:val="00FA715C"/>
    <w:rsid w:val="00FB07FB"/>
    <w:rsid w:val="00FB2621"/>
    <w:rsid w:val="00FB3AA7"/>
    <w:rsid w:val="00FB3BCE"/>
    <w:rsid w:val="00FB551B"/>
    <w:rsid w:val="00FB6364"/>
    <w:rsid w:val="00FB6F85"/>
    <w:rsid w:val="00FB747B"/>
    <w:rsid w:val="00FC105F"/>
    <w:rsid w:val="00FC14D5"/>
    <w:rsid w:val="00FC409C"/>
    <w:rsid w:val="00FC4642"/>
    <w:rsid w:val="00FC580C"/>
    <w:rsid w:val="00FC6164"/>
    <w:rsid w:val="00FC628A"/>
    <w:rsid w:val="00FC69EE"/>
    <w:rsid w:val="00FC7639"/>
    <w:rsid w:val="00FD02E5"/>
    <w:rsid w:val="00FD1916"/>
    <w:rsid w:val="00FD22AF"/>
    <w:rsid w:val="00FD2F7F"/>
    <w:rsid w:val="00FD4B15"/>
    <w:rsid w:val="00FD56EA"/>
    <w:rsid w:val="00FD6A97"/>
    <w:rsid w:val="00FD733F"/>
    <w:rsid w:val="00FE0A84"/>
    <w:rsid w:val="00FE3BD4"/>
    <w:rsid w:val="00FE6139"/>
    <w:rsid w:val="00FE68DB"/>
    <w:rsid w:val="00FE733C"/>
    <w:rsid w:val="00FF0F0E"/>
    <w:rsid w:val="00FF24A2"/>
    <w:rsid w:val="00FF361F"/>
    <w:rsid w:val="00FF387C"/>
    <w:rsid w:val="00FF6517"/>
    <w:rsid w:val="00FF77E6"/>
    <w:rsid w:val="00FF7A17"/>
    <w:rsid w:val="00FF7A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13"/>
    <w:pPr>
      <w:overflowPunct w:val="0"/>
      <w:autoSpaceDE w:val="0"/>
      <w:autoSpaceDN w:val="0"/>
      <w:adjustRightInd w:val="0"/>
      <w:spacing w:before="120" w:after="120"/>
      <w:textAlignment w:val="baseline"/>
    </w:pPr>
    <w:rPr>
      <w:sz w:val="22"/>
    </w:rPr>
  </w:style>
  <w:style w:type="paragraph" w:styleId="Heading1">
    <w:name w:val="heading 1"/>
    <w:basedOn w:val="Normal"/>
    <w:next w:val="BodyText"/>
    <w:qFormat/>
    <w:rsid w:val="00EA3C13"/>
    <w:pPr>
      <w:widowControl w:val="0"/>
      <w:outlineLvl w:val="0"/>
    </w:pPr>
    <w:rPr>
      <w:b/>
      <w:kern w:val="28"/>
      <w:sz w:val="26"/>
      <w:lang w:val="en-US"/>
    </w:rPr>
  </w:style>
  <w:style w:type="paragraph" w:styleId="Heading2">
    <w:name w:val="heading 2"/>
    <w:basedOn w:val="Heading1"/>
    <w:next w:val="Normal"/>
    <w:qFormat/>
    <w:rsid w:val="00EA3C13"/>
    <w:pPr>
      <w:tabs>
        <w:tab w:val="left" w:pos="709"/>
      </w:tabs>
      <w:spacing w:before="240" w:after="240"/>
      <w:outlineLvl w:val="1"/>
    </w:pPr>
    <w:rPr>
      <w:b w:val="0"/>
      <w:kern w:val="0"/>
      <w:sz w:val="24"/>
      <w:u w:val="single"/>
    </w:rPr>
  </w:style>
  <w:style w:type="paragraph" w:styleId="Heading3">
    <w:name w:val="heading 3"/>
    <w:basedOn w:val="Heading2"/>
    <w:next w:val="Normal"/>
    <w:link w:val="Heading3Char"/>
    <w:qFormat/>
    <w:rsid w:val="00EA3C13"/>
    <w:pPr>
      <w:tabs>
        <w:tab w:val="clear" w:pos="709"/>
        <w:tab w:val="left" w:pos="0"/>
      </w:tabs>
      <w:spacing w:before="120" w:after="120"/>
      <w:ind w:left="706" w:hanging="706"/>
      <w:outlineLvl w:val="2"/>
    </w:pPr>
    <w:rPr>
      <w:i/>
      <w:u w:val="none"/>
    </w:rPr>
  </w:style>
  <w:style w:type="paragraph" w:styleId="Heading4">
    <w:name w:val="heading 4"/>
    <w:basedOn w:val="Normal"/>
    <w:next w:val="Normal"/>
    <w:qFormat/>
    <w:rsid w:val="00EA3C13"/>
    <w:pPr>
      <w:widowControl w:val="0"/>
      <w:ind w:left="360"/>
      <w:outlineLvl w:val="3"/>
    </w:pPr>
    <w:rPr>
      <w:i/>
    </w:rPr>
  </w:style>
  <w:style w:type="paragraph" w:styleId="Heading5">
    <w:name w:val="heading 5"/>
    <w:basedOn w:val="Normal"/>
    <w:next w:val="Normal"/>
    <w:qFormat/>
    <w:rsid w:val="00EA3C13"/>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A3C13"/>
    <w:pPr>
      <w:spacing w:after="160"/>
    </w:pPr>
    <w:rPr>
      <w:lang w:val="en-US"/>
    </w:rPr>
  </w:style>
  <w:style w:type="character" w:styleId="PageNumber">
    <w:name w:val="page number"/>
    <w:basedOn w:val="DefaultParagraphFont"/>
    <w:semiHidden/>
    <w:rsid w:val="00EA3C13"/>
    <w:rPr>
      <w:rFonts w:cs="Times New Roman"/>
    </w:rPr>
  </w:style>
  <w:style w:type="paragraph" w:styleId="TOC1">
    <w:name w:val="toc 1"/>
    <w:basedOn w:val="Normal"/>
    <w:next w:val="Heading4"/>
    <w:autoRedefine/>
    <w:uiPriority w:val="39"/>
    <w:rsid w:val="00EA3C13"/>
    <w:pPr>
      <w:widowControl w:val="0"/>
      <w:tabs>
        <w:tab w:val="right" w:leader="dot" w:pos="8640"/>
      </w:tabs>
      <w:spacing w:before="0" w:after="0"/>
    </w:pPr>
    <w:rPr>
      <w:noProof/>
    </w:rPr>
  </w:style>
  <w:style w:type="paragraph" w:styleId="TOC2">
    <w:name w:val="toc 2"/>
    <w:basedOn w:val="Normal"/>
    <w:next w:val="Heading2"/>
    <w:autoRedefine/>
    <w:uiPriority w:val="39"/>
    <w:rsid w:val="00EA3C13"/>
    <w:pPr>
      <w:tabs>
        <w:tab w:val="right" w:leader="dot" w:pos="8640"/>
      </w:tabs>
      <w:spacing w:before="0" w:after="0"/>
      <w:ind w:left="720"/>
    </w:pPr>
    <w:rPr>
      <w:noProof/>
    </w:rPr>
  </w:style>
  <w:style w:type="paragraph" w:styleId="TOC3">
    <w:name w:val="toc 3"/>
    <w:basedOn w:val="Normal"/>
    <w:next w:val="Heading3"/>
    <w:autoRedefine/>
    <w:uiPriority w:val="39"/>
    <w:rsid w:val="00EA3C13"/>
    <w:pPr>
      <w:tabs>
        <w:tab w:val="right" w:leader="dot" w:pos="8640"/>
      </w:tabs>
      <w:spacing w:before="0" w:after="0"/>
      <w:ind w:left="1080"/>
    </w:pPr>
    <w:rPr>
      <w:noProof/>
    </w:rPr>
  </w:style>
  <w:style w:type="paragraph" w:styleId="NormalIndent">
    <w:name w:val="Normal Indent"/>
    <w:basedOn w:val="Normal"/>
    <w:rsid w:val="00EA3C13"/>
    <w:pPr>
      <w:tabs>
        <w:tab w:val="left" w:pos="360"/>
      </w:tabs>
      <w:ind w:left="720"/>
    </w:pPr>
    <w:rPr>
      <w:rFonts w:ascii="CG Times (WN)" w:hAnsi="CG Times (WN)"/>
      <w:lang w:val="en-US"/>
    </w:rPr>
  </w:style>
  <w:style w:type="paragraph" w:styleId="Header">
    <w:name w:val="header"/>
    <w:basedOn w:val="Normal"/>
    <w:uiPriority w:val="99"/>
    <w:rsid w:val="00EA3C13"/>
    <w:pPr>
      <w:tabs>
        <w:tab w:val="center" w:pos="4252"/>
        <w:tab w:val="right" w:pos="8504"/>
      </w:tabs>
    </w:pPr>
    <w:rPr>
      <w:sz w:val="20"/>
    </w:rPr>
  </w:style>
  <w:style w:type="paragraph" w:styleId="Footer">
    <w:name w:val="footer"/>
    <w:basedOn w:val="Normal"/>
    <w:uiPriority w:val="99"/>
    <w:rsid w:val="00EA3C13"/>
    <w:pPr>
      <w:tabs>
        <w:tab w:val="center" w:pos="4252"/>
        <w:tab w:val="right" w:pos="8504"/>
      </w:tabs>
    </w:pPr>
    <w:rPr>
      <w:sz w:val="20"/>
    </w:rPr>
  </w:style>
  <w:style w:type="paragraph" w:styleId="TOC4">
    <w:name w:val="toc 4"/>
    <w:basedOn w:val="Normal"/>
    <w:next w:val="Heading4"/>
    <w:autoRedefine/>
    <w:semiHidden/>
    <w:rsid w:val="00EA3C13"/>
    <w:pPr>
      <w:tabs>
        <w:tab w:val="right" w:leader="dot" w:pos="8640"/>
      </w:tabs>
      <w:spacing w:before="0" w:after="0"/>
      <w:ind w:left="1440"/>
    </w:pPr>
  </w:style>
  <w:style w:type="paragraph" w:styleId="TOC5">
    <w:name w:val="toc 5"/>
    <w:basedOn w:val="Normal"/>
    <w:next w:val="Normal"/>
    <w:autoRedefine/>
    <w:semiHidden/>
    <w:rsid w:val="00EA3C13"/>
    <w:pPr>
      <w:tabs>
        <w:tab w:val="right" w:leader="dot" w:pos="8640"/>
      </w:tabs>
      <w:ind w:left="960"/>
    </w:pPr>
  </w:style>
  <w:style w:type="paragraph" w:styleId="TOC6">
    <w:name w:val="toc 6"/>
    <w:basedOn w:val="Normal"/>
    <w:next w:val="Normal"/>
    <w:autoRedefine/>
    <w:semiHidden/>
    <w:rsid w:val="00EA3C13"/>
    <w:pPr>
      <w:tabs>
        <w:tab w:val="right" w:leader="dot" w:pos="8640"/>
      </w:tabs>
      <w:ind w:left="1200"/>
    </w:pPr>
  </w:style>
  <w:style w:type="paragraph" w:styleId="TOC7">
    <w:name w:val="toc 7"/>
    <w:basedOn w:val="Normal"/>
    <w:next w:val="Normal"/>
    <w:autoRedefine/>
    <w:semiHidden/>
    <w:rsid w:val="00EA3C13"/>
    <w:pPr>
      <w:tabs>
        <w:tab w:val="right" w:leader="dot" w:pos="8640"/>
      </w:tabs>
      <w:ind w:left="1440"/>
    </w:pPr>
  </w:style>
  <w:style w:type="paragraph" w:styleId="TOC8">
    <w:name w:val="toc 8"/>
    <w:basedOn w:val="Normal"/>
    <w:next w:val="Normal"/>
    <w:autoRedefine/>
    <w:semiHidden/>
    <w:rsid w:val="00EA3C13"/>
    <w:pPr>
      <w:tabs>
        <w:tab w:val="right" w:leader="dot" w:pos="8640"/>
      </w:tabs>
      <w:ind w:left="1680"/>
    </w:pPr>
  </w:style>
  <w:style w:type="paragraph" w:styleId="TOC9">
    <w:name w:val="toc 9"/>
    <w:basedOn w:val="Normal"/>
    <w:next w:val="Normal"/>
    <w:autoRedefine/>
    <w:semiHidden/>
    <w:rsid w:val="00EA3C13"/>
    <w:pPr>
      <w:tabs>
        <w:tab w:val="right" w:leader="dot" w:pos="8640"/>
      </w:tabs>
      <w:ind w:left="1920"/>
    </w:pPr>
  </w:style>
  <w:style w:type="character" w:styleId="CommentReference">
    <w:name w:val="annotation reference"/>
    <w:basedOn w:val="DefaultParagraphFont"/>
    <w:uiPriority w:val="99"/>
    <w:semiHidden/>
    <w:rsid w:val="00EA3C13"/>
    <w:rPr>
      <w:rFonts w:cs="Times New Roman"/>
      <w:sz w:val="16"/>
      <w:szCs w:val="16"/>
    </w:rPr>
  </w:style>
  <w:style w:type="paragraph" w:styleId="CommentText">
    <w:name w:val="annotation text"/>
    <w:basedOn w:val="Normal"/>
    <w:uiPriority w:val="99"/>
    <w:rsid w:val="00EA3C13"/>
    <w:rPr>
      <w:sz w:val="20"/>
    </w:rPr>
  </w:style>
  <w:style w:type="character" w:customStyle="1" w:styleId="CommentTextChar">
    <w:name w:val="Comment Text Char"/>
    <w:basedOn w:val="DefaultParagraphFont"/>
    <w:uiPriority w:val="99"/>
    <w:rsid w:val="00EA3C13"/>
    <w:rPr>
      <w:rFonts w:cs="Times New Roman"/>
      <w:noProof w:val="0"/>
      <w:lang w:val="en-GB"/>
    </w:rPr>
  </w:style>
  <w:style w:type="paragraph" w:styleId="CommentSubject">
    <w:name w:val="annotation subject"/>
    <w:basedOn w:val="CommentText"/>
    <w:next w:val="CommentText"/>
    <w:semiHidden/>
    <w:rsid w:val="00EA3C13"/>
    <w:rPr>
      <w:b/>
      <w:bCs/>
    </w:rPr>
  </w:style>
  <w:style w:type="character" w:customStyle="1" w:styleId="CommentSubjectChar">
    <w:name w:val="Comment Subject Char"/>
    <w:basedOn w:val="CommentTextChar"/>
    <w:semiHidden/>
    <w:rsid w:val="00EA3C13"/>
    <w:rPr>
      <w:rFonts w:cs="Times New Roman"/>
      <w:b/>
      <w:bCs/>
      <w:noProof w:val="0"/>
      <w:lang w:val="en-GB"/>
    </w:rPr>
  </w:style>
  <w:style w:type="paragraph" w:styleId="BalloonText">
    <w:name w:val="Balloon Text"/>
    <w:basedOn w:val="Normal"/>
    <w:semiHidden/>
    <w:rsid w:val="00EA3C13"/>
    <w:pPr>
      <w:spacing w:before="0" w:after="0"/>
    </w:pPr>
    <w:rPr>
      <w:rFonts w:ascii="Tahoma" w:hAnsi="Tahoma" w:cs="Calibri"/>
      <w:sz w:val="16"/>
      <w:szCs w:val="16"/>
    </w:rPr>
  </w:style>
  <w:style w:type="character" w:customStyle="1" w:styleId="BalloonTextChar">
    <w:name w:val="Balloon Text Char"/>
    <w:basedOn w:val="DefaultParagraphFont"/>
    <w:semiHidden/>
    <w:rsid w:val="00EA3C13"/>
    <w:rPr>
      <w:rFonts w:ascii="Tahoma" w:hAnsi="Tahoma" w:cs="Calibri"/>
      <w:noProof w:val="0"/>
      <w:sz w:val="16"/>
      <w:szCs w:val="16"/>
      <w:lang w:val="en-GB"/>
    </w:rPr>
  </w:style>
  <w:style w:type="paragraph" w:styleId="Caption">
    <w:name w:val="caption"/>
    <w:basedOn w:val="Normal"/>
    <w:next w:val="Normal"/>
    <w:link w:val="CaptionChar"/>
    <w:autoRedefine/>
    <w:qFormat/>
    <w:rsid w:val="00600A00"/>
    <w:pPr>
      <w:tabs>
        <w:tab w:val="left" w:pos="851"/>
      </w:tabs>
      <w:overflowPunct/>
      <w:autoSpaceDE/>
      <w:autoSpaceDN/>
      <w:adjustRightInd/>
      <w:textAlignment w:val="auto"/>
    </w:pPr>
    <w:rPr>
      <w:bCs/>
      <w:i/>
      <w:szCs w:val="22"/>
      <w:lang w:eastAsia="en-US"/>
    </w:rPr>
  </w:style>
  <w:style w:type="paragraph" w:styleId="Revision">
    <w:name w:val="Revision"/>
    <w:hidden/>
    <w:semiHidden/>
    <w:rsid w:val="00EA3C13"/>
    <w:rPr>
      <w:sz w:val="24"/>
    </w:rPr>
  </w:style>
  <w:style w:type="character" w:styleId="FootnoteReference">
    <w:name w:val="footnote reference"/>
    <w:basedOn w:val="DefaultParagraphFont"/>
    <w:semiHidden/>
    <w:rsid w:val="00EA3C13"/>
    <w:rPr>
      <w:rFonts w:cs="Times New Roman"/>
      <w:vertAlign w:val="superscript"/>
    </w:rPr>
  </w:style>
  <w:style w:type="paragraph" w:customStyle="1" w:styleId="bullets">
    <w:name w:val="bullets"/>
    <w:basedOn w:val="Normal"/>
    <w:autoRedefine/>
    <w:rsid w:val="00EA3C13"/>
    <w:pPr>
      <w:numPr>
        <w:numId w:val="2"/>
      </w:numPr>
      <w:overflowPunct/>
      <w:autoSpaceDE/>
      <w:autoSpaceDN/>
      <w:adjustRightInd/>
      <w:spacing w:before="60" w:after="60"/>
      <w:textAlignment w:val="auto"/>
    </w:pPr>
    <w:rPr>
      <w:rFonts w:ascii="Arial" w:eastAsia="MS Mincho" w:hAnsi="Arial" w:cs="Arial"/>
      <w:szCs w:val="24"/>
      <w:lang w:val="en-US"/>
    </w:rPr>
  </w:style>
  <w:style w:type="character" w:customStyle="1" w:styleId="bulletsChar">
    <w:name w:val="bullets Char"/>
    <w:basedOn w:val="DefaultParagraphFont"/>
    <w:rsid w:val="00EA3C13"/>
    <w:rPr>
      <w:rFonts w:ascii="Arial" w:eastAsia="MS Mincho" w:hAnsi="Arial" w:cs="Arial"/>
      <w:noProof w:val="0"/>
      <w:sz w:val="22"/>
      <w:szCs w:val="24"/>
      <w:lang w:val="en-US"/>
    </w:rPr>
  </w:style>
  <w:style w:type="character" w:customStyle="1" w:styleId="BodyTextChar1">
    <w:name w:val="Body Text Char1"/>
    <w:basedOn w:val="DefaultParagraphFont"/>
    <w:rsid w:val="00EA3C13"/>
    <w:rPr>
      <w:rFonts w:cs="Times New Roman"/>
      <w:noProof w:val="0"/>
      <w:spacing w:val="-5"/>
      <w:sz w:val="22"/>
      <w:lang w:val="en-CA" w:eastAsia="en-US" w:bidi="ar-SA"/>
    </w:rPr>
  </w:style>
  <w:style w:type="paragraph" w:styleId="ListParagraph">
    <w:name w:val="List Paragraph"/>
    <w:basedOn w:val="Normal"/>
    <w:uiPriority w:val="34"/>
    <w:qFormat/>
    <w:rsid w:val="00EA3C13"/>
    <w:pPr>
      <w:ind w:left="720"/>
    </w:pPr>
  </w:style>
  <w:style w:type="paragraph" w:styleId="TableofFigures">
    <w:name w:val="table of figures"/>
    <w:basedOn w:val="Normal"/>
    <w:next w:val="Normal"/>
    <w:uiPriority w:val="99"/>
    <w:rsid w:val="00EA3C13"/>
  </w:style>
  <w:style w:type="character" w:styleId="Hyperlink">
    <w:name w:val="Hyperlink"/>
    <w:basedOn w:val="DefaultParagraphFont"/>
    <w:uiPriority w:val="99"/>
    <w:rsid w:val="00EA3C13"/>
    <w:rPr>
      <w:rFonts w:cs="Times New Roman"/>
      <w:color w:val="0000FF"/>
      <w:u w:val="single"/>
    </w:rPr>
  </w:style>
  <w:style w:type="paragraph" w:customStyle="1" w:styleId="bullet2">
    <w:name w:val="bullet2"/>
    <w:basedOn w:val="Normal"/>
    <w:rsid w:val="00EA3C13"/>
    <w:pPr>
      <w:numPr>
        <w:numId w:val="3"/>
      </w:numPr>
      <w:overflowPunct/>
      <w:autoSpaceDE/>
      <w:autoSpaceDN/>
      <w:adjustRightInd/>
      <w:spacing w:before="0"/>
      <w:textAlignment w:val="auto"/>
    </w:pPr>
    <w:rPr>
      <w:rFonts w:ascii="Arial" w:eastAsia="SimSun" w:hAnsi="Arial"/>
      <w:sz w:val="20"/>
      <w:lang w:val="en-GB" w:eastAsia="en-US"/>
    </w:rPr>
  </w:style>
  <w:style w:type="paragraph" w:customStyle="1" w:styleId="normalrationale">
    <w:name w:val="normal rationale"/>
    <w:basedOn w:val="Normal"/>
    <w:qFormat/>
    <w:rsid w:val="00EA3C13"/>
    <w:pPr>
      <w:spacing w:before="0"/>
    </w:pPr>
    <w:rPr>
      <w:szCs w:val="22"/>
      <w:lang w:eastAsia="en-US"/>
    </w:rPr>
  </w:style>
  <w:style w:type="character" w:customStyle="1" w:styleId="normalrationaleChar">
    <w:name w:val="normal rationale Char"/>
    <w:basedOn w:val="DefaultParagraphFont"/>
    <w:rsid w:val="00EA3C13"/>
    <w:rPr>
      <w:sz w:val="22"/>
      <w:szCs w:val="22"/>
      <w:lang w:eastAsia="en-US"/>
    </w:rPr>
  </w:style>
  <w:style w:type="paragraph" w:styleId="BodyText2">
    <w:name w:val="Body Text 2"/>
    <w:basedOn w:val="Normal"/>
    <w:semiHidden/>
    <w:rsid w:val="00EA3C13"/>
    <w:pPr>
      <w:spacing w:line="480" w:lineRule="auto"/>
    </w:pPr>
  </w:style>
  <w:style w:type="character" w:customStyle="1" w:styleId="BodyText2Char">
    <w:name w:val="Body Text 2 Char"/>
    <w:basedOn w:val="DefaultParagraphFont"/>
    <w:rsid w:val="00EA3C13"/>
    <w:rPr>
      <w:sz w:val="24"/>
    </w:rPr>
  </w:style>
  <w:style w:type="character" w:customStyle="1" w:styleId="Heading5Char">
    <w:name w:val="Heading 5 Char"/>
    <w:basedOn w:val="DefaultParagraphFont"/>
    <w:semiHidden/>
    <w:rsid w:val="00EA3C13"/>
    <w:rPr>
      <w:rFonts w:ascii="Cambria" w:eastAsia="Times New Roman" w:hAnsi="Cambria" w:cs="Times New Roman"/>
      <w:color w:val="243F60"/>
      <w:sz w:val="22"/>
    </w:rPr>
  </w:style>
  <w:style w:type="paragraph" w:styleId="NoSpacing">
    <w:name w:val="No Spacing"/>
    <w:uiPriority w:val="1"/>
    <w:qFormat/>
    <w:rsid w:val="00EA3C13"/>
    <w:rPr>
      <w:sz w:val="24"/>
      <w:szCs w:val="22"/>
      <w:lang w:eastAsia="en-US"/>
    </w:rPr>
  </w:style>
  <w:style w:type="character" w:customStyle="1" w:styleId="HeaderChar">
    <w:name w:val="Header Char"/>
    <w:basedOn w:val="DefaultParagraphFont"/>
    <w:uiPriority w:val="99"/>
    <w:rsid w:val="00EA3C13"/>
  </w:style>
  <w:style w:type="character" w:customStyle="1" w:styleId="FooterChar">
    <w:name w:val="Footer Char"/>
    <w:basedOn w:val="DefaultParagraphFont"/>
    <w:uiPriority w:val="99"/>
    <w:rsid w:val="00EA3C13"/>
  </w:style>
  <w:style w:type="character" w:customStyle="1" w:styleId="Heading6Char">
    <w:name w:val="Heading 6 Char"/>
    <w:basedOn w:val="DefaultParagraphFont"/>
    <w:rsid w:val="00EA3C13"/>
    <w:rPr>
      <w:rFonts w:ascii="Franklin Gothic Book" w:eastAsia="Times New Roman" w:hAnsi="Franklin Gothic Book" w:cs="Courier New"/>
      <w:b/>
      <w:noProof w:val="0"/>
      <w:color w:val="788843"/>
      <w:sz w:val="20"/>
      <w:szCs w:val="20"/>
      <w:lang w:val="en-US" w:eastAsia="ja-JP" w:bidi="en-US"/>
    </w:rPr>
  </w:style>
  <w:style w:type="paragraph" w:styleId="DocumentMap">
    <w:name w:val="Document Map"/>
    <w:basedOn w:val="Normal"/>
    <w:semiHidden/>
    <w:rsid w:val="00EA3C13"/>
    <w:pPr>
      <w:spacing w:before="0" w:after="0"/>
    </w:pPr>
    <w:rPr>
      <w:rFonts w:ascii="Tahoma" w:hAnsi="Tahoma" w:cs="Calibri"/>
      <w:sz w:val="16"/>
      <w:szCs w:val="16"/>
    </w:rPr>
  </w:style>
  <w:style w:type="character" w:customStyle="1" w:styleId="DocumentMapChar">
    <w:name w:val="Document Map Char"/>
    <w:basedOn w:val="DefaultParagraphFont"/>
    <w:rsid w:val="00EA3C13"/>
    <w:rPr>
      <w:rFonts w:ascii="Tahoma" w:hAnsi="Tahoma" w:cs="Calibri"/>
      <w:sz w:val="16"/>
      <w:szCs w:val="16"/>
    </w:rPr>
  </w:style>
  <w:style w:type="paragraph" w:styleId="FootnoteText">
    <w:name w:val="footnote text"/>
    <w:basedOn w:val="Normal"/>
    <w:semiHidden/>
    <w:rsid w:val="00EA3C13"/>
    <w:pPr>
      <w:spacing w:before="0" w:after="0"/>
    </w:pPr>
    <w:rPr>
      <w:sz w:val="20"/>
    </w:rPr>
  </w:style>
  <w:style w:type="character" w:customStyle="1" w:styleId="FootnoteTextChar">
    <w:name w:val="Footnote Text Char"/>
    <w:basedOn w:val="DefaultParagraphFont"/>
    <w:rsid w:val="00EA3C13"/>
  </w:style>
  <w:style w:type="paragraph" w:styleId="BodyText3">
    <w:name w:val="Body Text 3"/>
    <w:basedOn w:val="Normal"/>
    <w:link w:val="BodyText3Char"/>
    <w:semiHidden/>
    <w:rsid w:val="00EA3C13"/>
    <w:rPr>
      <w:color w:val="008080"/>
    </w:rPr>
  </w:style>
  <w:style w:type="paragraph" w:styleId="BodyTextIndent">
    <w:name w:val="Body Text Indent"/>
    <w:basedOn w:val="Normal"/>
    <w:semiHidden/>
    <w:rsid w:val="00EA3C13"/>
    <w:pPr>
      <w:spacing w:line="240" w:lineRule="atLeast"/>
      <w:ind w:left="851" w:hanging="284"/>
    </w:pPr>
    <w:rPr>
      <w:b/>
      <w:color w:val="008080"/>
      <w:sz w:val="20"/>
    </w:rPr>
  </w:style>
  <w:style w:type="character" w:styleId="FollowedHyperlink">
    <w:name w:val="FollowedHyperlink"/>
    <w:basedOn w:val="DefaultParagraphFont"/>
    <w:semiHidden/>
    <w:rsid w:val="00EA3C13"/>
    <w:rPr>
      <w:color w:val="800080"/>
      <w:u w:val="single"/>
    </w:rPr>
  </w:style>
  <w:style w:type="paragraph" w:customStyle="1" w:styleId="sub">
    <w:name w:val="sub"/>
    <w:basedOn w:val="Normal"/>
    <w:rsid w:val="00F642B5"/>
    <w:pPr>
      <w:overflowPunct/>
      <w:autoSpaceDE/>
      <w:autoSpaceDN/>
      <w:adjustRightInd/>
      <w:spacing w:after="0" w:line="360" w:lineRule="atLeast"/>
      <w:ind w:left="1464"/>
      <w:textAlignment w:val="auto"/>
    </w:pPr>
    <w:rPr>
      <w:rFonts w:ascii="Verdana" w:hAnsi="Verdana"/>
      <w:color w:val="000000"/>
      <w:sz w:val="24"/>
      <w:szCs w:val="24"/>
    </w:rPr>
  </w:style>
  <w:style w:type="paragraph" w:customStyle="1" w:styleId="para">
    <w:name w:val="para"/>
    <w:basedOn w:val="Normal"/>
    <w:rsid w:val="00F642B5"/>
    <w:pPr>
      <w:overflowPunct/>
      <w:autoSpaceDE/>
      <w:autoSpaceDN/>
      <w:adjustRightInd/>
      <w:spacing w:after="0" w:line="360" w:lineRule="atLeast"/>
      <w:ind w:left="2640"/>
      <w:textAlignment w:val="auto"/>
    </w:pPr>
    <w:rPr>
      <w:rFonts w:ascii="Verdana" w:hAnsi="Verdana"/>
      <w:color w:val="000000"/>
      <w:sz w:val="24"/>
      <w:szCs w:val="24"/>
    </w:rPr>
  </w:style>
  <w:style w:type="paragraph" w:customStyle="1" w:styleId="subpara">
    <w:name w:val="subpara"/>
    <w:basedOn w:val="Normal"/>
    <w:rsid w:val="00F642B5"/>
    <w:pPr>
      <w:overflowPunct/>
      <w:autoSpaceDE/>
      <w:autoSpaceDN/>
      <w:adjustRightInd/>
      <w:spacing w:before="72" w:after="0" w:line="360" w:lineRule="atLeast"/>
      <w:ind w:left="3360"/>
      <w:textAlignment w:val="auto"/>
    </w:pPr>
    <w:rPr>
      <w:rFonts w:ascii="Verdana" w:hAnsi="Verdana"/>
      <w:color w:val="000000"/>
      <w:sz w:val="24"/>
      <w:szCs w:val="24"/>
    </w:rPr>
  </w:style>
  <w:style w:type="paragraph" w:customStyle="1" w:styleId="sec1">
    <w:name w:val="sec1"/>
    <w:basedOn w:val="Normal"/>
    <w:rsid w:val="00F642B5"/>
    <w:pPr>
      <w:overflowPunct/>
      <w:autoSpaceDE/>
      <w:autoSpaceDN/>
      <w:adjustRightInd/>
      <w:spacing w:before="168" w:after="168" w:line="360" w:lineRule="atLeast"/>
      <w:ind w:left="1464" w:hanging="264"/>
      <w:textAlignment w:val="auto"/>
    </w:pPr>
    <w:rPr>
      <w:rFonts w:ascii="Verdana" w:hAnsi="Verdana"/>
      <w:color w:val="000000"/>
      <w:sz w:val="24"/>
      <w:szCs w:val="24"/>
    </w:rPr>
  </w:style>
  <w:style w:type="character" w:styleId="Strong">
    <w:name w:val="Strong"/>
    <w:basedOn w:val="DefaultParagraphFont"/>
    <w:uiPriority w:val="22"/>
    <w:qFormat/>
    <w:rsid w:val="00F642B5"/>
    <w:rPr>
      <w:b/>
      <w:bCs/>
    </w:rPr>
  </w:style>
  <w:style w:type="character" w:styleId="Emphasis">
    <w:name w:val="Emphasis"/>
    <w:basedOn w:val="DefaultParagraphFont"/>
    <w:uiPriority w:val="20"/>
    <w:qFormat/>
    <w:rsid w:val="00F642B5"/>
    <w:rPr>
      <w:i/>
      <w:iCs/>
    </w:rPr>
  </w:style>
  <w:style w:type="character" w:customStyle="1" w:styleId="xdlistitem1">
    <w:name w:val="xdlistitem1"/>
    <w:basedOn w:val="DefaultParagraphFont"/>
    <w:rsid w:val="00472D5F"/>
  </w:style>
  <w:style w:type="paragraph" w:styleId="ListNumber">
    <w:name w:val="List Number"/>
    <w:basedOn w:val="Normal"/>
    <w:uiPriority w:val="99"/>
    <w:unhideWhenUsed/>
    <w:rsid w:val="00764CD1"/>
    <w:pPr>
      <w:numPr>
        <w:numId w:val="28"/>
      </w:numPr>
    </w:pPr>
    <w:rPr>
      <w:color w:val="000000" w:themeColor="text1"/>
      <w:lang w:val="en-GB" w:eastAsia="en-US"/>
    </w:rPr>
  </w:style>
  <w:style w:type="character" w:customStyle="1" w:styleId="Heading3Char">
    <w:name w:val="Heading 3 Char"/>
    <w:basedOn w:val="DefaultParagraphFont"/>
    <w:link w:val="Heading3"/>
    <w:rsid w:val="006617DE"/>
    <w:rPr>
      <w:i/>
      <w:sz w:val="24"/>
      <w:lang w:val="en-US"/>
    </w:rPr>
  </w:style>
  <w:style w:type="character" w:customStyle="1" w:styleId="BodyText3Char">
    <w:name w:val="Body Text 3 Char"/>
    <w:basedOn w:val="DefaultParagraphFont"/>
    <w:link w:val="BodyText3"/>
    <w:semiHidden/>
    <w:rsid w:val="00BC4D35"/>
    <w:rPr>
      <w:color w:val="008080"/>
      <w:sz w:val="22"/>
    </w:rPr>
  </w:style>
  <w:style w:type="character" w:customStyle="1" w:styleId="apple-converted-space">
    <w:name w:val="apple-converted-space"/>
    <w:basedOn w:val="DefaultParagraphFont"/>
    <w:rsid w:val="00F04812"/>
  </w:style>
  <w:style w:type="paragraph" w:styleId="PlainText">
    <w:name w:val="Plain Text"/>
    <w:basedOn w:val="Normal"/>
    <w:link w:val="PlainTextChar"/>
    <w:uiPriority w:val="99"/>
    <w:semiHidden/>
    <w:unhideWhenUsed/>
    <w:rsid w:val="004C2376"/>
    <w:pPr>
      <w:overflowPunct/>
      <w:autoSpaceDE/>
      <w:autoSpaceDN/>
      <w:adjustRightInd/>
      <w:spacing w:before="0" w:after="0"/>
      <w:textAlignment w:val="auto"/>
    </w:pPr>
    <w:rPr>
      <w:rFonts w:ascii="Calibri" w:eastAsiaTheme="minorHAnsi" w:hAnsi="Calibri" w:cs="Calibri"/>
      <w:szCs w:val="22"/>
      <w:lang w:eastAsia="en-US"/>
    </w:rPr>
  </w:style>
  <w:style w:type="character" w:customStyle="1" w:styleId="PlainTextChar">
    <w:name w:val="Plain Text Char"/>
    <w:basedOn w:val="DefaultParagraphFont"/>
    <w:link w:val="PlainText"/>
    <w:uiPriority w:val="99"/>
    <w:semiHidden/>
    <w:rsid w:val="004C2376"/>
    <w:rPr>
      <w:rFonts w:ascii="Calibri" w:eastAsiaTheme="minorHAnsi" w:hAnsi="Calibri" w:cs="Calibri"/>
      <w:sz w:val="22"/>
      <w:szCs w:val="22"/>
      <w:lang w:eastAsia="en-US"/>
    </w:rPr>
  </w:style>
  <w:style w:type="paragraph" w:customStyle="1" w:styleId="Default">
    <w:name w:val="Default"/>
    <w:rsid w:val="00DA668F"/>
    <w:pPr>
      <w:autoSpaceDE w:val="0"/>
      <w:autoSpaceDN w:val="0"/>
      <w:adjustRightInd w:val="0"/>
    </w:pPr>
    <w:rPr>
      <w:rFonts w:eastAsiaTheme="minorHAnsi"/>
      <w:color w:val="000000"/>
      <w:sz w:val="24"/>
      <w:szCs w:val="24"/>
      <w:lang w:eastAsia="en-US"/>
    </w:rPr>
  </w:style>
  <w:style w:type="paragraph" w:customStyle="1" w:styleId="caption1">
    <w:name w:val="caption1"/>
    <w:basedOn w:val="Caption"/>
    <w:link w:val="caption1Char"/>
    <w:qFormat/>
    <w:rsid w:val="00F37DC9"/>
  </w:style>
  <w:style w:type="character" w:customStyle="1" w:styleId="CaptionChar">
    <w:name w:val="Caption Char"/>
    <w:basedOn w:val="DefaultParagraphFont"/>
    <w:link w:val="Caption"/>
    <w:rsid w:val="00F37DC9"/>
    <w:rPr>
      <w:bCs/>
      <w:i/>
      <w:sz w:val="22"/>
      <w:szCs w:val="22"/>
      <w:lang w:eastAsia="en-US"/>
    </w:rPr>
  </w:style>
  <w:style w:type="character" w:customStyle="1" w:styleId="caption1Char">
    <w:name w:val="caption1 Char"/>
    <w:basedOn w:val="CaptionChar"/>
    <w:link w:val="caption1"/>
    <w:rsid w:val="00F37DC9"/>
    <w:rPr>
      <w:bCs/>
      <w: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13"/>
    <w:pPr>
      <w:overflowPunct w:val="0"/>
      <w:autoSpaceDE w:val="0"/>
      <w:autoSpaceDN w:val="0"/>
      <w:adjustRightInd w:val="0"/>
      <w:spacing w:before="120" w:after="120"/>
      <w:textAlignment w:val="baseline"/>
    </w:pPr>
    <w:rPr>
      <w:sz w:val="22"/>
    </w:rPr>
  </w:style>
  <w:style w:type="paragraph" w:styleId="Heading1">
    <w:name w:val="heading 1"/>
    <w:basedOn w:val="Normal"/>
    <w:next w:val="BodyText"/>
    <w:qFormat/>
    <w:rsid w:val="00EA3C13"/>
    <w:pPr>
      <w:widowControl w:val="0"/>
      <w:outlineLvl w:val="0"/>
    </w:pPr>
    <w:rPr>
      <w:b/>
      <w:kern w:val="28"/>
      <w:sz w:val="26"/>
      <w:lang w:val="en-US"/>
    </w:rPr>
  </w:style>
  <w:style w:type="paragraph" w:styleId="Heading2">
    <w:name w:val="heading 2"/>
    <w:basedOn w:val="Heading1"/>
    <w:next w:val="Normal"/>
    <w:qFormat/>
    <w:rsid w:val="00EA3C13"/>
    <w:pPr>
      <w:tabs>
        <w:tab w:val="left" w:pos="709"/>
      </w:tabs>
      <w:spacing w:before="240" w:after="240"/>
      <w:outlineLvl w:val="1"/>
    </w:pPr>
    <w:rPr>
      <w:b w:val="0"/>
      <w:kern w:val="0"/>
      <w:sz w:val="24"/>
      <w:u w:val="single"/>
    </w:rPr>
  </w:style>
  <w:style w:type="paragraph" w:styleId="Heading3">
    <w:name w:val="heading 3"/>
    <w:basedOn w:val="Heading2"/>
    <w:next w:val="Normal"/>
    <w:link w:val="Heading3Char"/>
    <w:qFormat/>
    <w:rsid w:val="00EA3C13"/>
    <w:pPr>
      <w:tabs>
        <w:tab w:val="clear" w:pos="709"/>
        <w:tab w:val="left" w:pos="0"/>
      </w:tabs>
      <w:spacing w:before="120" w:after="120"/>
      <w:ind w:left="706" w:hanging="706"/>
      <w:outlineLvl w:val="2"/>
    </w:pPr>
    <w:rPr>
      <w:i/>
      <w:u w:val="none"/>
    </w:rPr>
  </w:style>
  <w:style w:type="paragraph" w:styleId="Heading4">
    <w:name w:val="heading 4"/>
    <w:basedOn w:val="Normal"/>
    <w:next w:val="Normal"/>
    <w:qFormat/>
    <w:rsid w:val="00EA3C13"/>
    <w:pPr>
      <w:widowControl w:val="0"/>
      <w:ind w:left="360"/>
      <w:outlineLvl w:val="3"/>
    </w:pPr>
    <w:rPr>
      <w:i/>
    </w:rPr>
  </w:style>
  <w:style w:type="paragraph" w:styleId="Heading5">
    <w:name w:val="heading 5"/>
    <w:basedOn w:val="Normal"/>
    <w:next w:val="Normal"/>
    <w:qFormat/>
    <w:rsid w:val="00EA3C13"/>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A3C13"/>
    <w:pPr>
      <w:spacing w:after="160"/>
    </w:pPr>
    <w:rPr>
      <w:lang w:val="en-US"/>
    </w:rPr>
  </w:style>
  <w:style w:type="character" w:styleId="PageNumber">
    <w:name w:val="page number"/>
    <w:basedOn w:val="DefaultParagraphFont"/>
    <w:semiHidden/>
    <w:rsid w:val="00EA3C13"/>
    <w:rPr>
      <w:rFonts w:cs="Times New Roman"/>
    </w:rPr>
  </w:style>
  <w:style w:type="paragraph" w:styleId="TOC1">
    <w:name w:val="toc 1"/>
    <w:basedOn w:val="Normal"/>
    <w:next w:val="Heading4"/>
    <w:autoRedefine/>
    <w:uiPriority w:val="39"/>
    <w:rsid w:val="00EA3C13"/>
    <w:pPr>
      <w:widowControl w:val="0"/>
      <w:tabs>
        <w:tab w:val="right" w:leader="dot" w:pos="8640"/>
      </w:tabs>
      <w:spacing w:before="0" w:after="0"/>
    </w:pPr>
    <w:rPr>
      <w:noProof/>
    </w:rPr>
  </w:style>
  <w:style w:type="paragraph" w:styleId="TOC2">
    <w:name w:val="toc 2"/>
    <w:basedOn w:val="Normal"/>
    <w:next w:val="Heading2"/>
    <w:autoRedefine/>
    <w:uiPriority w:val="39"/>
    <w:rsid w:val="00EA3C13"/>
    <w:pPr>
      <w:tabs>
        <w:tab w:val="right" w:leader="dot" w:pos="8640"/>
      </w:tabs>
      <w:spacing w:before="0" w:after="0"/>
      <w:ind w:left="720"/>
    </w:pPr>
    <w:rPr>
      <w:noProof/>
    </w:rPr>
  </w:style>
  <w:style w:type="paragraph" w:styleId="TOC3">
    <w:name w:val="toc 3"/>
    <w:basedOn w:val="Normal"/>
    <w:next w:val="Heading3"/>
    <w:autoRedefine/>
    <w:uiPriority w:val="39"/>
    <w:rsid w:val="00EA3C13"/>
    <w:pPr>
      <w:tabs>
        <w:tab w:val="right" w:leader="dot" w:pos="8640"/>
      </w:tabs>
      <w:spacing w:before="0" w:after="0"/>
      <w:ind w:left="1080"/>
    </w:pPr>
    <w:rPr>
      <w:noProof/>
    </w:rPr>
  </w:style>
  <w:style w:type="paragraph" w:styleId="NormalIndent">
    <w:name w:val="Normal Indent"/>
    <w:basedOn w:val="Normal"/>
    <w:rsid w:val="00EA3C13"/>
    <w:pPr>
      <w:tabs>
        <w:tab w:val="left" w:pos="360"/>
      </w:tabs>
      <w:ind w:left="720"/>
    </w:pPr>
    <w:rPr>
      <w:rFonts w:ascii="CG Times (WN)" w:hAnsi="CG Times (WN)"/>
      <w:lang w:val="en-US"/>
    </w:rPr>
  </w:style>
  <w:style w:type="paragraph" w:styleId="Header">
    <w:name w:val="header"/>
    <w:basedOn w:val="Normal"/>
    <w:uiPriority w:val="99"/>
    <w:rsid w:val="00EA3C13"/>
    <w:pPr>
      <w:tabs>
        <w:tab w:val="center" w:pos="4252"/>
        <w:tab w:val="right" w:pos="8504"/>
      </w:tabs>
    </w:pPr>
    <w:rPr>
      <w:sz w:val="20"/>
    </w:rPr>
  </w:style>
  <w:style w:type="paragraph" w:styleId="Footer">
    <w:name w:val="footer"/>
    <w:basedOn w:val="Normal"/>
    <w:uiPriority w:val="99"/>
    <w:rsid w:val="00EA3C13"/>
    <w:pPr>
      <w:tabs>
        <w:tab w:val="center" w:pos="4252"/>
        <w:tab w:val="right" w:pos="8504"/>
      </w:tabs>
    </w:pPr>
    <w:rPr>
      <w:sz w:val="20"/>
    </w:rPr>
  </w:style>
  <w:style w:type="paragraph" w:styleId="TOC4">
    <w:name w:val="toc 4"/>
    <w:basedOn w:val="Normal"/>
    <w:next w:val="Heading4"/>
    <w:autoRedefine/>
    <w:semiHidden/>
    <w:rsid w:val="00EA3C13"/>
    <w:pPr>
      <w:tabs>
        <w:tab w:val="right" w:leader="dot" w:pos="8640"/>
      </w:tabs>
      <w:spacing w:before="0" w:after="0"/>
      <w:ind w:left="1440"/>
    </w:pPr>
  </w:style>
  <w:style w:type="paragraph" w:styleId="TOC5">
    <w:name w:val="toc 5"/>
    <w:basedOn w:val="Normal"/>
    <w:next w:val="Normal"/>
    <w:autoRedefine/>
    <w:semiHidden/>
    <w:rsid w:val="00EA3C13"/>
    <w:pPr>
      <w:tabs>
        <w:tab w:val="right" w:leader="dot" w:pos="8640"/>
      </w:tabs>
      <w:ind w:left="960"/>
    </w:pPr>
  </w:style>
  <w:style w:type="paragraph" w:styleId="TOC6">
    <w:name w:val="toc 6"/>
    <w:basedOn w:val="Normal"/>
    <w:next w:val="Normal"/>
    <w:autoRedefine/>
    <w:semiHidden/>
    <w:rsid w:val="00EA3C13"/>
    <w:pPr>
      <w:tabs>
        <w:tab w:val="right" w:leader="dot" w:pos="8640"/>
      </w:tabs>
      <w:ind w:left="1200"/>
    </w:pPr>
  </w:style>
  <w:style w:type="paragraph" w:styleId="TOC7">
    <w:name w:val="toc 7"/>
    <w:basedOn w:val="Normal"/>
    <w:next w:val="Normal"/>
    <w:autoRedefine/>
    <w:semiHidden/>
    <w:rsid w:val="00EA3C13"/>
    <w:pPr>
      <w:tabs>
        <w:tab w:val="right" w:leader="dot" w:pos="8640"/>
      </w:tabs>
      <w:ind w:left="1440"/>
    </w:pPr>
  </w:style>
  <w:style w:type="paragraph" w:styleId="TOC8">
    <w:name w:val="toc 8"/>
    <w:basedOn w:val="Normal"/>
    <w:next w:val="Normal"/>
    <w:autoRedefine/>
    <w:semiHidden/>
    <w:rsid w:val="00EA3C13"/>
    <w:pPr>
      <w:tabs>
        <w:tab w:val="right" w:leader="dot" w:pos="8640"/>
      </w:tabs>
      <w:ind w:left="1680"/>
    </w:pPr>
  </w:style>
  <w:style w:type="paragraph" w:styleId="TOC9">
    <w:name w:val="toc 9"/>
    <w:basedOn w:val="Normal"/>
    <w:next w:val="Normal"/>
    <w:autoRedefine/>
    <w:semiHidden/>
    <w:rsid w:val="00EA3C13"/>
    <w:pPr>
      <w:tabs>
        <w:tab w:val="right" w:leader="dot" w:pos="8640"/>
      </w:tabs>
      <w:ind w:left="1920"/>
    </w:pPr>
  </w:style>
  <w:style w:type="character" w:styleId="CommentReference">
    <w:name w:val="annotation reference"/>
    <w:basedOn w:val="DefaultParagraphFont"/>
    <w:uiPriority w:val="99"/>
    <w:semiHidden/>
    <w:rsid w:val="00EA3C13"/>
    <w:rPr>
      <w:rFonts w:cs="Times New Roman"/>
      <w:sz w:val="16"/>
      <w:szCs w:val="16"/>
    </w:rPr>
  </w:style>
  <w:style w:type="paragraph" w:styleId="CommentText">
    <w:name w:val="annotation text"/>
    <w:basedOn w:val="Normal"/>
    <w:uiPriority w:val="99"/>
    <w:rsid w:val="00EA3C13"/>
    <w:rPr>
      <w:sz w:val="20"/>
    </w:rPr>
  </w:style>
  <w:style w:type="character" w:customStyle="1" w:styleId="CommentTextChar">
    <w:name w:val="Comment Text Char"/>
    <w:basedOn w:val="DefaultParagraphFont"/>
    <w:uiPriority w:val="99"/>
    <w:rsid w:val="00EA3C13"/>
    <w:rPr>
      <w:rFonts w:cs="Times New Roman"/>
      <w:noProof w:val="0"/>
      <w:lang w:val="en-GB"/>
    </w:rPr>
  </w:style>
  <w:style w:type="paragraph" w:styleId="CommentSubject">
    <w:name w:val="annotation subject"/>
    <w:basedOn w:val="CommentText"/>
    <w:next w:val="CommentText"/>
    <w:semiHidden/>
    <w:rsid w:val="00EA3C13"/>
    <w:rPr>
      <w:b/>
      <w:bCs/>
    </w:rPr>
  </w:style>
  <w:style w:type="character" w:customStyle="1" w:styleId="CommentSubjectChar">
    <w:name w:val="Comment Subject Char"/>
    <w:basedOn w:val="CommentTextChar"/>
    <w:semiHidden/>
    <w:rsid w:val="00EA3C13"/>
    <w:rPr>
      <w:rFonts w:cs="Times New Roman"/>
      <w:b/>
      <w:bCs/>
      <w:noProof w:val="0"/>
      <w:lang w:val="en-GB"/>
    </w:rPr>
  </w:style>
  <w:style w:type="paragraph" w:styleId="BalloonText">
    <w:name w:val="Balloon Text"/>
    <w:basedOn w:val="Normal"/>
    <w:semiHidden/>
    <w:rsid w:val="00EA3C13"/>
    <w:pPr>
      <w:spacing w:before="0" w:after="0"/>
    </w:pPr>
    <w:rPr>
      <w:rFonts w:ascii="Tahoma" w:hAnsi="Tahoma" w:cs="Calibri"/>
      <w:sz w:val="16"/>
      <w:szCs w:val="16"/>
    </w:rPr>
  </w:style>
  <w:style w:type="character" w:customStyle="1" w:styleId="BalloonTextChar">
    <w:name w:val="Balloon Text Char"/>
    <w:basedOn w:val="DefaultParagraphFont"/>
    <w:semiHidden/>
    <w:rsid w:val="00EA3C13"/>
    <w:rPr>
      <w:rFonts w:ascii="Tahoma" w:hAnsi="Tahoma" w:cs="Calibri"/>
      <w:noProof w:val="0"/>
      <w:sz w:val="16"/>
      <w:szCs w:val="16"/>
      <w:lang w:val="en-GB"/>
    </w:rPr>
  </w:style>
  <w:style w:type="paragraph" w:styleId="Caption">
    <w:name w:val="caption"/>
    <w:basedOn w:val="Normal"/>
    <w:next w:val="Normal"/>
    <w:link w:val="CaptionChar"/>
    <w:autoRedefine/>
    <w:qFormat/>
    <w:rsid w:val="00600A00"/>
    <w:pPr>
      <w:tabs>
        <w:tab w:val="left" w:pos="851"/>
      </w:tabs>
      <w:overflowPunct/>
      <w:autoSpaceDE/>
      <w:autoSpaceDN/>
      <w:adjustRightInd/>
      <w:textAlignment w:val="auto"/>
    </w:pPr>
    <w:rPr>
      <w:bCs/>
      <w:i/>
      <w:szCs w:val="22"/>
      <w:lang w:eastAsia="en-US"/>
    </w:rPr>
  </w:style>
  <w:style w:type="paragraph" w:styleId="Revision">
    <w:name w:val="Revision"/>
    <w:hidden/>
    <w:semiHidden/>
    <w:rsid w:val="00EA3C13"/>
    <w:rPr>
      <w:sz w:val="24"/>
    </w:rPr>
  </w:style>
  <w:style w:type="character" w:styleId="FootnoteReference">
    <w:name w:val="footnote reference"/>
    <w:basedOn w:val="DefaultParagraphFont"/>
    <w:semiHidden/>
    <w:rsid w:val="00EA3C13"/>
    <w:rPr>
      <w:rFonts w:cs="Times New Roman"/>
      <w:vertAlign w:val="superscript"/>
    </w:rPr>
  </w:style>
  <w:style w:type="paragraph" w:customStyle="1" w:styleId="bullets">
    <w:name w:val="bullets"/>
    <w:basedOn w:val="Normal"/>
    <w:autoRedefine/>
    <w:rsid w:val="00EA3C13"/>
    <w:pPr>
      <w:numPr>
        <w:numId w:val="2"/>
      </w:numPr>
      <w:overflowPunct/>
      <w:autoSpaceDE/>
      <w:autoSpaceDN/>
      <w:adjustRightInd/>
      <w:spacing w:before="60" w:after="60"/>
      <w:textAlignment w:val="auto"/>
    </w:pPr>
    <w:rPr>
      <w:rFonts w:ascii="Arial" w:eastAsia="MS Mincho" w:hAnsi="Arial" w:cs="Arial"/>
      <w:szCs w:val="24"/>
      <w:lang w:val="en-US"/>
    </w:rPr>
  </w:style>
  <w:style w:type="character" w:customStyle="1" w:styleId="bulletsChar">
    <w:name w:val="bullets Char"/>
    <w:basedOn w:val="DefaultParagraphFont"/>
    <w:rsid w:val="00EA3C13"/>
    <w:rPr>
      <w:rFonts w:ascii="Arial" w:eastAsia="MS Mincho" w:hAnsi="Arial" w:cs="Arial"/>
      <w:noProof w:val="0"/>
      <w:sz w:val="22"/>
      <w:szCs w:val="24"/>
      <w:lang w:val="en-US"/>
    </w:rPr>
  </w:style>
  <w:style w:type="character" w:customStyle="1" w:styleId="BodyTextChar1">
    <w:name w:val="Body Text Char1"/>
    <w:basedOn w:val="DefaultParagraphFont"/>
    <w:rsid w:val="00EA3C13"/>
    <w:rPr>
      <w:rFonts w:cs="Times New Roman"/>
      <w:noProof w:val="0"/>
      <w:spacing w:val="-5"/>
      <w:sz w:val="22"/>
      <w:lang w:val="en-CA" w:eastAsia="en-US" w:bidi="ar-SA"/>
    </w:rPr>
  </w:style>
  <w:style w:type="paragraph" w:styleId="ListParagraph">
    <w:name w:val="List Paragraph"/>
    <w:basedOn w:val="Normal"/>
    <w:uiPriority w:val="34"/>
    <w:qFormat/>
    <w:rsid w:val="00EA3C13"/>
    <w:pPr>
      <w:ind w:left="720"/>
    </w:pPr>
  </w:style>
  <w:style w:type="paragraph" w:styleId="TableofFigures">
    <w:name w:val="table of figures"/>
    <w:basedOn w:val="Normal"/>
    <w:next w:val="Normal"/>
    <w:uiPriority w:val="99"/>
    <w:rsid w:val="00EA3C13"/>
  </w:style>
  <w:style w:type="character" w:styleId="Hyperlink">
    <w:name w:val="Hyperlink"/>
    <w:basedOn w:val="DefaultParagraphFont"/>
    <w:uiPriority w:val="99"/>
    <w:rsid w:val="00EA3C13"/>
    <w:rPr>
      <w:rFonts w:cs="Times New Roman"/>
      <w:color w:val="0000FF"/>
      <w:u w:val="single"/>
    </w:rPr>
  </w:style>
  <w:style w:type="paragraph" w:customStyle="1" w:styleId="bullet2">
    <w:name w:val="bullet2"/>
    <w:basedOn w:val="Normal"/>
    <w:rsid w:val="00EA3C13"/>
    <w:pPr>
      <w:numPr>
        <w:numId w:val="3"/>
      </w:numPr>
      <w:overflowPunct/>
      <w:autoSpaceDE/>
      <w:autoSpaceDN/>
      <w:adjustRightInd/>
      <w:spacing w:before="0"/>
      <w:textAlignment w:val="auto"/>
    </w:pPr>
    <w:rPr>
      <w:rFonts w:ascii="Arial" w:eastAsia="SimSun" w:hAnsi="Arial"/>
      <w:sz w:val="20"/>
      <w:lang w:val="en-GB" w:eastAsia="en-US"/>
    </w:rPr>
  </w:style>
  <w:style w:type="paragraph" w:customStyle="1" w:styleId="normalrationale">
    <w:name w:val="normal rationale"/>
    <w:basedOn w:val="Normal"/>
    <w:qFormat/>
    <w:rsid w:val="00EA3C13"/>
    <w:pPr>
      <w:spacing w:before="0"/>
    </w:pPr>
    <w:rPr>
      <w:szCs w:val="22"/>
      <w:lang w:eastAsia="en-US"/>
    </w:rPr>
  </w:style>
  <w:style w:type="character" w:customStyle="1" w:styleId="normalrationaleChar">
    <w:name w:val="normal rationale Char"/>
    <w:basedOn w:val="DefaultParagraphFont"/>
    <w:rsid w:val="00EA3C13"/>
    <w:rPr>
      <w:sz w:val="22"/>
      <w:szCs w:val="22"/>
      <w:lang w:eastAsia="en-US"/>
    </w:rPr>
  </w:style>
  <w:style w:type="paragraph" w:styleId="BodyText2">
    <w:name w:val="Body Text 2"/>
    <w:basedOn w:val="Normal"/>
    <w:semiHidden/>
    <w:rsid w:val="00EA3C13"/>
    <w:pPr>
      <w:spacing w:line="480" w:lineRule="auto"/>
    </w:pPr>
  </w:style>
  <w:style w:type="character" w:customStyle="1" w:styleId="BodyText2Char">
    <w:name w:val="Body Text 2 Char"/>
    <w:basedOn w:val="DefaultParagraphFont"/>
    <w:rsid w:val="00EA3C13"/>
    <w:rPr>
      <w:sz w:val="24"/>
    </w:rPr>
  </w:style>
  <w:style w:type="character" w:customStyle="1" w:styleId="Heading5Char">
    <w:name w:val="Heading 5 Char"/>
    <w:basedOn w:val="DefaultParagraphFont"/>
    <w:semiHidden/>
    <w:rsid w:val="00EA3C13"/>
    <w:rPr>
      <w:rFonts w:ascii="Cambria" w:eastAsia="Times New Roman" w:hAnsi="Cambria" w:cs="Times New Roman"/>
      <w:color w:val="243F60"/>
      <w:sz w:val="22"/>
    </w:rPr>
  </w:style>
  <w:style w:type="paragraph" w:styleId="NoSpacing">
    <w:name w:val="No Spacing"/>
    <w:uiPriority w:val="1"/>
    <w:qFormat/>
    <w:rsid w:val="00EA3C13"/>
    <w:rPr>
      <w:sz w:val="24"/>
      <w:szCs w:val="22"/>
      <w:lang w:eastAsia="en-US"/>
    </w:rPr>
  </w:style>
  <w:style w:type="character" w:customStyle="1" w:styleId="HeaderChar">
    <w:name w:val="Header Char"/>
    <w:basedOn w:val="DefaultParagraphFont"/>
    <w:uiPriority w:val="99"/>
    <w:rsid w:val="00EA3C13"/>
  </w:style>
  <w:style w:type="character" w:customStyle="1" w:styleId="FooterChar">
    <w:name w:val="Footer Char"/>
    <w:basedOn w:val="DefaultParagraphFont"/>
    <w:uiPriority w:val="99"/>
    <w:rsid w:val="00EA3C13"/>
  </w:style>
  <w:style w:type="character" w:customStyle="1" w:styleId="Heading6Char">
    <w:name w:val="Heading 6 Char"/>
    <w:basedOn w:val="DefaultParagraphFont"/>
    <w:rsid w:val="00EA3C13"/>
    <w:rPr>
      <w:rFonts w:ascii="Franklin Gothic Book" w:eastAsia="Times New Roman" w:hAnsi="Franklin Gothic Book" w:cs="Courier New"/>
      <w:b/>
      <w:noProof w:val="0"/>
      <w:color w:val="788843"/>
      <w:sz w:val="20"/>
      <w:szCs w:val="20"/>
      <w:lang w:val="en-US" w:eastAsia="ja-JP" w:bidi="en-US"/>
    </w:rPr>
  </w:style>
  <w:style w:type="paragraph" w:styleId="DocumentMap">
    <w:name w:val="Document Map"/>
    <w:basedOn w:val="Normal"/>
    <w:semiHidden/>
    <w:rsid w:val="00EA3C13"/>
    <w:pPr>
      <w:spacing w:before="0" w:after="0"/>
    </w:pPr>
    <w:rPr>
      <w:rFonts w:ascii="Tahoma" w:hAnsi="Tahoma" w:cs="Calibri"/>
      <w:sz w:val="16"/>
      <w:szCs w:val="16"/>
    </w:rPr>
  </w:style>
  <w:style w:type="character" w:customStyle="1" w:styleId="DocumentMapChar">
    <w:name w:val="Document Map Char"/>
    <w:basedOn w:val="DefaultParagraphFont"/>
    <w:rsid w:val="00EA3C13"/>
    <w:rPr>
      <w:rFonts w:ascii="Tahoma" w:hAnsi="Tahoma" w:cs="Calibri"/>
      <w:sz w:val="16"/>
      <w:szCs w:val="16"/>
    </w:rPr>
  </w:style>
  <w:style w:type="paragraph" w:styleId="FootnoteText">
    <w:name w:val="footnote text"/>
    <w:basedOn w:val="Normal"/>
    <w:semiHidden/>
    <w:rsid w:val="00EA3C13"/>
    <w:pPr>
      <w:spacing w:before="0" w:after="0"/>
    </w:pPr>
    <w:rPr>
      <w:sz w:val="20"/>
    </w:rPr>
  </w:style>
  <w:style w:type="character" w:customStyle="1" w:styleId="FootnoteTextChar">
    <w:name w:val="Footnote Text Char"/>
    <w:basedOn w:val="DefaultParagraphFont"/>
    <w:rsid w:val="00EA3C13"/>
  </w:style>
  <w:style w:type="paragraph" w:styleId="BodyText3">
    <w:name w:val="Body Text 3"/>
    <w:basedOn w:val="Normal"/>
    <w:link w:val="BodyText3Char"/>
    <w:semiHidden/>
    <w:rsid w:val="00EA3C13"/>
    <w:rPr>
      <w:color w:val="008080"/>
    </w:rPr>
  </w:style>
  <w:style w:type="paragraph" w:styleId="BodyTextIndent">
    <w:name w:val="Body Text Indent"/>
    <w:basedOn w:val="Normal"/>
    <w:semiHidden/>
    <w:rsid w:val="00EA3C13"/>
    <w:pPr>
      <w:spacing w:line="240" w:lineRule="atLeast"/>
      <w:ind w:left="851" w:hanging="284"/>
    </w:pPr>
    <w:rPr>
      <w:b/>
      <w:color w:val="008080"/>
      <w:sz w:val="20"/>
    </w:rPr>
  </w:style>
  <w:style w:type="character" w:styleId="FollowedHyperlink">
    <w:name w:val="FollowedHyperlink"/>
    <w:basedOn w:val="DefaultParagraphFont"/>
    <w:semiHidden/>
    <w:rsid w:val="00EA3C13"/>
    <w:rPr>
      <w:color w:val="800080"/>
      <w:u w:val="single"/>
    </w:rPr>
  </w:style>
  <w:style w:type="paragraph" w:customStyle="1" w:styleId="sub">
    <w:name w:val="sub"/>
    <w:basedOn w:val="Normal"/>
    <w:rsid w:val="00F642B5"/>
    <w:pPr>
      <w:overflowPunct/>
      <w:autoSpaceDE/>
      <w:autoSpaceDN/>
      <w:adjustRightInd/>
      <w:spacing w:after="0" w:line="360" w:lineRule="atLeast"/>
      <w:ind w:left="1464"/>
      <w:textAlignment w:val="auto"/>
    </w:pPr>
    <w:rPr>
      <w:rFonts w:ascii="Verdana" w:hAnsi="Verdana"/>
      <w:color w:val="000000"/>
      <w:sz w:val="24"/>
      <w:szCs w:val="24"/>
    </w:rPr>
  </w:style>
  <w:style w:type="paragraph" w:customStyle="1" w:styleId="para">
    <w:name w:val="para"/>
    <w:basedOn w:val="Normal"/>
    <w:rsid w:val="00F642B5"/>
    <w:pPr>
      <w:overflowPunct/>
      <w:autoSpaceDE/>
      <w:autoSpaceDN/>
      <w:adjustRightInd/>
      <w:spacing w:after="0" w:line="360" w:lineRule="atLeast"/>
      <w:ind w:left="2640"/>
      <w:textAlignment w:val="auto"/>
    </w:pPr>
    <w:rPr>
      <w:rFonts w:ascii="Verdana" w:hAnsi="Verdana"/>
      <w:color w:val="000000"/>
      <w:sz w:val="24"/>
      <w:szCs w:val="24"/>
    </w:rPr>
  </w:style>
  <w:style w:type="paragraph" w:customStyle="1" w:styleId="subpara">
    <w:name w:val="subpara"/>
    <w:basedOn w:val="Normal"/>
    <w:rsid w:val="00F642B5"/>
    <w:pPr>
      <w:overflowPunct/>
      <w:autoSpaceDE/>
      <w:autoSpaceDN/>
      <w:adjustRightInd/>
      <w:spacing w:before="72" w:after="0" w:line="360" w:lineRule="atLeast"/>
      <w:ind w:left="3360"/>
      <w:textAlignment w:val="auto"/>
    </w:pPr>
    <w:rPr>
      <w:rFonts w:ascii="Verdana" w:hAnsi="Verdana"/>
      <w:color w:val="000000"/>
      <w:sz w:val="24"/>
      <w:szCs w:val="24"/>
    </w:rPr>
  </w:style>
  <w:style w:type="paragraph" w:customStyle="1" w:styleId="sec1">
    <w:name w:val="sec1"/>
    <w:basedOn w:val="Normal"/>
    <w:rsid w:val="00F642B5"/>
    <w:pPr>
      <w:overflowPunct/>
      <w:autoSpaceDE/>
      <w:autoSpaceDN/>
      <w:adjustRightInd/>
      <w:spacing w:before="168" w:after="168" w:line="360" w:lineRule="atLeast"/>
      <w:ind w:left="1464" w:hanging="264"/>
      <w:textAlignment w:val="auto"/>
    </w:pPr>
    <w:rPr>
      <w:rFonts w:ascii="Verdana" w:hAnsi="Verdana"/>
      <w:color w:val="000000"/>
      <w:sz w:val="24"/>
      <w:szCs w:val="24"/>
    </w:rPr>
  </w:style>
  <w:style w:type="character" w:styleId="Strong">
    <w:name w:val="Strong"/>
    <w:basedOn w:val="DefaultParagraphFont"/>
    <w:uiPriority w:val="22"/>
    <w:qFormat/>
    <w:rsid w:val="00F642B5"/>
    <w:rPr>
      <w:b/>
      <w:bCs/>
    </w:rPr>
  </w:style>
  <w:style w:type="character" w:styleId="Emphasis">
    <w:name w:val="Emphasis"/>
    <w:basedOn w:val="DefaultParagraphFont"/>
    <w:uiPriority w:val="20"/>
    <w:qFormat/>
    <w:rsid w:val="00F642B5"/>
    <w:rPr>
      <w:i/>
      <w:iCs/>
    </w:rPr>
  </w:style>
  <w:style w:type="character" w:customStyle="1" w:styleId="xdlistitem1">
    <w:name w:val="xdlistitem1"/>
    <w:basedOn w:val="DefaultParagraphFont"/>
    <w:rsid w:val="00472D5F"/>
  </w:style>
  <w:style w:type="paragraph" w:styleId="ListNumber">
    <w:name w:val="List Number"/>
    <w:basedOn w:val="Normal"/>
    <w:uiPriority w:val="99"/>
    <w:unhideWhenUsed/>
    <w:rsid w:val="00764CD1"/>
    <w:pPr>
      <w:numPr>
        <w:numId w:val="28"/>
      </w:numPr>
    </w:pPr>
    <w:rPr>
      <w:color w:val="000000" w:themeColor="text1"/>
      <w:lang w:val="en-GB" w:eastAsia="en-US"/>
    </w:rPr>
  </w:style>
  <w:style w:type="character" w:customStyle="1" w:styleId="Heading3Char">
    <w:name w:val="Heading 3 Char"/>
    <w:basedOn w:val="DefaultParagraphFont"/>
    <w:link w:val="Heading3"/>
    <w:rsid w:val="006617DE"/>
    <w:rPr>
      <w:i/>
      <w:sz w:val="24"/>
      <w:lang w:val="en-US"/>
    </w:rPr>
  </w:style>
  <w:style w:type="character" w:customStyle="1" w:styleId="BodyText3Char">
    <w:name w:val="Body Text 3 Char"/>
    <w:basedOn w:val="DefaultParagraphFont"/>
    <w:link w:val="BodyText3"/>
    <w:semiHidden/>
    <w:rsid w:val="00BC4D35"/>
    <w:rPr>
      <w:color w:val="008080"/>
      <w:sz w:val="22"/>
    </w:rPr>
  </w:style>
  <w:style w:type="character" w:customStyle="1" w:styleId="apple-converted-space">
    <w:name w:val="apple-converted-space"/>
    <w:basedOn w:val="DefaultParagraphFont"/>
    <w:rsid w:val="00F04812"/>
  </w:style>
  <w:style w:type="paragraph" w:styleId="PlainText">
    <w:name w:val="Plain Text"/>
    <w:basedOn w:val="Normal"/>
    <w:link w:val="PlainTextChar"/>
    <w:uiPriority w:val="99"/>
    <w:semiHidden/>
    <w:unhideWhenUsed/>
    <w:rsid w:val="004C2376"/>
    <w:pPr>
      <w:overflowPunct/>
      <w:autoSpaceDE/>
      <w:autoSpaceDN/>
      <w:adjustRightInd/>
      <w:spacing w:before="0" w:after="0"/>
      <w:textAlignment w:val="auto"/>
    </w:pPr>
    <w:rPr>
      <w:rFonts w:ascii="Calibri" w:eastAsiaTheme="minorHAnsi" w:hAnsi="Calibri" w:cs="Calibri"/>
      <w:szCs w:val="22"/>
      <w:lang w:eastAsia="en-US"/>
    </w:rPr>
  </w:style>
  <w:style w:type="character" w:customStyle="1" w:styleId="PlainTextChar">
    <w:name w:val="Plain Text Char"/>
    <w:basedOn w:val="DefaultParagraphFont"/>
    <w:link w:val="PlainText"/>
    <w:uiPriority w:val="99"/>
    <w:semiHidden/>
    <w:rsid w:val="004C2376"/>
    <w:rPr>
      <w:rFonts w:ascii="Calibri" w:eastAsiaTheme="minorHAnsi" w:hAnsi="Calibri" w:cs="Calibri"/>
      <w:sz w:val="22"/>
      <w:szCs w:val="22"/>
      <w:lang w:eastAsia="en-US"/>
    </w:rPr>
  </w:style>
  <w:style w:type="paragraph" w:customStyle="1" w:styleId="Default">
    <w:name w:val="Default"/>
    <w:rsid w:val="00DA668F"/>
    <w:pPr>
      <w:autoSpaceDE w:val="0"/>
      <w:autoSpaceDN w:val="0"/>
      <w:adjustRightInd w:val="0"/>
    </w:pPr>
    <w:rPr>
      <w:rFonts w:eastAsiaTheme="minorHAnsi"/>
      <w:color w:val="000000"/>
      <w:sz w:val="24"/>
      <w:szCs w:val="24"/>
      <w:lang w:eastAsia="en-US"/>
    </w:rPr>
  </w:style>
  <w:style w:type="paragraph" w:customStyle="1" w:styleId="caption1">
    <w:name w:val="caption1"/>
    <w:basedOn w:val="Caption"/>
    <w:link w:val="caption1Char"/>
    <w:qFormat/>
    <w:rsid w:val="00F37DC9"/>
  </w:style>
  <w:style w:type="character" w:customStyle="1" w:styleId="CaptionChar">
    <w:name w:val="Caption Char"/>
    <w:basedOn w:val="DefaultParagraphFont"/>
    <w:link w:val="Caption"/>
    <w:rsid w:val="00F37DC9"/>
    <w:rPr>
      <w:bCs/>
      <w:i/>
      <w:sz w:val="22"/>
      <w:szCs w:val="22"/>
      <w:lang w:eastAsia="en-US"/>
    </w:rPr>
  </w:style>
  <w:style w:type="character" w:customStyle="1" w:styleId="caption1Char">
    <w:name w:val="caption1 Char"/>
    <w:basedOn w:val="CaptionChar"/>
    <w:link w:val="caption1"/>
    <w:rsid w:val="00F37DC9"/>
    <w:rPr>
      <w:bCs/>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8334">
      <w:bodyDiv w:val="1"/>
      <w:marLeft w:val="0"/>
      <w:marRight w:val="0"/>
      <w:marTop w:val="0"/>
      <w:marBottom w:val="0"/>
      <w:divBdr>
        <w:top w:val="none" w:sz="0" w:space="0" w:color="auto"/>
        <w:left w:val="none" w:sz="0" w:space="0" w:color="auto"/>
        <w:bottom w:val="none" w:sz="0" w:space="0" w:color="auto"/>
        <w:right w:val="none" w:sz="0" w:space="0" w:color="auto"/>
      </w:divBdr>
    </w:div>
    <w:div w:id="1654388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482">
          <w:marLeft w:val="0"/>
          <w:marRight w:val="0"/>
          <w:marTop w:val="0"/>
          <w:marBottom w:val="0"/>
          <w:divBdr>
            <w:top w:val="none" w:sz="0" w:space="0" w:color="auto"/>
            <w:left w:val="none" w:sz="0" w:space="0" w:color="auto"/>
            <w:bottom w:val="none" w:sz="0" w:space="0" w:color="auto"/>
            <w:right w:val="none" w:sz="0" w:space="0" w:color="auto"/>
          </w:divBdr>
        </w:div>
      </w:divsChild>
    </w:div>
    <w:div w:id="275185992">
      <w:bodyDiv w:val="1"/>
      <w:marLeft w:val="0"/>
      <w:marRight w:val="0"/>
      <w:marTop w:val="0"/>
      <w:marBottom w:val="0"/>
      <w:divBdr>
        <w:top w:val="none" w:sz="0" w:space="0" w:color="auto"/>
        <w:left w:val="none" w:sz="0" w:space="0" w:color="auto"/>
        <w:bottom w:val="none" w:sz="0" w:space="0" w:color="auto"/>
        <w:right w:val="none" w:sz="0" w:space="0" w:color="auto"/>
      </w:divBdr>
    </w:div>
    <w:div w:id="308751182">
      <w:bodyDiv w:val="1"/>
      <w:marLeft w:val="0"/>
      <w:marRight w:val="0"/>
      <w:marTop w:val="0"/>
      <w:marBottom w:val="0"/>
      <w:divBdr>
        <w:top w:val="none" w:sz="0" w:space="0" w:color="auto"/>
        <w:left w:val="none" w:sz="0" w:space="0" w:color="auto"/>
        <w:bottom w:val="none" w:sz="0" w:space="0" w:color="auto"/>
        <w:right w:val="none" w:sz="0" w:space="0" w:color="auto"/>
      </w:divBdr>
    </w:div>
    <w:div w:id="313074093">
      <w:bodyDiv w:val="1"/>
      <w:marLeft w:val="0"/>
      <w:marRight w:val="0"/>
      <w:marTop w:val="0"/>
      <w:marBottom w:val="0"/>
      <w:divBdr>
        <w:top w:val="none" w:sz="0" w:space="0" w:color="auto"/>
        <w:left w:val="none" w:sz="0" w:space="0" w:color="auto"/>
        <w:bottom w:val="none" w:sz="0" w:space="0" w:color="auto"/>
        <w:right w:val="none" w:sz="0" w:space="0" w:color="auto"/>
      </w:divBdr>
    </w:div>
    <w:div w:id="591820877">
      <w:bodyDiv w:val="1"/>
      <w:marLeft w:val="0"/>
      <w:marRight w:val="0"/>
      <w:marTop w:val="0"/>
      <w:marBottom w:val="0"/>
      <w:divBdr>
        <w:top w:val="none" w:sz="0" w:space="0" w:color="auto"/>
        <w:left w:val="none" w:sz="0" w:space="0" w:color="auto"/>
        <w:bottom w:val="none" w:sz="0" w:space="0" w:color="auto"/>
        <w:right w:val="none" w:sz="0" w:space="0" w:color="auto"/>
      </w:divBdr>
    </w:div>
    <w:div w:id="606815561">
      <w:bodyDiv w:val="1"/>
      <w:marLeft w:val="0"/>
      <w:marRight w:val="0"/>
      <w:marTop w:val="0"/>
      <w:marBottom w:val="0"/>
      <w:divBdr>
        <w:top w:val="none" w:sz="0" w:space="0" w:color="auto"/>
        <w:left w:val="none" w:sz="0" w:space="0" w:color="auto"/>
        <w:bottom w:val="none" w:sz="0" w:space="0" w:color="auto"/>
        <w:right w:val="none" w:sz="0" w:space="0" w:color="auto"/>
      </w:divBdr>
    </w:div>
    <w:div w:id="785731148">
      <w:bodyDiv w:val="1"/>
      <w:marLeft w:val="0"/>
      <w:marRight w:val="0"/>
      <w:marTop w:val="0"/>
      <w:marBottom w:val="0"/>
      <w:divBdr>
        <w:top w:val="none" w:sz="0" w:space="0" w:color="auto"/>
        <w:left w:val="none" w:sz="0" w:space="0" w:color="auto"/>
        <w:bottom w:val="none" w:sz="0" w:space="0" w:color="auto"/>
        <w:right w:val="none" w:sz="0" w:space="0" w:color="auto"/>
      </w:divBdr>
    </w:div>
    <w:div w:id="1047484146">
      <w:bodyDiv w:val="1"/>
      <w:marLeft w:val="0"/>
      <w:marRight w:val="0"/>
      <w:marTop w:val="0"/>
      <w:marBottom w:val="0"/>
      <w:divBdr>
        <w:top w:val="none" w:sz="0" w:space="0" w:color="auto"/>
        <w:left w:val="none" w:sz="0" w:space="0" w:color="auto"/>
        <w:bottom w:val="none" w:sz="0" w:space="0" w:color="auto"/>
        <w:right w:val="none" w:sz="0" w:space="0" w:color="auto"/>
      </w:divBdr>
    </w:div>
    <w:div w:id="1053231950">
      <w:bodyDiv w:val="1"/>
      <w:marLeft w:val="0"/>
      <w:marRight w:val="0"/>
      <w:marTop w:val="0"/>
      <w:marBottom w:val="0"/>
      <w:divBdr>
        <w:top w:val="none" w:sz="0" w:space="0" w:color="auto"/>
        <w:left w:val="none" w:sz="0" w:space="0" w:color="auto"/>
        <w:bottom w:val="none" w:sz="0" w:space="0" w:color="auto"/>
        <w:right w:val="none" w:sz="0" w:space="0" w:color="auto"/>
      </w:divBdr>
    </w:div>
    <w:div w:id="1056587228">
      <w:bodyDiv w:val="1"/>
      <w:marLeft w:val="0"/>
      <w:marRight w:val="0"/>
      <w:marTop w:val="0"/>
      <w:marBottom w:val="0"/>
      <w:divBdr>
        <w:top w:val="none" w:sz="0" w:space="0" w:color="auto"/>
        <w:left w:val="none" w:sz="0" w:space="0" w:color="auto"/>
        <w:bottom w:val="none" w:sz="0" w:space="0" w:color="auto"/>
        <w:right w:val="none" w:sz="0" w:space="0" w:color="auto"/>
      </w:divBdr>
    </w:div>
    <w:div w:id="1289554227">
      <w:bodyDiv w:val="1"/>
      <w:marLeft w:val="0"/>
      <w:marRight w:val="0"/>
      <w:marTop w:val="0"/>
      <w:marBottom w:val="0"/>
      <w:divBdr>
        <w:top w:val="none" w:sz="0" w:space="0" w:color="auto"/>
        <w:left w:val="none" w:sz="0" w:space="0" w:color="auto"/>
        <w:bottom w:val="none" w:sz="0" w:space="0" w:color="auto"/>
        <w:right w:val="none" w:sz="0" w:space="0" w:color="auto"/>
      </w:divBdr>
    </w:div>
    <w:div w:id="1445887072">
      <w:bodyDiv w:val="1"/>
      <w:marLeft w:val="0"/>
      <w:marRight w:val="0"/>
      <w:marTop w:val="0"/>
      <w:marBottom w:val="0"/>
      <w:divBdr>
        <w:top w:val="none" w:sz="0" w:space="0" w:color="auto"/>
        <w:left w:val="none" w:sz="0" w:space="0" w:color="auto"/>
        <w:bottom w:val="none" w:sz="0" w:space="0" w:color="auto"/>
        <w:right w:val="none" w:sz="0" w:space="0" w:color="auto"/>
      </w:divBdr>
      <w:divsChild>
        <w:div w:id="1576695772">
          <w:marLeft w:val="0"/>
          <w:marRight w:val="0"/>
          <w:marTop w:val="0"/>
          <w:marBottom w:val="0"/>
          <w:divBdr>
            <w:top w:val="none" w:sz="0" w:space="0" w:color="auto"/>
            <w:left w:val="none" w:sz="0" w:space="0" w:color="auto"/>
            <w:bottom w:val="none" w:sz="0" w:space="0" w:color="auto"/>
            <w:right w:val="none" w:sz="0" w:space="0" w:color="auto"/>
          </w:divBdr>
        </w:div>
      </w:divsChild>
    </w:div>
    <w:div w:id="1508713929">
      <w:bodyDiv w:val="1"/>
      <w:marLeft w:val="0"/>
      <w:marRight w:val="0"/>
      <w:marTop w:val="0"/>
      <w:marBottom w:val="0"/>
      <w:divBdr>
        <w:top w:val="none" w:sz="0" w:space="0" w:color="auto"/>
        <w:left w:val="none" w:sz="0" w:space="0" w:color="auto"/>
        <w:bottom w:val="none" w:sz="0" w:space="0" w:color="auto"/>
        <w:right w:val="none" w:sz="0" w:space="0" w:color="auto"/>
      </w:divBdr>
      <w:divsChild>
        <w:div w:id="1215316498">
          <w:marLeft w:val="0"/>
          <w:marRight w:val="0"/>
          <w:marTop w:val="0"/>
          <w:marBottom w:val="0"/>
          <w:divBdr>
            <w:top w:val="none" w:sz="0" w:space="0" w:color="auto"/>
            <w:left w:val="none" w:sz="0" w:space="0" w:color="auto"/>
            <w:bottom w:val="none" w:sz="0" w:space="0" w:color="auto"/>
            <w:right w:val="none" w:sz="0" w:space="0" w:color="auto"/>
          </w:divBdr>
        </w:div>
      </w:divsChild>
    </w:div>
    <w:div w:id="1548880915">
      <w:bodyDiv w:val="1"/>
      <w:marLeft w:val="0"/>
      <w:marRight w:val="0"/>
      <w:marTop w:val="0"/>
      <w:marBottom w:val="0"/>
      <w:divBdr>
        <w:top w:val="none" w:sz="0" w:space="0" w:color="auto"/>
        <w:left w:val="none" w:sz="0" w:space="0" w:color="auto"/>
        <w:bottom w:val="none" w:sz="0" w:space="0" w:color="auto"/>
        <w:right w:val="none" w:sz="0" w:space="0" w:color="auto"/>
      </w:divBdr>
    </w:div>
    <w:div w:id="1740593078">
      <w:bodyDiv w:val="1"/>
      <w:marLeft w:val="0"/>
      <w:marRight w:val="0"/>
      <w:marTop w:val="0"/>
      <w:marBottom w:val="0"/>
      <w:divBdr>
        <w:top w:val="none" w:sz="0" w:space="0" w:color="auto"/>
        <w:left w:val="none" w:sz="0" w:space="0" w:color="auto"/>
        <w:bottom w:val="none" w:sz="0" w:space="0" w:color="auto"/>
        <w:right w:val="none" w:sz="0" w:space="0" w:color="auto"/>
      </w:divBdr>
    </w:div>
    <w:div w:id="1766223501">
      <w:bodyDiv w:val="1"/>
      <w:marLeft w:val="0"/>
      <w:marRight w:val="0"/>
      <w:marTop w:val="0"/>
      <w:marBottom w:val="0"/>
      <w:divBdr>
        <w:top w:val="none" w:sz="0" w:space="0" w:color="auto"/>
        <w:left w:val="none" w:sz="0" w:space="0" w:color="auto"/>
        <w:bottom w:val="none" w:sz="0" w:space="0" w:color="auto"/>
        <w:right w:val="none" w:sz="0" w:space="0" w:color="auto"/>
      </w:divBdr>
    </w:div>
    <w:div w:id="1849707244">
      <w:bodyDiv w:val="1"/>
      <w:marLeft w:val="0"/>
      <w:marRight w:val="0"/>
      <w:marTop w:val="0"/>
      <w:marBottom w:val="0"/>
      <w:divBdr>
        <w:top w:val="none" w:sz="0" w:space="0" w:color="auto"/>
        <w:left w:val="none" w:sz="0" w:space="0" w:color="auto"/>
        <w:bottom w:val="none" w:sz="0" w:space="0" w:color="auto"/>
        <w:right w:val="none" w:sz="0" w:space="0" w:color="auto"/>
      </w:divBdr>
      <w:divsChild>
        <w:div w:id="1805346125">
          <w:marLeft w:val="0"/>
          <w:marRight w:val="0"/>
          <w:marTop w:val="0"/>
          <w:marBottom w:val="0"/>
          <w:divBdr>
            <w:top w:val="none" w:sz="0" w:space="0" w:color="auto"/>
            <w:left w:val="none" w:sz="0" w:space="0" w:color="auto"/>
            <w:bottom w:val="none" w:sz="0" w:space="0" w:color="auto"/>
            <w:right w:val="none" w:sz="0" w:space="0" w:color="auto"/>
          </w:divBdr>
        </w:div>
      </w:divsChild>
    </w:div>
    <w:div w:id="1861778609">
      <w:bodyDiv w:val="1"/>
      <w:marLeft w:val="0"/>
      <w:marRight w:val="0"/>
      <w:marTop w:val="0"/>
      <w:marBottom w:val="0"/>
      <w:divBdr>
        <w:top w:val="none" w:sz="0" w:space="0" w:color="auto"/>
        <w:left w:val="none" w:sz="0" w:space="0" w:color="auto"/>
        <w:bottom w:val="none" w:sz="0" w:space="0" w:color="auto"/>
        <w:right w:val="none" w:sz="0" w:space="0" w:color="auto"/>
      </w:divBdr>
    </w:div>
    <w:div w:id="203457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F0C61-F9D2-4EBD-ADE8-4DB6F985B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19100</Words>
  <Characters>103940</Characters>
  <Application>Microsoft Office Word</Application>
  <DocSecurity>8</DocSecurity>
  <Lines>866</Lines>
  <Paragraphs>245</Paragraphs>
  <ScaleCrop>false</ScaleCrop>
  <HeadingPairs>
    <vt:vector size="2" baseType="variant">
      <vt:variant>
        <vt:lpstr>Title</vt:lpstr>
      </vt:variant>
      <vt:variant>
        <vt:i4>1</vt:i4>
      </vt:variant>
    </vt:vector>
  </HeadingPairs>
  <TitlesOfParts>
    <vt:vector size="1" baseType="lpstr">
      <vt:lpstr>BRITISH COLUMBIA</vt:lpstr>
    </vt:vector>
  </TitlesOfParts>
  <Company>Ministry of Forests</Company>
  <LinksUpToDate>false</LinksUpToDate>
  <CharactersWithSpaces>122795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COLUMBIA</dc:title>
  <dc:creator>D. Nicholls, Chief Forester, FLNRO</dc:creator>
  <cp:lastModifiedBy>Young, Denise R FLNR:EX</cp:lastModifiedBy>
  <cp:revision>3</cp:revision>
  <cp:lastPrinted>2015-10-15T14:49:00Z</cp:lastPrinted>
  <dcterms:created xsi:type="dcterms:W3CDTF">2015-10-15T14:49:00Z</dcterms:created>
  <dcterms:modified xsi:type="dcterms:W3CDTF">2016-07-06T21:48:00Z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