
<file path=[Content_Types].xml><?xml version="1.0" encoding="utf-8"?>
<Types xmlns="http://schemas.openxmlformats.org/package/2006/content-types">
  <Default Extension="png" ContentType="image/png"/>
  <Default Extension="bin" ContentType="application/vnd.openxmlformats-officedocument.oleObject"/>
  <Default Extension="tmp"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4AE" w:rsidRDefault="00AC54AE">
      <w:pPr>
        <w:pStyle w:val="Header"/>
      </w:pPr>
    </w:p>
    <w:p w:rsidR="00AC54AE" w:rsidRDefault="00AC54AE">
      <w:pPr>
        <w:pStyle w:val="Header"/>
      </w:pPr>
    </w:p>
    <w:p w:rsidR="00AC54AE" w:rsidRDefault="00AC54AE">
      <w:pPr>
        <w:pStyle w:val="Header"/>
      </w:pPr>
    </w:p>
    <w:p w:rsidR="00AC54AE" w:rsidRDefault="00AC54AE">
      <w:pPr>
        <w:pStyle w:val="Header"/>
      </w:pPr>
    </w:p>
    <w:p w:rsidR="00AC54AE" w:rsidRPr="004E01A3" w:rsidRDefault="004E01A3" w:rsidP="004E01A3">
      <w:pPr>
        <w:pStyle w:val="Header"/>
        <w:jc w:val="right"/>
        <w:rPr>
          <w:b/>
          <w:sz w:val="36"/>
          <w:szCs w:val="36"/>
        </w:rPr>
      </w:pPr>
      <w:r w:rsidRPr="004E01A3">
        <w:rPr>
          <w:b/>
          <w:sz w:val="36"/>
          <w:szCs w:val="36"/>
        </w:rPr>
        <w:t>Summary Report</w:t>
      </w:r>
      <w:r w:rsidR="008924CB">
        <w:rPr>
          <w:b/>
          <w:sz w:val="36"/>
          <w:szCs w:val="36"/>
        </w:rPr>
        <w:t xml:space="preserve"> 2015/2016</w:t>
      </w:r>
    </w:p>
    <w:p w:rsidR="008924CB" w:rsidRDefault="008924CB">
      <w:pPr>
        <w:pStyle w:val="Header"/>
        <w:pBdr>
          <w:top w:val="single" w:sz="12" w:space="1" w:color="auto"/>
        </w:pBdr>
        <w:jc w:val="right"/>
        <w:rPr>
          <w:rFonts w:ascii="Arial" w:hAnsi="Arial"/>
          <w:b/>
          <w:sz w:val="40"/>
        </w:rPr>
      </w:pPr>
      <w:r w:rsidRPr="008924CB">
        <w:rPr>
          <w:rFonts w:ascii="Arial" w:hAnsi="Arial"/>
          <w:b/>
          <w:sz w:val="40"/>
        </w:rPr>
        <w:t>LiDAR Enhanced Forest In</w:t>
      </w:r>
      <w:r>
        <w:rPr>
          <w:rFonts w:ascii="Arial" w:hAnsi="Arial"/>
          <w:b/>
          <w:sz w:val="40"/>
        </w:rPr>
        <w:t xml:space="preserve">ventory (LEFI) </w:t>
      </w:r>
    </w:p>
    <w:p w:rsidR="00AC54AE" w:rsidRPr="00B243A4" w:rsidRDefault="008924CB">
      <w:pPr>
        <w:pStyle w:val="Header"/>
        <w:pBdr>
          <w:top w:val="single" w:sz="12" w:space="1" w:color="auto"/>
        </w:pBdr>
        <w:jc w:val="right"/>
        <w:rPr>
          <w:rFonts w:ascii="Arial" w:hAnsi="Arial"/>
          <w:b/>
          <w:bCs/>
          <w:sz w:val="36"/>
          <w:szCs w:val="36"/>
        </w:rPr>
      </w:pPr>
      <w:r>
        <w:rPr>
          <w:rFonts w:ascii="Arial" w:hAnsi="Arial"/>
          <w:b/>
          <w:bCs/>
          <w:sz w:val="36"/>
          <w:szCs w:val="36"/>
        </w:rPr>
        <w:t>Kamloops and Okanagan TSA’s</w:t>
      </w:r>
    </w:p>
    <w:p w:rsidR="00AC54AE" w:rsidRDefault="00AC54AE">
      <w:pPr>
        <w:pStyle w:val="Header"/>
      </w:pPr>
    </w:p>
    <w:p w:rsidR="00AC54AE" w:rsidRDefault="00AC54AE">
      <w:pPr>
        <w:pStyle w:val="Header"/>
      </w:pPr>
    </w:p>
    <w:p w:rsidR="00AC54AE" w:rsidRDefault="00AC54AE">
      <w:pPr>
        <w:pStyle w:val="Header"/>
      </w:pPr>
    </w:p>
    <w:p w:rsidR="00AC54AE" w:rsidRDefault="00AC54AE">
      <w:pPr>
        <w:pStyle w:val="Header"/>
      </w:pPr>
    </w:p>
    <w:p w:rsidR="00AC54AE" w:rsidRDefault="00AC54AE">
      <w:pPr>
        <w:pStyle w:val="Header"/>
      </w:pPr>
    </w:p>
    <w:p w:rsidR="00AC54AE" w:rsidRDefault="00AC54AE">
      <w:pPr>
        <w:pStyle w:val="Header"/>
      </w:pPr>
    </w:p>
    <w:p w:rsidR="00AC54AE" w:rsidRDefault="00AC54AE">
      <w:pPr>
        <w:pStyle w:val="Header"/>
      </w:pPr>
    </w:p>
    <w:p w:rsidR="00AC54AE" w:rsidRDefault="00AC54AE">
      <w:pPr>
        <w:pStyle w:val="Header"/>
      </w:pPr>
      <w:bookmarkStart w:id="0" w:name="_GoBack"/>
      <w:bookmarkEnd w:id="0"/>
    </w:p>
    <w:p w:rsidR="00AC54AE" w:rsidRDefault="00AC54AE">
      <w:pPr>
        <w:pStyle w:val="Header"/>
      </w:pPr>
    </w:p>
    <w:p w:rsidR="004E01A3" w:rsidRDefault="004E01A3">
      <w:pPr>
        <w:pStyle w:val="Header"/>
      </w:pPr>
    </w:p>
    <w:p w:rsidR="004E01A3" w:rsidRDefault="004E01A3">
      <w:pPr>
        <w:pStyle w:val="Header"/>
      </w:pPr>
    </w:p>
    <w:p w:rsidR="004E01A3" w:rsidRDefault="004E01A3">
      <w:pPr>
        <w:pStyle w:val="Header"/>
      </w:pPr>
    </w:p>
    <w:p w:rsidR="004E01A3" w:rsidRDefault="004E01A3">
      <w:pPr>
        <w:pStyle w:val="Header"/>
      </w:pPr>
    </w:p>
    <w:p w:rsidR="004E01A3" w:rsidRDefault="004E01A3">
      <w:pPr>
        <w:pStyle w:val="Header"/>
      </w:pPr>
    </w:p>
    <w:p w:rsidR="00AC54AE" w:rsidRDefault="004E01A3">
      <w:pPr>
        <w:spacing w:before="0"/>
        <w:jc w:val="right"/>
        <w:rPr>
          <w:rFonts w:ascii="Arial" w:hAnsi="Arial" w:cs="Arial"/>
          <w:b/>
          <w:bCs/>
          <w:sz w:val="24"/>
          <w:szCs w:val="24"/>
        </w:rPr>
      </w:pPr>
      <w:r>
        <w:rPr>
          <w:rFonts w:ascii="Arial" w:hAnsi="Arial" w:cs="Arial"/>
          <w:b/>
          <w:bCs/>
          <w:sz w:val="24"/>
          <w:szCs w:val="24"/>
        </w:rPr>
        <w:t xml:space="preserve"> </w:t>
      </w:r>
    </w:p>
    <w:p w:rsidR="00AC54AE" w:rsidRDefault="0018448D">
      <w:pPr>
        <w:spacing w:before="0"/>
        <w:jc w:val="right"/>
        <w:rPr>
          <w:rFonts w:ascii="Arial" w:hAnsi="Arial" w:cs="Arial"/>
          <w:b/>
          <w:bCs/>
          <w:sz w:val="24"/>
          <w:szCs w:val="24"/>
        </w:rPr>
      </w:pPr>
      <w:r>
        <w:rPr>
          <w:rFonts w:ascii="Arial" w:hAnsi="Arial" w:cs="Arial"/>
          <w:b/>
          <w:bCs/>
          <w:sz w:val="24"/>
          <w:szCs w:val="24"/>
        </w:rPr>
        <w:t>Forest Analysis and Inventory Branch</w:t>
      </w:r>
    </w:p>
    <w:p w:rsidR="0018448D" w:rsidRDefault="0018448D">
      <w:pPr>
        <w:spacing w:before="0"/>
        <w:jc w:val="right"/>
        <w:rPr>
          <w:rFonts w:ascii="Arial" w:hAnsi="Arial" w:cs="Arial"/>
          <w:b/>
          <w:bCs/>
          <w:sz w:val="24"/>
          <w:szCs w:val="24"/>
        </w:rPr>
      </w:pPr>
      <w:r>
        <w:rPr>
          <w:rFonts w:ascii="Arial" w:hAnsi="Arial" w:cs="Arial"/>
          <w:b/>
          <w:bCs/>
          <w:sz w:val="24"/>
          <w:szCs w:val="24"/>
        </w:rPr>
        <w:t>Ministry of Forests, Lands and Natural Resource Operations</w:t>
      </w:r>
    </w:p>
    <w:p w:rsidR="00AC54AE" w:rsidRDefault="00AC54AE">
      <w:pPr>
        <w:spacing w:before="0"/>
        <w:jc w:val="right"/>
        <w:rPr>
          <w:rFonts w:ascii="Arial" w:hAnsi="Arial" w:cs="Arial"/>
          <w:b/>
          <w:bCs/>
          <w:sz w:val="24"/>
          <w:szCs w:val="24"/>
        </w:rPr>
      </w:pPr>
    </w:p>
    <w:p w:rsidR="00AC54AE" w:rsidRDefault="00AC54AE">
      <w:pPr>
        <w:spacing w:before="0"/>
        <w:jc w:val="right"/>
        <w:rPr>
          <w:rFonts w:ascii="Arial" w:hAnsi="Arial" w:cs="Arial"/>
          <w:b/>
          <w:bCs/>
          <w:sz w:val="24"/>
          <w:szCs w:val="24"/>
        </w:rPr>
      </w:pPr>
    </w:p>
    <w:p w:rsidR="00AC54AE" w:rsidRDefault="00CF6079">
      <w:pPr>
        <w:spacing w:before="0"/>
        <w:jc w:val="right"/>
        <w:rPr>
          <w:rFonts w:ascii="Arial" w:hAnsi="Arial" w:cs="Arial"/>
          <w:b/>
          <w:sz w:val="24"/>
          <w:szCs w:val="24"/>
        </w:rPr>
        <w:sectPr w:rsidR="00AC54AE">
          <w:headerReference w:type="even" r:id="rId9"/>
          <w:headerReference w:type="default" r:id="rId10"/>
          <w:footerReference w:type="even" r:id="rId11"/>
          <w:footerReference w:type="default" r:id="rId12"/>
          <w:headerReference w:type="first" r:id="rId13"/>
          <w:footerReference w:type="first" r:id="rId14"/>
          <w:pgSz w:w="12240" w:h="15840" w:code="1"/>
          <w:pgMar w:top="1440" w:right="1800" w:bottom="1440" w:left="1800" w:header="720" w:footer="720" w:gutter="0"/>
          <w:pgNumType w:start="0"/>
          <w:cols w:space="720"/>
          <w:titlePg/>
        </w:sectPr>
      </w:pPr>
      <w:r>
        <w:rPr>
          <w:rFonts w:ascii="Arial" w:hAnsi="Arial" w:cs="Arial"/>
          <w:b/>
          <w:sz w:val="24"/>
          <w:szCs w:val="24"/>
        </w:rPr>
        <w:t xml:space="preserve">Revised </w:t>
      </w:r>
      <w:r w:rsidR="00915223">
        <w:rPr>
          <w:rFonts w:ascii="Arial" w:hAnsi="Arial" w:cs="Arial"/>
          <w:b/>
          <w:sz w:val="24"/>
          <w:szCs w:val="24"/>
        </w:rPr>
        <w:t>April 28</w:t>
      </w:r>
      <w:r w:rsidR="008D05FB">
        <w:rPr>
          <w:rFonts w:ascii="Arial" w:hAnsi="Arial" w:cs="Arial"/>
          <w:b/>
          <w:sz w:val="24"/>
          <w:szCs w:val="24"/>
        </w:rPr>
        <w:t xml:space="preserve">, </w:t>
      </w:r>
      <w:r w:rsidR="008924CB">
        <w:rPr>
          <w:rFonts w:ascii="Arial" w:hAnsi="Arial" w:cs="Arial"/>
          <w:b/>
          <w:sz w:val="24"/>
          <w:szCs w:val="24"/>
        </w:rPr>
        <w:t>2016</w:t>
      </w:r>
    </w:p>
    <w:p w:rsidR="00967200" w:rsidRDefault="00967200" w:rsidP="00295A6C">
      <w:pPr>
        <w:pStyle w:val="Default"/>
      </w:pPr>
      <w:r>
        <w:lastRenderedPageBreak/>
        <w:t>Executive Summary</w:t>
      </w:r>
      <w:r w:rsidR="00820049" w:rsidRPr="00820049">
        <w:rPr>
          <w:vertAlign w:val="superscript"/>
        </w:rPr>
        <w:t>1</w:t>
      </w:r>
    </w:p>
    <w:p w:rsidR="00945175" w:rsidRPr="00DB0450" w:rsidRDefault="00945175" w:rsidP="009A57D2">
      <w:pPr>
        <w:pStyle w:val="Caption"/>
        <w:rPr>
          <w:rFonts w:ascii="Calibri" w:hAnsi="Calibri"/>
          <w:color w:val="000000" w:themeColor="text1"/>
          <w:sz w:val="20"/>
          <w:szCs w:val="20"/>
        </w:rPr>
      </w:pPr>
    </w:p>
    <w:p w:rsidR="00F86A60" w:rsidRPr="00DB0450" w:rsidRDefault="008924CB" w:rsidP="00001BE6">
      <w:pPr>
        <w:pStyle w:val="Caption"/>
        <w:rPr>
          <w:rFonts w:ascii="Calibri" w:hAnsi="Calibri"/>
          <w:b w:val="0"/>
          <w:color w:val="000000" w:themeColor="text1"/>
          <w:sz w:val="20"/>
          <w:szCs w:val="20"/>
        </w:rPr>
      </w:pPr>
      <w:r w:rsidRPr="00DB0450">
        <w:rPr>
          <w:rFonts w:ascii="Calibri" w:hAnsi="Calibri"/>
          <w:b w:val="0"/>
          <w:color w:val="000000" w:themeColor="text1"/>
          <w:sz w:val="20"/>
          <w:szCs w:val="20"/>
        </w:rPr>
        <w:t xml:space="preserve">Light Detection and Ranging (LiDAR) data was acquired </w:t>
      </w:r>
      <w:r w:rsidR="00F86A60" w:rsidRPr="00DB0450">
        <w:rPr>
          <w:rFonts w:ascii="Calibri" w:hAnsi="Calibri"/>
          <w:b w:val="0"/>
          <w:color w:val="000000" w:themeColor="text1"/>
          <w:sz w:val="20"/>
          <w:szCs w:val="20"/>
        </w:rPr>
        <w:t xml:space="preserve">for an area of 367,000 ha in Kamloops, Okanagan , Merritt,  and Williams Lake TSA’s, </w:t>
      </w:r>
      <w:r w:rsidRPr="00DB0450">
        <w:rPr>
          <w:rFonts w:ascii="Calibri" w:hAnsi="Calibri"/>
          <w:b w:val="0"/>
          <w:color w:val="000000" w:themeColor="text1"/>
          <w:sz w:val="20"/>
          <w:szCs w:val="20"/>
        </w:rPr>
        <w:t xml:space="preserve">jointly by </w:t>
      </w:r>
      <w:r w:rsidR="00315023" w:rsidRPr="00DB0450">
        <w:rPr>
          <w:rFonts w:ascii="Calibri" w:hAnsi="Calibri"/>
          <w:b w:val="0"/>
          <w:color w:val="000000" w:themeColor="text1"/>
          <w:sz w:val="20"/>
          <w:szCs w:val="20"/>
        </w:rPr>
        <w:t xml:space="preserve">a consortium of Tolko Industries Ltd, </w:t>
      </w:r>
      <w:r w:rsidRPr="00DB0450">
        <w:rPr>
          <w:rFonts w:ascii="Calibri" w:hAnsi="Calibri"/>
          <w:b w:val="0"/>
          <w:color w:val="000000" w:themeColor="text1"/>
          <w:sz w:val="20"/>
          <w:szCs w:val="20"/>
        </w:rPr>
        <w:t>BC Timber Sale</w:t>
      </w:r>
      <w:r w:rsidR="00B5343A">
        <w:rPr>
          <w:rFonts w:ascii="Calibri" w:hAnsi="Calibri"/>
          <w:b w:val="0"/>
          <w:color w:val="000000" w:themeColor="text1"/>
          <w:sz w:val="20"/>
          <w:szCs w:val="20"/>
        </w:rPr>
        <w:t>s-</w:t>
      </w:r>
      <w:r w:rsidRPr="00DB0450">
        <w:rPr>
          <w:rFonts w:ascii="Calibri" w:hAnsi="Calibri"/>
          <w:b w:val="0"/>
          <w:color w:val="000000" w:themeColor="text1"/>
          <w:sz w:val="20"/>
          <w:szCs w:val="20"/>
        </w:rPr>
        <w:t xml:space="preserve"> </w:t>
      </w:r>
      <w:r w:rsidR="00315023" w:rsidRPr="00DB0450">
        <w:rPr>
          <w:rFonts w:ascii="Calibri" w:hAnsi="Calibri"/>
          <w:b w:val="0"/>
          <w:color w:val="000000" w:themeColor="text1"/>
          <w:sz w:val="20"/>
          <w:szCs w:val="20"/>
        </w:rPr>
        <w:t>Kamloops,</w:t>
      </w:r>
      <w:r w:rsidRPr="00DB0450">
        <w:rPr>
          <w:rFonts w:ascii="Calibri" w:hAnsi="Calibri"/>
          <w:b w:val="0"/>
          <w:color w:val="000000" w:themeColor="text1"/>
          <w:sz w:val="20"/>
          <w:szCs w:val="20"/>
        </w:rPr>
        <w:t xml:space="preserve"> </w:t>
      </w:r>
      <w:r w:rsidR="00315023" w:rsidRPr="00DB0450">
        <w:rPr>
          <w:rFonts w:ascii="Calibri" w:hAnsi="Calibri"/>
          <w:b w:val="0"/>
          <w:color w:val="000000" w:themeColor="text1"/>
          <w:sz w:val="20"/>
          <w:szCs w:val="20"/>
        </w:rPr>
        <w:t>BC Timber Sale</w:t>
      </w:r>
      <w:r w:rsidR="00B5343A">
        <w:rPr>
          <w:rFonts w:ascii="Calibri" w:hAnsi="Calibri"/>
          <w:b w:val="0"/>
          <w:color w:val="000000" w:themeColor="text1"/>
          <w:sz w:val="20"/>
          <w:szCs w:val="20"/>
        </w:rPr>
        <w:t>s-</w:t>
      </w:r>
      <w:r w:rsidR="00315023" w:rsidRPr="00DB0450">
        <w:rPr>
          <w:rFonts w:ascii="Calibri" w:hAnsi="Calibri"/>
          <w:b w:val="0"/>
          <w:color w:val="000000" w:themeColor="text1"/>
          <w:sz w:val="20"/>
          <w:szCs w:val="20"/>
        </w:rPr>
        <w:t xml:space="preserve"> Okanagan and North Thompson Community Forest Society.  </w:t>
      </w:r>
      <w:r w:rsidR="00F86A60" w:rsidRPr="00DB0450">
        <w:rPr>
          <w:rFonts w:ascii="Calibri" w:hAnsi="Calibri"/>
          <w:b w:val="0"/>
          <w:color w:val="000000" w:themeColor="text1"/>
          <w:sz w:val="20"/>
          <w:szCs w:val="20"/>
        </w:rPr>
        <w:t>T</w:t>
      </w:r>
      <w:r w:rsidR="00315023" w:rsidRPr="00DB0450">
        <w:rPr>
          <w:rFonts w:ascii="Calibri" w:hAnsi="Calibri"/>
          <w:b w:val="0"/>
          <w:color w:val="000000" w:themeColor="text1"/>
          <w:sz w:val="20"/>
          <w:szCs w:val="20"/>
        </w:rPr>
        <w:t>he LiDAR point cloud data was offered to FAIB under the Data Sharing Agreements</w:t>
      </w:r>
      <w:r w:rsidR="00F86A60" w:rsidRPr="00DB0450">
        <w:rPr>
          <w:rFonts w:ascii="Calibri" w:hAnsi="Calibri"/>
          <w:b w:val="0"/>
          <w:color w:val="000000" w:themeColor="text1"/>
          <w:sz w:val="20"/>
          <w:szCs w:val="20"/>
        </w:rPr>
        <w:t xml:space="preserve"> in which FAIB would conduct a LiDAR enhanced forest inventory for public us</w:t>
      </w:r>
      <w:r w:rsidR="00B5343A">
        <w:rPr>
          <w:rFonts w:ascii="Calibri" w:hAnsi="Calibri"/>
          <w:b w:val="0"/>
          <w:color w:val="000000" w:themeColor="text1"/>
          <w:sz w:val="20"/>
          <w:szCs w:val="20"/>
        </w:rPr>
        <w:t>age</w:t>
      </w:r>
      <w:r w:rsidR="00001BE6" w:rsidRPr="00DB0450">
        <w:rPr>
          <w:rFonts w:ascii="Calibri" w:hAnsi="Calibri"/>
          <w:b w:val="0"/>
          <w:color w:val="000000" w:themeColor="text1"/>
          <w:sz w:val="20"/>
          <w:szCs w:val="20"/>
        </w:rPr>
        <w:t>.</w:t>
      </w:r>
      <w:r w:rsidR="00F86A60" w:rsidRPr="00DB0450">
        <w:rPr>
          <w:rFonts w:ascii="Calibri" w:hAnsi="Calibri"/>
          <w:b w:val="0"/>
          <w:color w:val="000000" w:themeColor="text1"/>
          <w:sz w:val="20"/>
          <w:szCs w:val="20"/>
        </w:rPr>
        <w:t xml:space="preserve">  </w:t>
      </w:r>
    </w:p>
    <w:p w:rsidR="00816134" w:rsidRPr="00DB0450" w:rsidRDefault="00F86A60" w:rsidP="00001BE6">
      <w:pPr>
        <w:pStyle w:val="Caption"/>
        <w:rPr>
          <w:rFonts w:ascii="Calibri" w:hAnsi="Calibri"/>
          <w:b w:val="0"/>
          <w:color w:val="000000" w:themeColor="text1"/>
          <w:sz w:val="20"/>
          <w:szCs w:val="20"/>
        </w:rPr>
      </w:pPr>
      <w:r w:rsidRPr="00DB0450">
        <w:rPr>
          <w:rFonts w:ascii="Calibri" w:hAnsi="Calibri"/>
          <w:b w:val="0"/>
          <w:color w:val="000000" w:themeColor="text1"/>
          <w:sz w:val="20"/>
          <w:szCs w:val="20"/>
        </w:rPr>
        <w:t>The project area (about 317,000 ha) was located in both Kamloops and Okanagan TSA’s with</w:t>
      </w:r>
      <w:r w:rsidR="009B327F">
        <w:rPr>
          <w:rFonts w:ascii="Calibri" w:hAnsi="Calibri"/>
          <w:b w:val="0"/>
          <w:color w:val="000000" w:themeColor="text1"/>
          <w:sz w:val="20"/>
          <w:szCs w:val="20"/>
        </w:rPr>
        <w:t xml:space="preserve"> </w:t>
      </w:r>
      <w:r w:rsidR="00593644">
        <w:rPr>
          <w:rFonts w:ascii="Calibri" w:hAnsi="Calibri"/>
          <w:b w:val="0"/>
          <w:color w:val="000000" w:themeColor="text1"/>
          <w:sz w:val="20"/>
          <w:szCs w:val="20"/>
        </w:rPr>
        <w:t xml:space="preserve">about </w:t>
      </w:r>
      <w:r w:rsidRPr="00DB0450">
        <w:rPr>
          <w:rFonts w:ascii="Calibri" w:hAnsi="Calibri"/>
          <w:b w:val="0"/>
          <w:color w:val="000000" w:themeColor="text1"/>
          <w:sz w:val="20"/>
          <w:szCs w:val="20"/>
        </w:rPr>
        <w:t>half managed by BC Timber Sale</w:t>
      </w:r>
      <w:r w:rsidR="009B327F">
        <w:rPr>
          <w:rFonts w:ascii="Calibri" w:hAnsi="Calibri"/>
          <w:b w:val="0"/>
          <w:color w:val="000000" w:themeColor="text1"/>
          <w:sz w:val="20"/>
          <w:szCs w:val="20"/>
        </w:rPr>
        <w:t>s</w:t>
      </w:r>
      <w:r w:rsidRPr="00DB0450">
        <w:rPr>
          <w:rFonts w:ascii="Calibri" w:hAnsi="Calibri"/>
          <w:b w:val="0"/>
          <w:color w:val="000000" w:themeColor="text1"/>
          <w:sz w:val="20"/>
          <w:szCs w:val="20"/>
        </w:rPr>
        <w:t xml:space="preserve"> and the other half by Tolko.</w:t>
      </w:r>
      <w:r w:rsidR="00315023" w:rsidRPr="00DB0450">
        <w:rPr>
          <w:rFonts w:ascii="Calibri" w:hAnsi="Calibri"/>
          <w:b w:val="0"/>
          <w:color w:val="000000" w:themeColor="text1"/>
          <w:sz w:val="20"/>
          <w:szCs w:val="20"/>
        </w:rPr>
        <w:t xml:space="preserve">  </w:t>
      </w:r>
      <w:r w:rsidRPr="00DB0450">
        <w:rPr>
          <w:rFonts w:ascii="Calibri" w:hAnsi="Calibri"/>
          <w:b w:val="0"/>
          <w:color w:val="000000" w:themeColor="text1"/>
          <w:sz w:val="20"/>
          <w:szCs w:val="20"/>
        </w:rPr>
        <w:t>The FAIB</w:t>
      </w:r>
      <w:r w:rsidR="00AC5D77">
        <w:rPr>
          <w:rFonts w:ascii="Calibri" w:hAnsi="Calibri"/>
          <w:b w:val="0"/>
          <w:color w:val="000000" w:themeColor="text1"/>
          <w:sz w:val="20"/>
          <w:szCs w:val="20"/>
        </w:rPr>
        <w:t xml:space="preserve"> designed a ground sampling</w:t>
      </w:r>
      <w:r w:rsidRPr="00DB0450">
        <w:rPr>
          <w:rFonts w:ascii="Calibri" w:hAnsi="Calibri"/>
          <w:b w:val="0"/>
          <w:color w:val="000000" w:themeColor="text1"/>
          <w:sz w:val="20"/>
          <w:szCs w:val="20"/>
        </w:rPr>
        <w:t xml:space="preserve"> </w:t>
      </w:r>
      <w:r w:rsidR="009B327F">
        <w:rPr>
          <w:rFonts w:ascii="Calibri" w:hAnsi="Calibri"/>
          <w:b w:val="0"/>
          <w:color w:val="000000" w:themeColor="text1"/>
          <w:sz w:val="20"/>
          <w:szCs w:val="20"/>
        </w:rPr>
        <w:t xml:space="preserve">campaign </w:t>
      </w:r>
      <w:r w:rsidRPr="00DB0450">
        <w:rPr>
          <w:rFonts w:ascii="Calibri" w:hAnsi="Calibri"/>
          <w:b w:val="0"/>
          <w:color w:val="000000" w:themeColor="text1"/>
          <w:sz w:val="20"/>
          <w:szCs w:val="20"/>
        </w:rPr>
        <w:t>followed by fi</w:t>
      </w:r>
      <w:r w:rsidR="0055478B" w:rsidRPr="00DB0450">
        <w:rPr>
          <w:rFonts w:ascii="Calibri" w:hAnsi="Calibri"/>
          <w:b w:val="0"/>
          <w:color w:val="000000" w:themeColor="text1"/>
          <w:sz w:val="20"/>
          <w:szCs w:val="20"/>
        </w:rPr>
        <w:t xml:space="preserve">eld measurements of 226 </w:t>
      </w:r>
      <w:r w:rsidRPr="00DB0450">
        <w:rPr>
          <w:rFonts w:ascii="Calibri" w:hAnsi="Calibri"/>
          <w:b w:val="0"/>
          <w:color w:val="000000" w:themeColor="text1"/>
          <w:sz w:val="20"/>
          <w:szCs w:val="20"/>
        </w:rPr>
        <w:t xml:space="preserve">ground plots </w:t>
      </w:r>
      <w:r w:rsidR="0055478B" w:rsidRPr="00DB0450">
        <w:rPr>
          <w:rFonts w:ascii="Calibri" w:hAnsi="Calibri"/>
          <w:b w:val="0"/>
          <w:color w:val="000000" w:themeColor="text1"/>
          <w:sz w:val="20"/>
          <w:szCs w:val="20"/>
        </w:rPr>
        <w:t xml:space="preserve">with a circular fixed area of 0.04h </w:t>
      </w:r>
      <w:r w:rsidRPr="00DB0450">
        <w:rPr>
          <w:rFonts w:ascii="Calibri" w:hAnsi="Calibri"/>
          <w:b w:val="0"/>
          <w:color w:val="000000" w:themeColor="text1"/>
          <w:sz w:val="20"/>
          <w:szCs w:val="20"/>
        </w:rPr>
        <w:t xml:space="preserve">in the summer of 2015. </w:t>
      </w:r>
      <w:r w:rsidR="00816134" w:rsidRPr="00DB0450">
        <w:rPr>
          <w:rFonts w:ascii="Calibri" w:hAnsi="Calibri"/>
          <w:b w:val="0"/>
          <w:color w:val="000000" w:themeColor="text1"/>
          <w:sz w:val="20"/>
          <w:szCs w:val="20"/>
        </w:rPr>
        <w:t xml:space="preserve"> Both area-based parametric and non-parametric predictions from the normalized LiDAR canopy </w:t>
      </w:r>
      <w:r w:rsidR="006F766F" w:rsidRPr="00DB0450">
        <w:rPr>
          <w:rFonts w:ascii="Calibri" w:hAnsi="Calibri"/>
          <w:b w:val="0"/>
          <w:color w:val="000000" w:themeColor="text1"/>
          <w:sz w:val="20"/>
          <w:szCs w:val="20"/>
        </w:rPr>
        <w:t xml:space="preserve">height and density </w:t>
      </w:r>
      <w:r w:rsidR="00816134" w:rsidRPr="00DB0450">
        <w:rPr>
          <w:rFonts w:ascii="Calibri" w:hAnsi="Calibri"/>
          <w:b w:val="0"/>
          <w:color w:val="000000" w:themeColor="text1"/>
          <w:sz w:val="20"/>
          <w:szCs w:val="20"/>
        </w:rPr>
        <w:t xml:space="preserve">metrics and ground measurements were made and compared. The first and preliminary results from the parametric predictions </w:t>
      </w:r>
      <w:r w:rsidR="009B327F">
        <w:rPr>
          <w:rFonts w:ascii="Calibri" w:hAnsi="Calibri"/>
          <w:b w:val="0"/>
          <w:color w:val="000000" w:themeColor="text1"/>
          <w:sz w:val="20"/>
          <w:szCs w:val="20"/>
        </w:rPr>
        <w:t>a</w:t>
      </w:r>
      <w:r w:rsidR="009B327F" w:rsidRPr="00DB0450">
        <w:rPr>
          <w:rFonts w:ascii="Calibri" w:hAnsi="Calibri"/>
          <w:b w:val="0"/>
          <w:color w:val="000000" w:themeColor="text1"/>
          <w:sz w:val="20"/>
          <w:szCs w:val="20"/>
        </w:rPr>
        <w:t xml:space="preserve">re </w:t>
      </w:r>
      <w:r w:rsidR="00816134" w:rsidRPr="00DB0450">
        <w:rPr>
          <w:rFonts w:ascii="Calibri" w:hAnsi="Calibri"/>
          <w:b w:val="0"/>
          <w:color w:val="000000" w:themeColor="text1"/>
          <w:sz w:val="20"/>
          <w:szCs w:val="20"/>
        </w:rPr>
        <w:t xml:space="preserve">presented in this report, and more </w:t>
      </w:r>
      <w:r w:rsidR="006F766F" w:rsidRPr="00DB0450">
        <w:rPr>
          <w:rFonts w:ascii="Calibri" w:hAnsi="Calibri"/>
          <w:b w:val="0"/>
          <w:color w:val="000000" w:themeColor="text1"/>
          <w:sz w:val="20"/>
          <w:szCs w:val="20"/>
        </w:rPr>
        <w:t xml:space="preserve">spatial </w:t>
      </w:r>
      <w:r w:rsidR="00816134" w:rsidRPr="00DB0450">
        <w:rPr>
          <w:rFonts w:ascii="Calibri" w:hAnsi="Calibri"/>
          <w:b w:val="0"/>
          <w:color w:val="000000" w:themeColor="text1"/>
          <w:sz w:val="20"/>
          <w:szCs w:val="20"/>
        </w:rPr>
        <w:t>ex</w:t>
      </w:r>
      <w:r w:rsidR="006F766F" w:rsidRPr="00DB0450">
        <w:rPr>
          <w:rFonts w:ascii="Calibri" w:hAnsi="Calibri"/>
          <w:b w:val="0"/>
          <w:color w:val="000000" w:themeColor="text1"/>
          <w:sz w:val="20"/>
          <w:szCs w:val="20"/>
        </w:rPr>
        <w:t>trapola</w:t>
      </w:r>
      <w:r w:rsidR="00816134" w:rsidRPr="00DB0450">
        <w:rPr>
          <w:rFonts w:ascii="Calibri" w:hAnsi="Calibri"/>
          <w:b w:val="0"/>
          <w:color w:val="000000" w:themeColor="text1"/>
          <w:sz w:val="20"/>
          <w:szCs w:val="20"/>
        </w:rPr>
        <w:t>tion and evaluation work will be conducted in 2016.</w:t>
      </w:r>
    </w:p>
    <w:p w:rsidR="0055478B" w:rsidRPr="00DB0450" w:rsidRDefault="0055478B" w:rsidP="00001BE6">
      <w:pPr>
        <w:pStyle w:val="Caption"/>
        <w:rPr>
          <w:rFonts w:ascii="Calibri" w:hAnsi="Calibri"/>
          <w:color w:val="000000" w:themeColor="text1"/>
          <w:sz w:val="20"/>
          <w:szCs w:val="20"/>
        </w:rPr>
      </w:pPr>
    </w:p>
    <w:p w:rsidR="00001BE6" w:rsidRPr="00DB0450" w:rsidRDefault="00001BE6" w:rsidP="00001BE6">
      <w:pPr>
        <w:pStyle w:val="Caption"/>
        <w:rPr>
          <w:rFonts w:ascii="Calibri" w:hAnsi="Calibri"/>
          <w:color w:val="000000" w:themeColor="text1"/>
          <w:sz w:val="20"/>
          <w:szCs w:val="20"/>
        </w:rPr>
      </w:pPr>
    </w:p>
    <w:p w:rsidR="002A2877" w:rsidRDefault="002A2877" w:rsidP="002A2877"/>
    <w:p w:rsidR="00E80287" w:rsidRDefault="00E80287" w:rsidP="00967200"/>
    <w:p w:rsidR="00820049" w:rsidRDefault="00820049" w:rsidP="00967200">
      <w:pPr>
        <w:pStyle w:val="Default"/>
        <w:sectPr w:rsidR="00820049">
          <w:headerReference w:type="even" r:id="rId15"/>
          <w:headerReference w:type="default" r:id="rId16"/>
          <w:headerReference w:type="first" r:id="rId17"/>
          <w:footerReference w:type="first" r:id="rId18"/>
          <w:pgSz w:w="12240" w:h="15840" w:code="1"/>
          <w:pgMar w:top="1440" w:right="1800" w:bottom="1440" w:left="1800" w:header="720" w:footer="720" w:gutter="0"/>
          <w:pgNumType w:fmt="lowerRoman" w:start="1"/>
          <w:cols w:space="720"/>
          <w:titlePg/>
        </w:sectPr>
      </w:pPr>
    </w:p>
    <w:p w:rsidR="00AC54AE" w:rsidRDefault="00967200" w:rsidP="00967200">
      <w:pPr>
        <w:pStyle w:val="Default"/>
      </w:pPr>
      <w:r>
        <w:lastRenderedPageBreak/>
        <w:br w:type="page"/>
      </w:r>
      <w:r w:rsidR="00AC54AE">
        <w:lastRenderedPageBreak/>
        <w:t>Table of Contents</w:t>
      </w:r>
    </w:p>
    <w:p w:rsidR="00864BDC" w:rsidRPr="00007F1D" w:rsidRDefault="00864BDC">
      <w:pPr>
        <w:pStyle w:val="TOC1"/>
        <w:rPr>
          <w:b w:val="0"/>
        </w:rPr>
      </w:pPr>
      <w:r>
        <w:t>List of Tables</w:t>
      </w:r>
      <w:r w:rsidR="00007F1D">
        <w:rPr>
          <w:noProof/>
        </w:rPr>
        <w:tab/>
      </w:r>
      <w:r w:rsidR="00007F1D" w:rsidRPr="00007F1D">
        <w:rPr>
          <w:b w:val="0"/>
          <w:caps w:val="0"/>
        </w:rPr>
        <w:t>i</w:t>
      </w:r>
    </w:p>
    <w:p w:rsidR="00007F1D" w:rsidRDefault="00007F1D">
      <w:pPr>
        <w:pStyle w:val="TOC1"/>
      </w:pPr>
      <w:r>
        <w:t>List of figures</w:t>
      </w:r>
      <w:r>
        <w:rPr>
          <w:noProof/>
        </w:rPr>
        <w:tab/>
      </w:r>
      <w:r w:rsidRPr="00007F1D">
        <w:rPr>
          <w:b w:val="0"/>
          <w:caps w:val="0"/>
          <w:noProof/>
        </w:rPr>
        <w:t>ii</w:t>
      </w:r>
      <w:r>
        <w:t xml:space="preserve">  </w:t>
      </w:r>
    </w:p>
    <w:p w:rsidR="00593644" w:rsidRDefault="007B1ABC">
      <w:pPr>
        <w:pStyle w:val="TOC1"/>
        <w:rPr>
          <w:rFonts w:asciiTheme="minorHAnsi" w:eastAsiaTheme="minorEastAsia" w:hAnsiTheme="minorHAnsi" w:cstheme="minorBidi"/>
          <w:b w:val="0"/>
          <w:caps w:val="0"/>
          <w:noProof/>
          <w:sz w:val="22"/>
          <w:szCs w:val="22"/>
          <w:lang w:val="en-CA" w:eastAsia="en-CA"/>
        </w:rPr>
      </w:pPr>
      <w:r>
        <w:fldChar w:fldCharType="begin"/>
      </w:r>
      <w:r w:rsidR="00AC54AE">
        <w:instrText xml:space="preserve"> TOC \o "1-3" \t "appendix,1" </w:instrText>
      </w:r>
      <w:r>
        <w:fldChar w:fldCharType="separate"/>
      </w:r>
      <w:r w:rsidR="00593644">
        <w:rPr>
          <w:noProof/>
        </w:rPr>
        <w:t>1.</w:t>
      </w:r>
      <w:r w:rsidR="00593644">
        <w:rPr>
          <w:rFonts w:asciiTheme="minorHAnsi" w:eastAsiaTheme="minorEastAsia" w:hAnsiTheme="minorHAnsi" w:cstheme="minorBidi"/>
          <w:b w:val="0"/>
          <w:caps w:val="0"/>
          <w:noProof/>
          <w:sz w:val="22"/>
          <w:szCs w:val="22"/>
          <w:lang w:val="en-CA" w:eastAsia="en-CA"/>
        </w:rPr>
        <w:tab/>
      </w:r>
      <w:r w:rsidR="00593644">
        <w:rPr>
          <w:noProof/>
        </w:rPr>
        <w:t>Background</w:t>
      </w:r>
      <w:r w:rsidR="00593644">
        <w:rPr>
          <w:noProof/>
        </w:rPr>
        <w:tab/>
      </w:r>
      <w:r w:rsidR="00593644">
        <w:rPr>
          <w:noProof/>
        </w:rPr>
        <w:fldChar w:fldCharType="begin"/>
      </w:r>
      <w:r w:rsidR="00593644">
        <w:rPr>
          <w:noProof/>
        </w:rPr>
        <w:instrText xml:space="preserve"> PAGEREF _Toc449596346 \h </w:instrText>
      </w:r>
      <w:r w:rsidR="00593644">
        <w:rPr>
          <w:noProof/>
        </w:rPr>
      </w:r>
      <w:r w:rsidR="00593644">
        <w:rPr>
          <w:noProof/>
        </w:rPr>
        <w:fldChar w:fldCharType="separate"/>
      </w:r>
      <w:r w:rsidR="00593644">
        <w:rPr>
          <w:noProof/>
        </w:rPr>
        <w:t>3</w:t>
      </w:r>
      <w:r w:rsidR="00593644">
        <w:rPr>
          <w:noProof/>
        </w:rPr>
        <w:fldChar w:fldCharType="end"/>
      </w:r>
    </w:p>
    <w:p w:rsidR="00593644" w:rsidRDefault="00593644">
      <w:pPr>
        <w:pStyle w:val="TOC1"/>
        <w:rPr>
          <w:rFonts w:asciiTheme="minorHAnsi" w:eastAsiaTheme="minorEastAsia" w:hAnsiTheme="minorHAnsi" w:cstheme="minorBidi"/>
          <w:b w:val="0"/>
          <w:caps w:val="0"/>
          <w:noProof/>
          <w:sz w:val="22"/>
          <w:szCs w:val="22"/>
          <w:lang w:val="en-CA" w:eastAsia="en-CA"/>
        </w:rPr>
      </w:pPr>
      <w:r>
        <w:rPr>
          <w:noProof/>
        </w:rPr>
        <w:t>2.</w:t>
      </w:r>
      <w:r>
        <w:rPr>
          <w:rFonts w:asciiTheme="minorHAnsi" w:eastAsiaTheme="minorEastAsia" w:hAnsiTheme="minorHAnsi" w:cstheme="minorBidi"/>
          <w:b w:val="0"/>
          <w:caps w:val="0"/>
          <w:noProof/>
          <w:sz w:val="22"/>
          <w:szCs w:val="22"/>
          <w:lang w:val="en-CA" w:eastAsia="en-CA"/>
        </w:rPr>
        <w:tab/>
      </w:r>
      <w:r>
        <w:rPr>
          <w:noProof/>
        </w:rPr>
        <w:t>Project Area</w:t>
      </w:r>
      <w:r>
        <w:rPr>
          <w:noProof/>
        </w:rPr>
        <w:tab/>
      </w:r>
      <w:r>
        <w:rPr>
          <w:noProof/>
        </w:rPr>
        <w:fldChar w:fldCharType="begin"/>
      </w:r>
      <w:r>
        <w:rPr>
          <w:noProof/>
        </w:rPr>
        <w:instrText xml:space="preserve"> PAGEREF _Toc449596347 \h </w:instrText>
      </w:r>
      <w:r>
        <w:rPr>
          <w:noProof/>
        </w:rPr>
      </w:r>
      <w:r>
        <w:rPr>
          <w:noProof/>
        </w:rPr>
        <w:fldChar w:fldCharType="separate"/>
      </w:r>
      <w:r>
        <w:rPr>
          <w:noProof/>
        </w:rPr>
        <w:t>3</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2.1</w:t>
      </w:r>
      <w:r>
        <w:rPr>
          <w:rFonts w:asciiTheme="minorHAnsi" w:eastAsiaTheme="minorEastAsia" w:hAnsiTheme="minorHAnsi" w:cstheme="minorBidi"/>
          <w:smallCaps w:val="0"/>
          <w:noProof/>
          <w:sz w:val="22"/>
          <w:szCs w:val="22"/>
          <w:lang w:val="en-CA" w:eastAsia="en-CA"/>
        </w:rPr>
        <w:tab/>
      </w:r>
      <w:r>
        <w:rPr>
          <w:noProof/>
        </w:rPr>
        <w:t>Location</w:t>
      </w:r>
      <w:r>
        <w:rPr>
          <w:noProof/>
        </w:rPr>
        <w:tab/>
      </w:r>
      <w:r>
        <w:rPr>
          <w:noProof/>
        </w:rPr>
        <w:fldChar w:fldCharType="begin"/>
      </w:r>
      <w:r>
        <w:rPr>
          <w:noProof/>
        </w:rPr>
        <w:instrText xml:space="preserve"> PAGEREF _Toc449596348 \h </w:instrText>
      </w:r>
      <w:r>
        <w:rPr>
          <w:noProof/>
        </w:rPr>
      </w:r>
      <w:r>
        <w:rPr>
          <w:noProof/>
        </w:rPr>
        <w:fldChar w:fldCharType="separate"/>
      </w:r>
      <w:r>
        <w:rPr>
          <w:noProof/>
        </w:rPr>
        <w:t>3</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2.2</w:t>
      </w:r>
      <w:r>
        <w:rPr>
          <w:rFonts w:asciiTheme="minorHAnsi" w:eastAsiaTheme="minorEastAsia" w:hAnsiTheme="minorHAnsi" w:cstheme="minorBidi"/>
          <w:smallCaps w:val="0"/>
          <w:noProof/>
          <w:sz w:val="22"/>
          <w:szCs w:val="22"/>
          <w:lang w:val="en-CA" w:eastAsia="en-CA"/>
        </w:rPr>
        <w:tab/>
      </w:r>
      <w:r>
        <w:rPr>
          <w:noProof/>
        </w:rPr>
        <w:t>LiDAR Data Acquisition</w:t>
      </w:r>
      <w:r>
        <w:rPr>
          <w:noProof/>
        </w:rPr>
        <w:tab/>
      </w:r>
      <w:r>
        <w:rPr>
          <w:noProof/>
        </w:rPr>
        <w:fldChar w:fldCharType="begin"/>
      </w:r>
      <w:r>
        <w:rPr>
          <w:noProof/>
        </w:rPr>
        <w:instrText xml:space="preserve"> PAGEREF _Toc449596349 \h </w:instrText>
      </w:r>
      <w:r>
        <w:rPr>
          <w:noProof/>
        </w:rPr>
      </w:r>
      <w:r>
        <w:rPr>
          <w:noProof/>
        </w:rPr>
        <w:fldChar w:fldCharType="separate"/>
      </w:r>
      <w:r>
        <w:rPr>
          <w:noProof/>
        </w:rPr>
        <w:t>3</w:t>
      </w:r>
      <w:r>
        <w:rPr>
          <w:noProof/>
        </w:rPr>
        <w:fldChar w:fldCharType="end"/>
      </w:r>
    </w:p>
    <w:p w:rsidR="00593644" w:rsidRDefault="00593644">
      <w:pPr>
        <w:pStyle w:val="TOC1"/>
        <w:rPr>
          <w:rFonts w:asciiTheme="minorHAnsi" w:eastAsiaTheme="minorEastAsia" w:hAnsiTheme="minorHAnsi" w:cstheme="minorBidi"/>
          <w:b w:val="0"/>
          <w:caps w:val="0"/>
          <w:noProof/>
          <w:sz w:val="22"/>
          <w:szCs w:val="22"/>
          <w:lang w:val="en-CA" w:eastAsia="en-CA"/>
        </w:rPr>
      </w:pPr>
      <w:r>
        <w:rPr>
          <w:noProof/>
        </w:rPr>
        <w:t>3.</w:t>
      </w:r>
      <w:r>
        <w:rPr>
          <w:rFonts w:asciiTheme="minorHAnsi" w:eastAsiaTheme="minorEastAsia" w:hAnsiTheme="minorHAnsi" w:cstheme="minorBidi"/>
          <w:b w:val="0"/>
          <w:caps w:val="0"/>
          <w:noProof/>
          <w:sz w:val="22"/>
          <w:szCs w:val="22"/>
          <w:lang w:val="en-CA" w:eastAsia="en-CA"/>
        </w:rPr>
        <w:tab/>
      </w:r>
      <w:r>
        <w:rPr>
          <w:noProof/>
        </w:rPr>
        <w:t>Methodology</w:t>
      </w:r>
      <w:r>
        <w:rPr>
          <w:noProof/>
        </w:rPr>
        <w:tab/>
      </w:r>
      <w:r>
        <w:rPr>
          <w:noProof/>
        </w:rPr>
        <w:fldChar w:fldCharType="begin"/>
      </w:r>
      <w:r>
        <w:rPr>
          <w:noProof/>
        </w:rPr>
        <w:instrText xml:space="preserve"> PAGEREF _Toc449596350 \h </w:instrText>
      </w:r>
      <w:r>
        <w:rPr>
          <w:noProof/>
        </w:rPr>
      </w:r>
      <w:r>
        <w:rPr>
          <w:noProof/>
        </w:rPr>
        <w:fldChar w:fldCharType="separate"/>
      </w:r>
      <w:r>
        <w:rPr>
          <w:noProof/>
        </w:rPr>
        <w:t>4</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3.1</w:t>
      </w:r>
      <w:r>
        <w:rPr>
          <w:rFonts w:asciiTheme="minorHAnsi" w:eastAsiaTheme="minorEastAsia" w:hAnsiTheme="minorHAnsi" w:cstheme="minorBidi"/>
          <w:smallCaps w:val="0"/>
          <w:noProof/>
          <w:sz w:val="22"/>
          <w:szCs w:val="22"/>
          <w:lang w:val="en-CA" w:eastAsia="en-CA"/>
        </w:rPr>
        <w:tab/>
      </w:r>
      <w:r>
        <w:rPr>
          <w:noProof/>
        </w:rPr>
        <w:t>Pre-Inventory Analysis and Stratification</w:t>
      </w:r>
      <w:r>
        <w:rPr>
          <w:noProof/>
        </w:rPr>
        <w:tab/>
      </w:r>
      <w:r>
        <w:rPr>
          <w:noProof/>
        </w:rPr>
        <w:fldChar w:fldCharType="begin"/>
      </w:r>
      <w:r>
        <w:rPr>
          <w:noProof/>
        </w:rPr>
        <w:instrText xml:space="preserve"> PAGEREF _Toc449596351 \h </w:instrText>
      </w:r>
      <w:r>
        <w:rPr>
          <w:noProof/>
        </w:rPr>
      </w:r>
      <w:r>
        <w:rPr>
          <w:noProof/>
        </w:rPr>
        <w:fldChar w:fldCharType="separate"/>
      </w:r>
      <w:r>
        <w:rPr>
          <w:noProof/>
        </w:rPr>
        <w:t>4</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3.2</w:t>
      </w:r>
      <w:r>
        <w:rPr>
          <w:rFonts w:asciiTheme="minorHAnsi" w:eastAsiaTheme="minorEastAsia" w:hAnsiTheme="minorHAnsi" w:cstheme="minorBidi"/>
          <w:smallCaps w:val="0"/>
          <w:noProof/>
          <w:sz w:val="22"/>
          <w:szCs w:val="22"/>
          <w:lang w:val="en-CA" w:eastAsia="en-CA"/>
        </w:rPr>
        <w:tab/>
      </w:r>
      <w:r>
        <w:rPr>
          <w:noProof/>
        </w:rPr>
        <w:t>Sampling Design</w:t>
      </w:r>
      <w:r>
        <w:rPr>
          <w:noProof/>
        </w:rPr>
        <w:tab/>
      </w:r>
      <w:r>
        <w:rPr>
          <w:noProof/>
        </w:rPr>
        <w:fldChar w:fldCharType="begin"/>
      </w:r>
      <w:r>
        <w:rPr>
          <w:noProof/>
        </w:rPr>
        <w:instrText xml:space="preserve"> PAGEREF _Toc449596352 \h </w:instrText>
      </w:r>
      <w:r>
        <w:rPr>
          <w:noProof/>
        </w:rPr>
      </w:r>
      <w:r>
        <w:rPr>
          <w:noProof/>
        </w:rPr>
        <w:fldChar w:fldCharType="separate"/>
      </w:r>
      <w:r>
        <w:rPr>
          <w:noProof/>
        </w:rPr>
        <w:t>4</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3.3</w:t>
      </w:r>
      <w:r>
        <w:rPr>
          <w:rFonts w:asciiTheme="minorHAnsi" w:eastAsiaTheme="minorEastAsia" w:hAnsiTheme="minorHAnsi" w:cstheme="minorBidi"/>
          <w:smallCaps w:val="0"/>
          <w:noProof/>
          <w:sz w:val="22"/>
          <w:szCs w:val="22"/>
          <w:lang w:val="en-CA" w:eastAsia="en-CA"/>
        </w:rPr>
        <w:tab/>
      </w:r>
      <w:r>
        <w:rPr>
          <w:noProof/>
        </w:rPr>
        <w:t>Ground Data Collection and Compilation</w:t>
      </w:r>
      <w:r>
        <w:rPr>
          <w:noProof/>
        </w:rPr>
        <w:tab/>
      </w:r>
      <w:r>
        <w:rPr>
          <w:noProof/>
        </w:rPr>
        <w:fldChar w:fldCharType="begin"/>
      </w:r>
      <w:r>
        <w:rPr>
          <w:noProof/>
        </w:rPr>
        <w:instrText xml:space="preserve"> PAGEREF _Toc449596353 \h </w:instrText>
      </w:r>
      <w:r>
        <w:rPr>
          <w:noProof/>
        </w:rPr>
      </w:r>
      <w:r>
        <w:rPr>
          <w:noProof/>
        </w:rPr>
        <w:fldChar w:fldCharType="separate"/>
      </w:r>
      <w:r>
        <w:rPr>
          <w:noProof/>
        </w:rPr>
        <w:t>5</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sidRPr="0019663F">
        <w:rPr>
          <w:noProof/>
          <w:lang w:val="en-CA"/>
        </w:rPr>
        <w:t>3.4</w:t>
      </w:r>
      <w:r>
        <w:rPr>
          <w:rFonts w:asciiTheme="minorHAnsi" w:eastAsiaTheme="minorEastAsia" w:hAnsiTheme="minorHAnsi" w:cstheme="minorBidi"/>
          <w:smallCaps w:val="0"/>
          <w:noProof/>
          <w:sz w:val="22"/>
          <w:szCs w:val="22"/>
          <w:lang w:val="en-CA" w:eastAsia="en-CA"/>
        </w:rPr>
        <w:tab/>
      </w:r>
      <w:r w:rsidRPr="0019663F">
        <w:rPr>
          <w:noProof/>
          <w:lang w:val="en-CA"/>
        </w:rPr>
        <w:t>LiDAR Data QA, Canopy  Height Model  and Height/Density Metrics</w:t>
      </w:r>
      <w:r>
        <w:rPr>
          <w:noProof/>
        </w:rPr>
        <w:tab/>
      </w:r>
      <w:r>
        <w:rPr>
          <w:noProof/>
        </w:rPr>
        <w:fldChar w:fldCharType="begin"/>
      </w:r>
      <w:r>
        <w:rPr>
          <w:noProof/>
        </w:rPr>
        <w:instrText xml:space="preserve"> PAGEREF _Toc449596354 \h </w:instrText>
      </w:r>
      <w:r>
        <w:rPr>
          <w:noProof/>
        </w:rPr>
      </w:r>
      <w:r>
        <w:rPr>
          <w:noProof/>
        </w:rPr>
        <w:fldChar w:fldCharType="separate"/>
      </w:r>
      <w:r>
        <w:rPr>
          <w:noProof/>
        </w:rPr>
        <w:t>7</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3.5</w:t>
      </w:r>
      <w:r>
        <w:rPr>
          <w:rFonts w:asciiTheme="minorHAnsi" w:eastAsiaTheme="minorEastAsia" w:hAnsiTheme="minorHAnsi" w:cstheme="minorBidi"/>
          <w:smallCaps w:val="0"/>
          <w:noProof/>
          <w:sz w:val="22"/>
          <w:szCs w:val="22"/>
          <w:lang w:val="en-CA" w:eastAsia="en-CA"/>
        </w:rPr>
        <w:tab/>
      </w:r>
      <w:r>
        <w:rPr>
          <w:noProof/>
        </w:rPr>
        <w:t>Parametric Predictive Modeling</w:t>
      </w:r>
      <w:r>
        <w:rPr>
          <w:noProof/>
        </w:rPr>
        <w:tab/>
      </w:r>
      <w:r>
        <w:rPr>
          <w:noProof/>
        </w:rPr>
        <w:fldChar w:fldCharType="begin"/>
      </w:r>
      <w:r>
        <w:rPr>
          <w:noProof/>
        </w:rPr>
        <w:instrText xml:space="preserve"> PAGEREF _Toc449596355 \h </w:instrText>
      </w:r>
      <w:r>
        <w:rPr>
          <w:noProof/>
        </w:rPr>
      </w:r>
      <w:r>
        <w:rPr>
          <w:noProof/>
        </w:rPr>
        <w:fldChar w:fldCharType="separate"/>
      </w:r>
      <w:r>
        <w:rPr>
          <w:noProof/>
        </w:rPr>
        <w:t>8</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3.6</w:t>
      </w:r>
      <w:r>
        <w:rPr>
          <w:rFonts w:asciiTheme="minorHAnsi" w:eastAsiaTheme="minorEastAsia" w:hAnsiTheme="minorHAnsi" w:cstheme="minorBidi"/>
          <w:smallCaps w:val="0"/>
          <w:noProof/>
          <w:sz w:val="22"/>
          <w:szCs w:val="22"/>
          <w:lang w:val="en-CA" w:eastAsia="en-CA"/>
        </w:rPr>
        <w:tab/>
      </w:r>
      <w:r>
        <w:rPr>
          <w:noProof/>
        </w:rPr>
        <w:t>Non-Parametric Predictive Modeling</w:t>
      </w:r>
      <w:r>
        <w:rPr>
          <w:noProof/>
        </w:rPr>
        <w:tab/>
      </w:r>
      <w:r>
        <w:rPr>
          <w:noProof/>
        </w:rPr>
        <w:fldChar w:fldCharType="begin"/>
      </w:r>
      <w:r>
        <w:rPr>
          <w:noProof/>
        </w:rPr>
        <w:instrText xml:space="preserve"> PAGEREF _Toc449596356 \h </w:instrText>
      </w:r>
      <w:r>
        <w:rPr>
          <w:noProof/>
        </w:rPr>
      </w:r>
      <w:r>
        <w:rPr>
          <w:noProof/>
        </w:rPr>
        <w:fldChar w:fldCharType="separate"/>
      </w:r>
      <w:r>
        <w:rPr>
          <w:noProof/>
        </w:rPr>
        <w:t>9</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3.7</w:t>
      </w:r>
      <w:r>
        <w:rPr>
          <w:rFonts w:asciiTheme="minorHAnsi" w:eastAsiaTheme="minorEastAsia" w:hAnsiTheme="minorHAnsi" w:cstheme="minorBidi"/>
          <w:smallCaps w:val="0"/>
          <w:noProof/>
          <w:sz w:val="22"/>
          <w:szCs w:val="22"/>
          <w:lang w:val="en-CA" w:eastAsia="en-CA"/>
        </w:rPr>
        <w:tab/>
      </w:r>
      <w:r>
        <w:rPr>
          <w:noProof/>
        </w:rPr>
        <w:t>Summary of Major LEFI Steps and Components</w:t>
      </w:r>
      <w:r>
        <w:rPr>
          <w:noProof/>
        </w:rPr>
        <w:tab/>
      </w:r>
      <w:r>
        <w:rPr>
          <w:noProof/>
        </w:rPr>
        <w:fldChar w:fldCharType="begin"/>
      </w:r>
      <w:r>
        <w:rPr>
          <w:noProof/>
        </w:rPr>
        <w:instrText xml:space="preserve"> PAGEREF _Toc449596357 \h </w:instrText>
      </w:r>
      <w:r>
        <w:rPr>
          <w:noProof/>
        </w:rPr>
      </w:r>
      <w:r>
        <w:rPr>
          <w:noProof/>
        </w:rPr>
        <w:fldChar w:fldCharType="separate"/>
      </w:r>
      <w:r>
        <w:rPr>
          <w:noProof/>
        </w:rPr>
        <w:t>9</w:t>
      </w:r>
      <w:r>
        <w:rPr>
          <w:noProof/>
        </w:rPr>
        <w:fldChar w:fldCharType="end"/>
      </w:r>
    </w:p>
    <w:p w:rsidR="00593644" w:rsidRDefault="00593644">
      <w:pPr>
        <w:pStyle w:val="TOC1"/>
        <w:rPr>
          <w:rFonts w:asciiTheme="minorHAnsi" w:eastAsiaTheme="minorEastAsia" w:hAnsiTheme="minorHAnsi" w:cstheme="minorBidi"/>
          <w:b w:val="0"/>
          <w:caps w:val="0"/>
          <w:noProof/>
          <w:sz w:val="22"/>
          <w:szCs w:val="22"/>
          <w:lang w:val="en-CA" w:eastAsia="en-CA"/>
        </w:rPr>
      </w:pPr>
      <w:r>
        <w:rPr>
          <w:noProof/>
        </w:rPr>
        <w:t>4.</w:t>
      </w:r>
      <w:r>
        <w:rPr>
          <w:rFonts w:asciiTheme="minorHAnsi" w:eastAsiaTheme="minorEastAsia" w:hAnsiTheme="minorHAnsi" w:cstheme="minorBidi"/>
          <w:b w:val="0"/>
          <w:caps w:val="0"/>
          <w:noProof/>
          <w:sz w:val="22"/>
          <w:szCs w:val="22"/>
          <w:lang w:val="en-CA" w:eastAsia="en-CA"/>
        </w:rPr>
        <w:tab/>
      </w:r>
      <w:r>
        <w:rPr>
          <w:noProof/>
        </w:rPr>
        <w:t>Results</w:t>
      </w:r>
      <w:r>
        <w:rPr>
          <w:noProof/>
        </w:rPr>
        <w:tab/>
      </w:r>
      <w:r>
        <w:rPr>
          <w:noProof/>
        </w:rPr>
        <w:fldChar w:fldCharType="begin"/>
      </w:r>
      <w:r>
        <w:rPr>
          <w:noProof/>
        </w:rPr>
        <w:instrText xml:space="preserve"> PAGEREF _Toc449596358 \h </w:instrText>
      </w:r>
      <w:r>
        <w:rPr>
          <w:noProof/>
        </w:rPr>
      </w:r>
      <w:r>
        <w:rPr>
          <w:noProof/>
        </w:rPr>
        <w:fldChar w:fldCharType="separate"/>
      </w:r>
      <w:r>
        <w:rPr>
          <w:noProof/>
        </w:rPr>
        <w:t>10</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sidRPr="0019663F">
        <w:rPr>
          <w:noProof/>
          <w:lang w:val="en-CA"/>
        </w:rPr>
        <w:t>4.1</w:t>
      </w:r>
      <w:r>
        <w:rPr>
          <w:rFonts w:asciiTheme="minorHAnsi" w:eastAsiaTheme="minorEastAsia" w:hAnsiTheme="minorHAnsi" w:cstheme="minorBidi"/>
          <w:smallCaps w:val="0"/>
          <w:noProof/>
          <w:sz w:val="22"/>
          <w:szCs w:val="22"/>
          <w:lang w:val="en-CA" w:eastAsia="en-CA"/>
        </w:rPr>
        <w:tab/>
      </w:r>
      <w:r w:rsidRPr="0019663F">
        <w:rPr>
          <w:noProof/>
          <w:lang w:val="en-CA"/>
        </w:rPr>
        <w:t>VRI 2014 and Stratification</w:t>
      </w:r>
      <w:r>
        <w:rPr>
          <w:noProof/>
        </w:rPr>
        <w:tab/>
      </w:r>
      <w:r>
        <w:rPr>
          <w:noProof/>
        </w:rPr>
        <w:fldChar w:fldCharType="begin"/>
      </w:r>
      <w:r>
        <w:rPr>
          <w:noProof/>
        </w:rPr>
        <w:instrText xml:space="preserve"> PAGEREF _Toc449596359 \h </w:instrText>
      </w:r>
      <w:r>
        <w:rPr>
          <w:noProof/>
        </w:rPr>
      </w:r>
      <w:r>
        <w:rPr>
          <w:noProof/>
        </w:rPr>
        <w:fldChar w:fldCharType="separate"/>
      </w:r>
      <w:r>
        <w:rPr>
          <w:noProof/>
        </w:rPr>
        <w:t>10</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4.2</w:t>
      </w:r>
      <w:r>
        <w:rPr>
          <w:rFonts w:asciiTheme="minorHAnsi" w:eastAsiaTheme="minorEastAsia" w:hAnsiTheme="minorHAnsi" w:cstheme="minorBidi"/>
          <w:smallCaps w:val="0"/>
          <w:noProof/>
          <w:sz w:val="22"/>
          <w:szCs w:val="22"/>
          <w:lang w:val="en-CA" w:eastAsia="en-CA"/>
        </w:rPr>
        <w:tab/>
      </w:r>
      <w:r>
        <w:rPr>
          <w:noProof/>
        </w:rPr>
        <w:t>LiDAR Data QA and Pre-Processing</w:t>
      </w:r>
      <w:r>
        <w:rPr>
          <w:noProof/>
        </w:rPr>
        <w:tab/>
      </w:r>
      <w:r>
        <w:rPr>
          <w:noProof/>
        </w:rPr>
        <w:fldChar w:fldCharType="begin"/>
      </w:r>
      <w:r>
        <w:rPr>
          <w:noProof/>
        </w:rPr>
        <w:instrText xml:space="preserve"> PAGEREF _Toc449596360 \h </w:instrText>
      </w:r>
      <w:r>
        <w:rPr>
          <w:noProof/>
        </w:rPr>
      </w:r>
      <w:r>
        <w:rPr>
          <w:noProof/>
        </w:rPr>
        <w:fldChar w:fldCharType="separate"/>
      </w:r>
      <w:r>
        <w:rPr>
          <w:noProof/>
        </w:rPr>
        <w:t>11</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4.3</w:t>
      </w:r>
      <w:r>
        <w:rPr>
          <w:rFonts w:asciiTheme="minorHAnsi" w:eastAsiaTheme="minorEastAsia" w:hAnsiTheme="minorHAnsi" w:cstheme="minorBidi"/>
          <w:smallCaps w:val="0"/>
          <w:noProof/>
          <w:sz w:val="22"/>
          <w:szCs w:val="22"/>
          <w:lang w:val="en-CA" w:eastAsia="en-CA"/>
        </w:rPr>
        <w:tab/>
      </w:r>
      <w:r>
        <w:rPr>
          <w:noProof/>
        </w:rPr>
        <w:t>Normalized Canopy Height Model (CHM)</w:t>
      </w:r>
      <w:r>
        <w:rPr>
          <w:noProof/>
        </w:rPr>
        <w:tab/>
      </w:r>
      <w:r>
        <w:rPr>
          <w:noProof/>
        </w:rPr>
        <w:fldChar w:fldCharType="begin"/>
      </w:r>
      <w:r>
        <w:rPr>
          <w:noProof/>
        </w:rPr>
        <w:instrText xml:space="preserve"> PAGEREF _Toc449596361 \h </w:instrText>
      </w:r>
      <w:r>
        <w:rPr>
          <w:noProof/>
        </w:rPr>
      </w:r>
      <w:r>
        <w:rPr>
          <w:noProof/>
        </w:rPr>
        <w:fldChar w:fldCharType="separate"/>
      </w:r>
      <w:r>
        <w:rPr>
          <w:noProof/>
        </w:rPr>
        <w:t>14</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sidRPr="0019663F">
        <w:rPr>
          <w:noProof/>
          <w:lang w:val="en-CA" w:eastAsia="zh-CN"/>
        </w:rPr>
        <w:t>4.4</w:t>
      </w:r>
      <w:r>
        <w:rPr>
          <w:rFonts w:asciiTheme="minorHAnsi" w:eastAsiaTheme="minorEastAsia" w:hAnsiTheme="minorHAnsi" w:cstheme="minorBidi"/>
          <w:smallCaps w:val="0"/>
          <w:noProof/>
          <w:sz w:val="22"/>
          <w:szCs w:val="22"/>
          <w:lang w:val="en-CA" w:eastAsia="en-CA"/>
        </w:rPr>
        <w:tab/>
      </w:r>
      <w:r w:rsidRPr="0019663F">
        <w:rPr>
          <w:noProof/>
          <w:lang w:val="en-CA" w:eastAsia="zh-CN"/>
        </w:rPr>
        <w:t>LiDAR CHM Metrics and Raster Predictions</w:t>
      </w:r>
      <w:r>
        <w:rPr>
          <w:noProof/>
        </w:rPr>
        <w:tab/>
      </w:r>
      <w:r>
        <w:rPr>
          <w:noProof/>
        </w:rPr>
        <w:fldChar w:fldCharType="begin"/>
      </w:r>
      <w:r>
        <w:rPr>
          <w:noProof/>
        </w:rPr>
        <w:instrText xml:space="preserve"> PAGEREF _Toc449596362 \h </w:instrText>
      </w:r>
      <w:r>
        <w:rPr>
          <w:noProof/>
        </w:rPr>
      </w:r>
      <w:r>
        <w:rPr>
          <w:noProof/>
        </w:rPr>
        <w:fldChar w:fldCharType="separate"/>
      </w:r>
      <w:r>
        <w:rPr>
          <w:noProof/>
        </w:rPr>
        <w:t>16</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sidRPr="0019663F">
        <w:rPr>
          <w:noProof/>
          <w:lang w:val="en-CA"/>
        </w:rPr>
        <w:t>4.5</w:t>
      </w:r>
      <w:r>
        <w:rPr>
          <w:rFonts w:asciiTheme="minorHAnsi" w:eastAsiaTheme="minorEastAsia" w:hAnsiTheme="minorHAnsi" w:cstheme="minorBidi"/>
          <w:smallCaps w:val="0"/>
          <w:noProof/>
          <w:sz w:val="22"/>
          <w:szCs w:val="22"/>
          <w:lang w:val="en-CA" w:eastAsia="en-CA"/>
        </w:rPr>
        <w:tab/>
      </w:r>
      <w:r w:rsidRPr="0019663F">
        <w:rPr>
          <w:noProof/>
          <w:lang w:val="en-CA"/>
        </w:rPr>
        <w:t>Ground Data Collection and Initial Statistical Analysis</w:t>
      </w:r>
      <w:r>
        <w:rPr>
          <w:noProof/>
        </w:rPr>
        <w:tab/>
      </w:r>
      <w:r>
        <w:rPr>
          <w:noProof/>
        </w:rPr>
        <w:fldChar w:fldCharType="begin"/>
      </w:r>
      <w:r>
        <w:rPr>
          <w:noProof/>
        </w:rPr>
        <w:instrText xml:space="preserve"> PAGEREF _Toc449596363 \h </w:instrText>
      </w:r>
      <w:r>
        <w:rPr>
          <w:noProof/>
        </w:rPr>
      </w:r>
      <w:r>
        <w:rPr>
          <w:noProof/>
        </w:rPr>
        <w:fldChar w:fldCharType="separate"/>
      </w:r>
      <w:r>
        <w:rPr>
          <w:noProof/>
        </w:rPr>
        <w:t>16</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4.6</w:t>
      </w:r>
      <w:r>
        <w:rPr>
          <w:rFonts w:asciiTheme="minorHAnsi" w:eastAsiaTheme="minorEastAsia" w:hAnsiTheme="minorHAnsi" w:cstheme="minorBidi"/>
          <w:smallCaps w:val="0"/>
          <w:noProof/>
          <w:sz w:val="22"/>
          <w:szCs w:val="22"/>
          <w:lang w:val="en-CA" w:eastAsia="en-CA"/>
        </w:rPr>
        <w:tab/>
      </w:r>
      <w:r>
        <w:rPr>
          <w:noProof/>
        </w:rPr>
        <w:t>Parametric predictions</w:t>
      </w:r>
      <w:r>
        <w:rPr>
          <w:noProof/>
        </w:rPr>
        <w:tab/>
      </w:r>
      <w:r>
        <w:rPr>
          <w:noProof/>
        </w:rPr>
        <w:fldChar w:fldCharType="begin"/>
      </w:r>
      <w:r>
        <w:rPr>
          <w:noProof/>
        </w:rPr>
        <w:instrText xml:space="preserve"> PAGEREF _Toc449596364 \h </w:instrText>
      </w:r>
      <w:r>
        <w:rPr>
          <w:noProof/>
        </w:rPr>
      </w:r>
      <w:r>
        <w:rPr>
          <w:noProof/>
        </w:rPr>
        <w:fldChar w:fldCharType="separate"/>
      </w:r>
      <w:r>
        <w:rPr>
          <w:noProof/>
        </w:rPr>
        <w:t>19</w:t>
      </w:r>
      <w:r>
        <w:rPr>
          <w:noProof/>
        </w:rPr>
        <w:fldChar w:fldCharType="end"/>
      </w:r>
    </w:p>
    <w:p w:rsidR="00593644" w:rsidRDefault="00593644">
      <w:pPr>
        <w:pStyle w:val="TOC2"/>
        <w:rPr>
          <w:rFonts w:asciiTheme="minorHAnsi" w:eastAsiaTheme="minorEastAsia" w:hAnsiTheme="minorHAnsi" w:cstheme="minorBidi"/>
          <w:smallCaps w:val="0"/>
          <w:noProof/>
          <w:sz w:val="22"/>
          <w:szCs w:val="22"/>
          <w:lang w:val="en-CA" w:eastAsia="en-CA"/>
        </w:rPr>
      </w:pPr>
      <w:r>
        <w:rPr>
          <w:noProof/>
        </w:rPr>
        <w:t>4.7</w:t>
      </w:r>
      <w:r>
        <w:rPr>
          <w:rFonts w:asciiTheme="minorHAnsi" w:eastAsiaTheme="minorEastAsia" w:hAnsiTheme="minorHAnsi" w:cstheme="minorBidi"/>
          <w:smallCaps w:val="0"/>
          <w:noProof/>
          <w:sz w:val="22"/>
          <w:szCs w:val="22"/>
          <w:lang w:val="en-CA" w:eastAsia="en-CA"/>
        </w:rPr>
        <w:tab/>
      </w:r>
      <w:r>
        <w:rPr>
          <w:noProof/>
        </w:rPr>
        <w:t>Nonparametric prediction</w:t>
      </w:r>
      <w:r>
        <w:rPr>
          <w:noProof/>
        </w:rPr>
        <w:tab/>
      </w:r>
      <w:r>
        <w:rPr>
          <w:noProof/>
        </w:rPr>
        <w:fldChar w:fldCharType="begin"/>
      </w:r>
      <w:r>
        <w:rPr>
          <w:noProof/>
        </w:rPr>
        <w:instrText xml:space="preserve"> PAGEREF _Toc449596365 \h </w:instrText>
      </w:r>
      <w:r>
        <w:rPr>
          <w:noProof/>
        </w:rPr>
      </w:r>
      <w:r>
        <w:rPr>
          <w:noProof/>
        </w:rPr>
        <w:fldChar w:fldCharType="separate"/>
      </w:r>
      <w:r>
        <w:rPr>
          <w:noProof/>
        </w:rPr>
        <w:t>24</w:t>
      </w:r>
      <w:r>
        <w:rPr>
          <w:noProof/>
        </w:rPr>
        <w:fldChar w:fldCharType="end"/>
      </w:r>
    </w:p>
    <w:p w:rsidR="00593644" w:rsidRDefault="00593644">
      <w:pPr>
        <w:pStyle w:val="TOC1"/>
        <w:rPr>
          <w:rFonts w:asciiTheme="minorHAnsi" w:eastAsiaTheme="minorEastAsia" w:hAnsiTheme="minorHAnsi" w:cstheme="minorBidi"/>
          <w:b w:val="0"/>
          <w:caps w:val="0"/>
          <w:noProof/>
          <w:sz w:val="22"/>
          <w:szCs w:val="22"/>
          <w:lang w:val="en-CA" w:eastAsia="en-CA"/>
        </w:rPr>
      </w:pPr>
      <w:r>
        <w:rPr>
          <w:noProof/>
        </w:rPr>
        <w:t>5.</w:t>
      </w:r>
      <w:r>
        <w:rPr>
          <w:rFonts w:asciiTheme="minorHAnsi" w:eastAsiaTheme="minorEastAsia" w:hAnsiTheme="minorHAnsi" w:cstheme="minorBidi"/>
          <w:b w:val="0"/>
          <w:caps w:val="0"/>
          <w:noProof/>
          <w:sz w:val="22"/>
          <w:szCs w:val="22"/>
          <w:lang w:val="en-CA" w:eastAsia="en-CA"/>
        </w:rPr>
        <w:tab/>
      </w:r>
      <w:r>
        <w:rPr>
          <w:noProof/>
        </w:rPr>
        <w:t>Discussion</w:t>
      </w:r>
      <w:r>
        <w:rPr>
          <w:noProof/>
        </w:rPr>
        <w:tab/>
      </w:r>
      <w:r>
        <w:rPr>
          <w:noProof/>
        </w:rPr>
        <w:fldChar w:fldCharType="begin"/>
      </w:r>
      <w:r>
        <w:rPr>
          <w:noProof/>
        </w:rPr>
        <w:instrText xml:space="preserve"> PAGEREF _Toc449596366 \h </w:instrText>
      </w:r>
      <w:r>
        <w:rPr>
          <w:noProof/>
        </w:rPr>
      </w:r>
      <w:r>
        <w:rPr>
          <w:noProof/>
        </w:rPr>
        <w:fldChar w:fldCharType="separate"/>
      </w:r>
      <w:r>
        <w:rPr>
          <w:noProof/>
        </w:rPr>
        <w:t>29</w:t>
      </w:r>
      <w:r>
        <w:rPr>
          <w:noProof/>
        </w:rPr>
        <w:fldChar w:fldCharType="end"/>
      </w:r>
    </w:p>
    <w:p w:rsidR="00593644" w:rsidRDefault="00593644">
      <w:pPr>
        <w:pStyle w:val="TOC1"/>
        <w:rPr>
          <w:rFonts w:asciiTheme="minorHAnsi" w:eastAsiaTheme="minorEastAsia" w:hAnsiTheme="minorHAnsi" w:cstheme="minorBidi"/>
          <w:b w:val="0"/>
          <w:caps w:val="0"/>
          <w:noProof/>
          <w:sz w:val="22"/>
          <w:szCs w:val="22"/>
          <w:lang w:val="en-CA" w:eastAsia="en-CA"/>
        </w:rPr>
      </w:pPr>
      <w:r>
        <w:rPr>
          <w:noProof/>
        </w:rPr>
        <w:t>6.</w:t>
      </w:r>
      <w:r>
        <w:rPr>
          <w:rFonts w:asciiTheme="minorHAnsi" w:eastAsiaTheme="minorEastAsia" w:hAnsiTheme="minorHAnsi" w:cstheme="minorBidi"/>
          <w:b w:val="0"/>
          <w:caps w:val="0"/>
          <w:noProof/>
          <w:sz w:val="22"/>
          <w:szCs w:val="22"/>
          <w:lang w:val="en-CA" w:eastAsia="en-CA"/>
        </w:rPr>
        <w:tab/>
      </w:r>
      <w:r>
        <w:rPr>
          <w:noProof/>
        </w:rPr>
        <w:t>Summary</w:t>
      </w:r>
      <w:r>
        <w:rPr>
          <w:noProof/>
        </w:rPr>
        <w:tab/>
      </w:r>
      <w:r>
        <w:rPr>
          <w:noProof/>
        </w:rPr>
        <w:fldChar w:fldCharType="begin"/>
      </w:r>
      <w:r>
        <w:rPr>
          <w:noProof/>
        </w:rPr>
        <w:instrText xml:space="preserve"> PAGEREF _Toc449596367 \h </w:instrText>
      </w:r>
      <w:r>
        <w:rPr>
          <w:noProof/>
        </w:rPr>
      </w:r>
      <w:r>
        <w:rPr>
          <w:noProof/>
        </w:rPr>
        <w:fldChar w:fldCharType="separate"/>
      </w:r>
      <w:r>
        <w:rPr>
          <w:noProof/>
        </w:rPr>
        <w:t>29</w:t>
      </w:r>
      <w:r>
        <w:rPr>
          <w:noProof/>
        </w:rPr>
        <w:fldChar w:fldCharType="end"/>
      </w:r>
    </w:p>
    <w:p w:rsidR="00593644" w:rsidRDefault="00593644">
      <w:pPr>
        <w:pStyle w:val="TOC1"/>
        <w:rPr>
          <w:rFonts w:asciiTheme="minorHAnsi" w:eastAsiaTheme="minorEastAsia" w:hAnsiTheme="minorHAnsi" w:cstheme="minorBidi"/>
          <w:b w:val="0"/>
          <w:caps w:val="0"/>
          <w:noProof/>
          <w:sz w:val="22"/>
          <w:szCs w:val="22"/>
          <w:lang w:val="en-CA" w:eastAsia="en-CA"/>
        </w:rPr>
      </w:pPr>
      <w:r>
        <w:rPr>
          <w:noProof/>
        </w:rPr>
        <w:t>7.</w:t>
      </w:r>
      <w:r>
        <w:rPr>
          <w:rFonts w:asciiTheme="minorHAnsi" w:eastAsiaTheme="minorEastAsia" w:hAnsiTheme="minorHAnsi" w:cstheme="minorBidi"/>
          <w:b w:val="0"/>
          <w:caps w:val="0"/>
          <w:noProof/>
          <w:sz w:val="22"/>
          <w:szCs w:val="22"/>
          <w:lang w:val="en-CA" w:eastAsia="en-CA"/>
        </w:rPr>
        <w:tab/>
      </w:r>
      <w:r>
        <w:rPr>
          <w:noProof/>
        </w:rPr>
        <w:t>References</w:t>
      </w:r>
      <w:r>
        <w:rPr>
          <w:noProof/>
        </w:rPr>
        <w:tab/>
      </w:r>
      <w:r>
        <w:rPr>
          <w:noProof/>
        </w:rPr>
        <w:fldChar w:fldCharType="begin"/>
      </w:r>
      <w:r>
        <w:rPr>
          <w:noProof/>
        </w:rPr>
        <w:instrText xml:space="preserve"> PAGEREF _Toc449596368 \h </w:instrText>
      </w:r>
      <w:r>
        <w:rPr>
          <w:noProof/>
        </w:rPr>
      </w:r>
      <w:r>
        <w:rPr>
          <w:noProof/>
        </w:rPr>
        <w:fldChar w:fldCharType="separate"/>
      </w:r>
      <w:r>
        <w:rPr>
          <w:noProof/>
        </w:rPr>
        <w:t>30</w:t>
      </w:r>
      <w:r>
        <w:rPr>
          <w:noProof/>
        </w:rPr>
        <w:fldChar w:fldCharType="end"/>
      </w:r>
    </w:p>
    <w:p w:rsidR="00593644" w:rsidRDefault="00593644">
      <w:pPr>
        <w:pStyle w:val="TOC1"/>
        <w:rPr>
          <w:rFonts w:asciiTheme="minorHAnsi" w:eastAsiaTheme="minorEastAsia" w:hAnsiTheme="minorHAnsi" w:cstheme="minorBidi"/>
          <w:b w:val="0"/>
          <w:caps w:val="0"/>
          <w:noProof/>
          <w:sz w:val="22"/>
          <w:szCs w:val="22"/>
          <w:lang w:val="en-CA" w:eastAsia="en-CA"/>
        </w:rPr>
      </w:pPr>
      <w:r>
        <w:rPr>
          <w:noProof/>
        </w:rPr>
        <w:t>8.</w:t>
      </w:r>
      <w:r>
        <w:rPr>
          <w:rFonts w:asciiTheme="minorHAnsi" w:eastAsiaTheme="minorEastAsia" w:hAnsiTheme="minorHAnsi" w:cstheme="minorBidi"/>
          <w:b w:val="0"/>
          <w:caps w:val="0"/>
          <w:noProof/>
          <w:sz w:val="22"/>
          <w:szCs w:val="22"/>
          <w:lang w:val="en-CA" w:eastAsia="en-CA"/>
        </w:rPr>
        <w:tab/>
      </w:r>
      <w:r>
        <w:rPr>
          <w:noProof/>
        </w:rPr>
        <w:t>Appendix</w:t>
      </w:r>
      <w:r>
        <w:rPr>
          <w:noProof/>
        </w:rPr>
        <w:tab/>
      </w:r>
      <w:r>
        <w:rPr>
          <w:noProof/>
        </w:rPr>
        <w:fldChar w:fldCharType="begin"/>
      </w:r>
      <w:r>
        <w:rPr>
          <w:noProof/>
        </w:rPr>
        <w:instrText xml:space="preserve"> PAGEREF _Toc449596369 \h </w:instrText>
      </w:r>
      <w:r>
        <w:rPr>
          <w:noProof/>
        </w:rPr>
      </w:r>
      <w:r>
        <w:rPr>
          <w:noProof/>
        </w:rPr>
        <w:fldChar w:fldCharType="separate"/>
      </w:r>
      <w:r>
        <w:rPr>
          <w:noProof/>
        </w:rPr>
        <w:t>30</w:t>
      </w:r>
      <w:r>
        <w:rPr>
          <w:noProof/>
        </w:rPr>
        <w:fldChar w:fldCharType="end"/>
      </w:r>
    </w:p>
    <w:p w:rsidR="00AC54AE" w:rsidRDefault="007B1ABC">
      <w:pPr>
        <w:pStyle w:val="Heading1"/>
        <w:numPr>
          <w:ilvl w:val="0"/>
          <w:numId w:val="0"/>
        </w:numPr>
        <w:spacing w:before="0" w:after="0"/>
        <w:sectPr w:rsidR="00AC54AE" w:rsidSect="00820049">
          <w:type w:val="continuous"/>
          <w:pgSz w:w="12240" w:h="15840" w:code="1"/>
          <w:pgMar w:top="1440" w:right="1800" w:bottom="1440" w:left="1800" w:header="720" w:footer="720" w:gutter="0"/>
          <w:pgNumType w:fmt="lowerRoman" w:start="1"/>
          <w:cols w:space="720"/>
          <w:titlePg/>
        </w:sectPr>
      </w:pPr>
      <w:r>
        <w:rPr>
          <w:rFonts w:ascii="Times New Roman" w:hAnsi="Times New Roman"/>
          <w:caps/>
          <w:kern w:val="0"/>
          <w:sz w:val="20"/>
        </w:rPr>
        <w:fldChar w:fldCharType="end"/>
      </w:r>
    </w:p>
    <w:p w:rsidR="00902C3A" w:rsidRPr="00864BDC" w:rsidRDefault="00902C3A" w:rsidP="00864BDC">
      <w:pPr>
        <w:rPr>
          <w:b/>
          <w:sz w:val="24"/>
          <w:szCs w:val="24"/>
        </w:rPr>
      </w:pPr>
      <w:r w:rsidRPr="00864BDC">
        <w:rPr>
          <w:b/>
          <w:sz w:val="24"/>
          <w:szCs w:val="24"/>
        </w:rPr>
        <w:lastRenderedPageBreak/>
        <w:t>List of Tables</w:t>
      </w:r>
    </w:p>
    <w:p w:rsidR="00A5713E" w:rsidRDefault="00902C3A"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r>
        <w:fldChar w:fldCharType="begin"/>
      </w:r>
      <w:r>
        <w:instrText xml:space="preserve"> TOC \h \z \c "Table" </w:instrText>
      </w:r>
      <w:r>
        <w:fldChar w:fldCharType="separate"/>
      </w:r>
      <w:hyperlink w:anchor="_Toc449515866" w:history="1">
        <w:r w:rsidR="00A5713E" w:rsidRPr="007119D1">
          <w:rPr>
            <w:rStyle w:val="Hyperlink"/>
            <w:noProof/>
          </w:rPr>
          <w:t>Table 1 Defined strata and initial target number of plots</w:t>
        </w:r>
        <w:r w:rsidR="00A5713E">
          <w:rPr>
            <w:noProof/>
            <w:webHidden/>
          </w:rPr>
          <w:tab/>
        </w:r>
        <w:r w:rsidR="00A5713E">
          <w:rPr>
            <w:noProof/>
            <w:webHidden/>
          </w:rPr>
          <w:fldChar w:fldCharType="begin"/>
        </w:r>
        <w:r w:rsidR="00A5713E">
          <w:rPr>
            <w:noProof/>
            <w:webHidden/>
          </w:rPr>
          <w:instrText xml:space="preserve"> PAGEREF _Toc449515866 \h </w:instrText>
        </w:r>
        <w:r w:rsidR="00A5713E">
          <w:rPr>
            <w:noProof/>
            <w:webHidden/>
          </w:rPr>
        </w:r>
        <w:r w:rsidR="00A5713E">
          <w:rPr>
            <w:noProof/>
            <w:webHidden/>
          </w:rPr>
          <w:fldChar w:fldCharType="separate"/>
        </w:r>
        <w:r w:rsidR="00593644">
          <w:rPr>
            <w:noProof/>
            <w:webHidden/>
          </w:rPr>
          <w:t>4</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67" w:history="1">
        <w:r w:rsidR="00A5713E" w:rsidRPr="007119D1">
          <w:rPr>
            <w:rStyle w:val="Hyperlink"/>
            <w:noProof/>
          </w:rPr>
          <w:t>Table 2 Specifications for GPS unit configuration and measurements</w:t>
        </w:r>
        <w:r w:rsidR="00A5713E">
          <w:rPr>
            <w:noProof/>
            <w:webHidden/>
          </w:rPr>
          <w:tab/>
        </w:r>
        <w:r w:rsidR="00A5713E">
          <w:rPr>
            <w:noProof/>
            <w:webHidden/>
          </w:rPr>
          <w:fldChar w:fldCharType="begin"/>
        </w:r>
        <w:r w:rsidR="00A5713E">
          <w:rPr>
            <w:noProof/>
            <w:webHidden/>
          </w:rPr>
          <w:instrText xml:space="preserve"> PAGEREF _Toc449515867 \h </w:instrText>
        </w:r>
        <w:r w:rsidR="00A5713E">
          <w:rPr>
            <w:noProof/>
            <w:webHidden/>
          </w:rPr>
        </w:r>
        <w:r w:rsidR="00A5713E">
          <w:rPr>
            <w:noProof/>
            <w:webHidden/>
          </w:rPr>
          <w:fldChar w:fldCharType="separate"/>
        </w:r>
        <w:r w:rsidR="00593644">
          <w:rPr>
            <w:noProof/>
            <w:webHidden/>
          </w:rPr>
          <w:t>6</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68" w:history="1">
        <w:r w:rsidR="00A5713E" w:rsidRPr="007119D1">
          <w:rPr>
            <w:rStyle w:val="Hyperlink"/>
            <w:noProof/>
          </w:rPr>
          <w:t>Table 3 Definitions of predicted variables</w:t>
        </w:r>
        <w:r w:rsidR="00A5713E">
          <w:rPr>
            <w:noProof/>
            <w:webHidden/>
          </w:rPr>
          <w:tab/>
        </w:r>
        <w:r w:rsidR="00A5713E">
          <w:rPr>
            <w:noProof/>
            <w:webHidden/>
          </w:rPr>
          <w:fldChar w:fldCharType="begin"/>
        </w:r>
        <w:r w:rsidR="00A5713E">
          <w:rPr>
            <w:noProof/>
            <w:webHidden/>
          </w:rPr>
          <w:instrText xml:space="preserve"> PAGEREF _Toc449515868 \h </w:instrText>
        </w:r>
        <w:r w:rsidR="00A5713E">
          <w:rPr>
            <w:noProof/>
            <w:webHidden/>
          </w:rPr>
        </w:r>
        <w:r w:rsidR="00A5713E">
          <w:rPr>
            <w:noProof/>
            <w:webHidden/>
          </w:rPr>
          <w:fldChar w:fldCharType="separate"/>
        </w:r>
        <w:r w:rsidR="00593644">
          <w:rPr>
            <w:noProof/>
            <w:webHidden/>
          </w:rPr>
          <w:t>6</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69" w:history="1">
        <w:r w:rsidR="00A5713E" w:rsidRPr="007119D1">
          <w:rPr>
            <w:rStyle w:val="Hyperlink"/>
            <w:noProof/>
          </w:rPr>
          <w:t>Table 4 LiDAR predictors derived from the LiDAR canopy</w:t>
        </w:r>
        <w:r w:rsidR="00A5713E">
          <w:rPr>
            <w:noProof/>
            <w:webHidden/>
          </w:rPr>
          <w:tab/>
        </w:r>
        <w:r w:rsidR="00A5713E">
          <w:rPr>
            <w:noProof/>
            <w:webHidden/>
          </w:rPr>
          <w:fldChar w:fldCharType="begin"/>
        </w:r>
        <w:r w:rsidR="00A5713E">
          <w:rPr>
            <w:noProof/>
            <w:webHidden/>
          </w:rPr>
          <w:instrText xml:space="preserve"> PAGEREF _Toc449515869 \h </w:instrText>
        </w:r>
        <w:r w:rsidR="00A5713E">
          <w:rPr>
            <w:noProof/>
            <w:webHidden/>
          </w:rPr>
        </w:r>
        <w:r w:rsidR="00A5713E">
          <w:rPr>
            <w:noProof/>
            <w:webHidden/>
          </w:rPr>
          <w:fldChar w:fldCharType="separate"/>
        </w:r>
        <w:r w:rsidR="00593644">
          <w:rPr>
            <w:noProof/>
            <w:webHidden/>
          </w:rPr>
          <w:t>7</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70" w:history="1">
        <w:r w:rsidR="00A5713E" w:rsidRPr="007119D1">
          <w:rPr>
            <w:rStyle w:val="Hyperlink"/>
            <w:noProof/>
          </w:rPr>
          <w:t>Table 5  Total number of laser points in by return class. Statistics derived from the original Okanagan dataset delivered by LiDAR data provider.</w:t>
        </w:r>
        <w:r w:rsidR="00A5713E">
          <w:rPr>
            <w:noProof/>
            <w:webHidden/>
          </w:rPr>
          <w:tab/>
        </w:r>
        <w:r w:rsidR="00A5713E">
          <w:rPr>
            <w:noProof/>
            <w:webHidden/>
          </w:rPr>
          <w:fldChar w:fldCharType="begin"/>
        </w:r>
        <w:r w:rsidR="00A5713E">
          <w:rPr>
            <w:noProof/>
            <w:webHidden/>
          </w:rPr>
          <w:instrText xml:space="preserve"> PAGEREF _Toc449515870 \h </w:instrText>
        </w:r>
        <w:r w:rsidR="00A5713E">
          <w:rPr>
            <w:noProof/>
            <w:webHidden/>
          </w:rPr>
        </w:r>
        <w:r w:rsidR="00A5713E">
          <w:rPr>
            <w:noProof/>
            <w:webHidden/>
          </w:rPr>
          <w:fldChar w:fldCharType="separate"/>
        </w:r>
        <w:r w:rsidR="00593644">
          <w:rPr>
            <w:noProof/>
            <w:webHidden/>
          </w:rPr>
          <w:t>12</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71" w:history="1">
        <w:r w:rsidR="00A5713E" w:rsidRPr="007119D1">
          <w:rPr>
            <w:rStyle w:val="Hyperlink"/>
            <w:noProof/>
          </w:rPr>
          <w:t>Table 6  Statistical estimates of selected tree attributes with the change ranges</w:t>
        </w:r>
        <w:r w:rsidR="00A5713E">
          <w:rPr>
            <w:noProof/>
            <w:webHidden/>
          </w:rPr>
          <w:tab/>
        </w:r>
        <w:r w:rsidR="00A5713E">
          <w:rPr>
            <w:noProof/>
            <w:webHidden/>
          </w:rPr>
          <w:fldChar w:fldCharType="begin"/>
        </w:r>
        <w:r w:rsidR="00A5713E">
          <w:rPr>
            <w:noProof/>
            <w:webHidden/>
          </w:rPr>
          <w:instrText xml:space="preserve"> PAGEREF _Toc449515871 \h </w:instrText>
        </w:r>
        <w:r w:rsidR="00A5713E">
          <w:rPr>
            <w:noProof/>
            <w:webHidden/>
          </w:rPr>
        </w:r>
        <w:r w:rsidR="00A5713E">
          <w:rPr>
            <w:noProof/>
            <w:webHidden/>
          </w:rPr>
          <w:fldChar w:fldCharType="separate"/>
        </w:r>
        <w:r w:rsidR="00593644">
          <w:rPr>
            <w:noProof/>
            <w:webHidden/>
          </w:rPr>
          <w:t>16</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72" w:history="1">
        <w:r w:rsidR="00A5713E" w:rsidRPr="007119D1">
          <w:rPr>
            <w:rStyle w:val="Hyperlink"/>
            <w:noProof/>
          </w:rPr>
          <w:t>Table 7  The parametric prediction equations associated with all the data and no stratification</w:t>
        </w:r>
        <w:r w:rsidR="00A5713E">
          <w:rPr>
            <w:noProof/>
            <w:webHidden/>
          </w:rPr>
          <w:tab/>
        </w:r>
        <w:r w:rsidR="00A5713E">
          <w:rPr>
            <w:noProof/>
            <w:webHidden/>
          </w:rPr>
          <w:fldChar w:fldCharType="begin"/>
        </w:r>
        <w:r w:rsidR="00A5713E">
          <w:rPr>
            <w:noProof/>
            <w:webHidden/>
          </w:rPr>
          <w:instrText xml:space="preserve"> PAGEREF _Toc449515872 \h </w:instrText>
        </w:r>
        <w:r w:rsidR="00A5713E">
          <w:rPr>
            <w:noProof/>
            <w:webHidden/>
          </w:rPr>
        </w:r>
        <w:r w:rsidR="00A5713E">
          <w:rPr>
            <w:noProof/>
            <w:webHidden/>
          </w:rPr>
          <w:fldChar w:fldCharType="separate"/>
        </w:r>
        <w:r w:rsidR="00593644">
          <w:rPr>
            <w:noProof/>
            <w:webHidden/>
          </w:rPr>
          <w:t>19</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73" w:history="1">
        <w:r w:rsidR="00A5713E" w:rsidRPr="007119D1">
          <w:rPr>
            <w:rStyle w:val="Hyperlink"/>
            <w:noProof/>
          </w:rPr>
          <w:t>Table 8  The actual and predicted values are given for basal area and Lorey height using all the data for all strata combined (Combined) and by strata (Strata).</w:t>
        </w:r>
        <w:r w:rsidR="00A5713E">
          <w:rPr>
            <w:noProof/>
            <w:webHidden/>
          </w:rPr>
          <w:tab/>
        </w:r>
        <w:r w:rsidR="00A5713E">
          <w:rPr>
            <w:noProof/>
            <w:webHidden/>
          </w:rPr>
          <w:fldChar w:fldCharType="begin"/>
        </w:r>
        <w:r w:rsidR="00A5713E">
          <w:rPr>
            <w:noProof/>
            <w:webHidden/>
          </w:rPr>
          <w:instrText xml:space="preserve"> PAGEREF _Toc449515873 \h </w:instrText>
        </w:r>
        <w:r w:rsidR="00A5713E">
          <w:rPr>
            <w:noProof/>
            <w:webHidden/>
          </w:rPr>
        </w:r>
        <w:r w:rsidR="00A5713E">
          <w:rPr>
            <w:noProof/>
            <w:webHidden/>
          </w:rPr>
          <w:fldChar w:fldCharType="separate"/>
        </w:r>
        <w:r w:rsidR="00593644">
          <w:rPr>
            <w:noProof/>
            <w:webHidden/>
          </w:rPr>
          <w:t>22</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74" w:history="1">
        <w:r w:rsidR="00A5713E" w:rsidRPr="007119D1">
          <w:rPr>
            <w:rStyle w:val="Hyperlink"/>
            <w:noProof/>
          </w:rPr>
          <w:t>Table 9  The actual and predicted values are given for the validation data.  Biases that are statistically different from zero (α ≤ 5%) are shaded.</w:t>
        </w:r>
        <w:r w:rsidR="00A5713E">
          <w:rPr>
            <w:noProof/>
            <w:webHidden/>
          </w:rPr>
          <w:tab/>
        </w:r>
        <w:r w:rsidR="00A5713E">
          <w:rPr>
            <w:noProof/>
            <w:webHidden/>
          </w:rPr>
          <w:fldChar w:fldCharType="begin"/>
        </w:r>
        <w:r w:rsidR="00A5713E">
          <w:rPr>
            <w:noProof/>
            <w:webHidden/>
          </w:rPr>
          <w:instrText xml:space="preserve"> PAGEREF _Toc449515874 \h </w:instrText>
        </w:r>
        <w:r w:rsidR="00A5713E">
          <w:rPr>
            <w:noProof/>
            <w:webHidden/>
          </w:rPr>
        </w:r>
        <w:r w:rsidR="00A5713E">
          <w:rPr>
            <w:noProof/>
            <w:webHidden/>
          </w:rPr>
          <w:fldChar w:fldCharType="separate"/>
        </w:r>
        <w:r w:rsidR="00593644">
          <w:rPr>
            <w:noProof/>
            <w:webHidden/>
          </w:rPr>
          <w:t>28</w:t>
        </w:r>
        <w:r w:rsidR="00A5713E">
          <w:rPr>
            <w:noProof/>
            <w:webHidden/>
          </w:rPr>
          <w:fldChar w:fldCharType="end"/>
        </w:r>
      </w:hyperlink>
    </w:p>
    <w:p w:rsidR="00902C3A" w:rsidRDefault="00902C3A" w:rsidP="00902C3A">
      <w:r>
        <w:fldChar w:fldCharType="end"/>
      </w:r>
      <w:r>
        <w:br w:type="page"/>
      </w:r>
    </w:p>
    <w:p w:rsidR="00902C3A" w:rsidRPr="00864BDC" w:rsidRDefault="00902C3A" w:rsidP="00864BDC">
      <w:pPr>
        <w:rPr>
          <w:b/>
          <w:sz w:val="24"/>
          <w:szCs w:val="24"/>
        </w:rPr>
      </w:pPr>
      <w:r w:rsidRPr="00864BDC">
        <w:rPr>
          <w:b/>
          <w:sz w:val="24"/>
          <w:szCs w:val="24"/>
        </w:rPr>
        <w:lastRenderedPageBreak/>
        <w:t>List of Figures</w:t>
      </w:r>
    </w:p>
    <w:p w:rsidR="00A5713E" w:rsidRDefault="00902C3A"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r>
        <w:fldChar w:fldCharType="begin"/>
      </w:r>
      <w:r>
        <w:instrText xml:space="preserve"> TOC \h \z \c "Figure" </w:instrText>
      </w:r>
      <w:r>
        <w:fldChar w:fldCharType="separate"/>
      </w:r>
      <w:hyperlink w:anchor="_Toc449515875" w:history="1">
        <w:r w:rsidR="00A5713E" w:rsidRPr="008F618D">
          <w:rPr>
            <w:rStyle w:val="Hyperlink"/>
            <w:noProof/>
          </w:rPr>
          <w:t>Figure 1 The total Lidar area is shown on the left, and the project area (areas 1 and 2) is shown on the right (also shown the ground plot locations).</w:t>
        </w:r>
        <w:r w:rsidR="00A5713E">
          <w:rPr>
            <w:noProof/>
            <w:webHidden/>
          </w:rPr>
          <w:tab/>
        </w:r>
        <w:r w:rsidR="00A5713E">
          <w:rPr>
            <w:noProof/>
            <w:webHidden/>
          </w:rPr>
          <w:fldChar w:fldCharType="begin"/>
        </w:r>
        <w:r w:rsidR="00A5713E">
          <w:rPr>
            <w:noProof/>
            <w:webHidden/>
          </w:rPr>
          <w:instrText xml:space="preserve"> PAGEREF _Toc449515875 \h </w:instrText>
        </w:r>
        <w:r w:rsidR="00A5713E">
          <w:rPr>
            <w:noProof/>
            <w:webHidden/>
          </w:rPr>
        </w:r>
        <w:r w:rsidR="00A5713E">
          <w:rPr>
            <w:noProof/>
            <w:webHidden/>
          </w:rPr>
          <w:fldChar w:fldCharType="separate"/>
        </w:r>
        <w:r w:rsidR="00593644">
          <w:rPr>
            <w:noProof/>
            <w:webHidden/>
          </w:rPr>
          <w:t>3</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76" w:history="1">
        <w:r w:rsidR="00A5713E" w:rsidRPr="008F618D">
          <w:rPr>
            <w:rStyle w:val="Hyperlink"/>
            <w:noProof/>
          </w:rPr>
          <w:t>Figure 2 Plot 18 (0.04ha) overlaid on orthophoto (left) and LiDAR canopy (right).</w:t>
        </w:r>
        <w:r w:rsidR="00A5713E">
          <w:rPr>
            <w:noProof/>
            <w:webHidden/>
          </w:rPr>
          <w:tab/>
        </w:r>
        <w:r w:rsidR="00A5713E">
          <w:rPr>
            <w:noProof/>
            <w:webHidden/>
          </w:rPr>
          <w:fldChar w:fldCharType="begin"/>
        </w:r>
        <w:r w:rsidR="00A5713E">
          <w:rPr>
            <w:noProof/>
            <w:webHidden/>
          </w:rPr>
          <w:instrText xml:space="preserve"> PAGEREF _Toc449515876 \h </w:instrText>
        </w:r>
        <w:r w:rsidR="00A5713E">
          <w:rPr>
            <w:noProof/>
            <w:webHidden/>
          </w:rPr>
        </w:r>
        <w:r w:rsidR="00A5713E">
          <w:rPr>
            <w:noProof/>
            <w:webHidden/>
          </w:rPr>
          <w:fldChar w:fldCharType="separate"/>
        </w:r>
        <w:r w:rsidR="00593644">
          <w:rPr>
            <w:noProof/>
            <w:webHidden/>
          </w:rPr>
          <w:t>5</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77" w:history="1">
        <w:r w:rsidR="00A5713E" w:rsidRPr="008F618D">
          <w:rPr>
            <w:rStyle w:val="Hyperlink"/>
            <w:noProof/>
          </w:rPr>
          <w:t>Figure 3  Flowchart of LEFI components and processing steps.</w:t>
        </w:r>
        <w:r w:rsidR="00A5713E">
          <w:rPr>
            <w:noProof/>
            <w:webHidden/>
          </w:rPr>
          <w:tab/>
        </w:r>
        <w:r w:rsidR="00A5713E">
          <w:rPr>
            <w:noProof/>
            <w:webHidden/>
          </w:rPr>
          <w:fldChar w:fldCharType="begin"/>
        </w:r>
        <w:r w:rsidR="00A5713E">
          <w:rPr>
            <w:noProof/>
            <w:webHidden/>
          </w:rPr>
          <w:instrText xml:space="preserve"> PAGEREF _Toc449515877 \h </w:instrText>
        </w:r>
        <w:r w:rsidR="00A5713E">
          <w:rPr>
            <w:noProof/>
            <w:webHidden/>
          </w:rPr>
        </w:r>
        <w:r w:rsidR="00A5713E">
          <w:rPr>
            <w:noProof/>
            <w:webHidden/>
          </w:rPr>
          <w:fldChar w:fldCharType="separate"/>
        </w:r>
        <w:r w:rsidR="00593644">
          <w:rPr>
            <w:noProof/>
            <w:webHidden/>
          </w:rPr>
          <w:t>10</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78" w:history="1">
        <w:r w:rsidR="00A5713E" w:rsidRPr="008F618D">
          <w:rPr>
            <w:rStyle w:val="Hyperlink"/>
            <w:noProof/>
          </w:rPr>
          <w:t>Figure 4 Area distributions as summarized from the 2014 VRI.</w:t>
        </w:r>
        <w:r w:rsidR="00A5713E">
          <w:rPr>
            <w:noProof/>
            <w:webHidden/>
          </w:rPr>
          <w:tab/>
        </w:r>
        <w:r w:rsidR="00A5713E">
          <w:rPr>
            <w:noProof/>
            <w:webHidden/>
          </w:rPr>
          <w:fldChar w:fldCharType="begin"/>
        </w:r>
        <w:r w:rsidR="00A5713E">
          <w:rPr>
            <w:noProof/>
            <w:webHidden/>
          </w:rPr>
          <w:instrText xml:space="preserve"> PAGEREF _Toc449515878 \h </w:instrText>
        </w:r>
        <w:r w:rsidR="00A5713E">
          <w:rPr>
            <w:noProof/>
            <w:webHidden/>
          </w:rPr>
        </w:r>
        <w:r w:rsidR="00A5713E">
          <w:rPr>
            <w:noProof/>
            <w:webHidden/>
          </w:rPr>
          <w:fldChar w:fldCharType="separate"/>
        </w:r>
        <w:r w:rsidR="00593644">
          <w:rPr>
            <w:noProof/>
            <w:webHidden/>
          </w:rPr>
          <w:t>11</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79" w:history="1">
        <w:r w:rsidR="00A5713E" w:rsidRPr="008F618D">
          <w:rPr>
            <w:rStyle w:val="Hyperlink"/>
            <w:noProof/>
          </w:rPr>
          <w:t>Figure 5  Bare earth DEM with the original BCGS 1:2,500 Grid System.</w:t>
        </w:r>
        <w:r w:rsidR="00A5713E">
          <w:rPr>
            <w:noProof/>
            <w:webHidden/>
          </w:rPr>
          <w:tab/>
        </w:r>
        <w:r w:rsidR="00A5713E">
          <w:rPr>
            <w:noProof/>
            <w:webHidden/>
          </w:rPr>
          <w:fldChar w:fldCharType="begin"/>
        </w:r>
        <w:r w:rsidR="00A5713E">
          <w:rPr>
            <w:noProof/>
            <w:webHidden/>
          </w:rPr>
          <w:instrText xml:space="preserve"> PAGEREF _Toc449515879 \h </w:instrText>
        </w:r>
        <w:r w:rsidR="00A5713E">
          <w:rPr>
            <w:noProof/>
            <w:webHidden/>
          </w:rPr>
        </w:r>
        <w:r w:rsidR="00A5713E">
          <w:rPr>
            <w:noProof/>
            <w:webHidden/>
          </w:rPr>
          <w:fldChar w:fldCharType="separate"/>
        </w:r>
        <w:r w:rsidR="00593644">
          <w:rPr>
            <w:noProof/>
            <w:webHidden/>
          </w:rPr>
          <w:t>13</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80" w:history="1">
        <w:r w:rsidR="00A5713E" w:rsidRPr="008F618D">
          <w:rPr>
            <w:rStyle w:val="Hyperlink"/>
            <w:noProof/>
          </w:rPr>
          <w:t>Figure 6  Retiled 1000m x 1000m LiDAR dataset (bare earth DEM).</w:t>
        </w:r>
        <w:r w:rsidR="00A5713E">
          <w:rPr>
            <w:noProof/>
            <w:webHidden/>
          </w:rPr>
          <w:tab/>
        </w:r>
        <w:r w:rsidR="00A5713E">
          <w:rPr>
            <w:noProof/>
            <w:webHidden/>
          </w:rPr>
          <w:fldChar w:fldCharType="begin"/>
        </w:r>
        <w:r w:rsidR="00A5713E">
          <w:rPr>
            <w:noProof/>
            <w:webHidden/>
          </w:rPr>
          <w:instrText xml:space="preserve"> PAGEREF _Toc449515880 \h </w:instrText>
        </w:r>
        <w:r w:rsidR="00A5713E">
          <w:rPr>
            <w:noProof/>
            <w:webHidden/>
          </w:rPr>
        </w:r>
        <w:r w:rsidR="00A5713E">
          <w:rPr>
            <w:noProof/>
            <w:webHidden/>
          </w:rPr>
          <w:fldChar w:fldCharType="separate"/>
        </w:r>
        <w:r w:rsidR="00593644">
          <w:rPr>
            <w:noProof/>
            <w:webHidden/>
          </w:rPr>
          <w:t>14</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81" w:history="1">
        <w:r w:rsidR="00A5713E" w:rsidRPr="008F618D">
          <w:rPr>
            <w:rStyle w:val="Hyperlink"/>
            <w:noProof/>
          </w:rPr>
          <w:t>Figure 7  Convert each point from an elevation above mean sea level to height above the ground surface.</w:t>
        </w:r>
        <w:r w:rsidR="00A5713E">
          <w:rPr>
            <w:noProof/>
            <w:webHidden/>
          </w:rPr>
          <w:tab/>
        </w:r>
        <w:r w:rsidR="00A5713E">
          <w:rPr>
            <w:noProof/>
            <w:webHidden/>
          </w:rPr>
          <w:fldChar w:fldCharType="begin"/>
        </w:r>
        <w:r w:rsidR="00A5713E">
          <w:rPr>
            <w:noProof/>
            <w:webHidden/>
          </w:rPr>
          <w:instrText xml:space="preserve"> PAGEREF _Toc449515881 \h </w:instrText>
        </w:r>
        <w:r w:rsidR="00A5713E">
          <w:rPr>
            <w:noProof/>
            <w:webHidden/>
          </w:rPr>
        </w:r>
        <w:r w:rsidR="00A5713E">
          <w:rPr>
            <w:noProof/>
            <w:webHidden/>
          </w:rPr>
          <w:fldChar w:fldCharType="separate"/>
        </w:r>
        <w:r w:rsidR="00593644">
          <w:rPr>
            <w:noProof/>
            <w:webHidden/>
          </w:rPr>
          <w:t>15</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82" w:history="1">
        <w:r w:rsidR="00A5713E" w:rsidRPr="008F618D">
          <w:rPr>
            <w:rStyle w:val="Hyperlink"/>
            <w:noProof/>
          </w:rPr>
          <w:t>Figure 8  Canopy Height Model</w:t>
        </w:r>
        <w:r w:rsidR="00A5713E">
          <w:rPr>
            <w:noProof/>
            <w:webHidden/>
          </w:rPr>
          <w:tab/>
        </w:r>
        <w:r w:rsidR="00A5713E">
          <w:rPr>
            <w:noProof/>
            <w:webHidden/>
          </w:rPr>
          <w:fldChar w:fldCharType="begin"/>
        </w:r>
        <w:r w:rsidR="00A5713E">
          <w:rPr>
            <w:noProof/>
            <w:webHidden/>
          </w:rPr>
          <w:instrText xml:space="preserve"> PAGEREF _Toc449515882 \h </w:instrText>
        </w:r>
        <w:r w:rsidR="00A5713E">
          <w:rPr>
            <w:noProof/>
            <w:webHidden/>
          </w:rPr>
        </w:r>
        <w:r w:rsidR="00A5713E">
          <w:rPr>
            <w:noProof/>
            <w:webHidden/>
          </w:rPr>
          <w:fldChar w:fldCharType="separate"/>
        </w:r>
        <w:r w:rsidR="00593644">
          <w:rPr>
            <w:noProof/>
            <w:webHidden/>
          </w:rPr>
          <w:t>16</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83" w:history="1">
        <w:r w:rsidR="00A5713E" w:rsidRPr="008F618D">
          <w:rPr>
            <w:rStyle w:val="Hyperlink"/>
            <w:noProof/>
          </w:rPr>
          <w:t>Figure 9  Scatter plots of live Lorey height against p90 by strata.</w:t>
        </w:r>
        <w:r w:rsidR="00A5713E">
          <w:rPr>
            <w:noProof/>
            <w:webHidden/>
          </w:rPr>
          <w:tab/>
        </w:r>
        <w:r w:rsidR="00A5713E">
          <w:rPr>
            <w:noProof/>
            <w:webHidden/>
          </w:rPr>
          <w:fldChar w:fldCharType="begin"/>
        </w:r>
        <w:r w:rsidR="00A5713E">
          <w:rPr>
            <w:noProof/>
            <w:webHidden/>
          </w:rPr>
          <w:instrText xml:space="preserve"> PAGEREF _Toc449515883 \h </w:instrText>
        </w:r>
        <w:r w:rsidR="00A5713E">
          <w:rPr>
            <w:noProof/>
            <w:webHidden/>
          </w:rPr>
        </w:r>
        <w:r w:rsidR="00A5713E">
          <w:rPr>
            <w:noProof/>
            <w:webHidden/>
          </w:rPr>
          <w:fldChar w:fldCharType="separate"/>
        </w:r>
        <w:r w:rsidR="00593644">
          <w:rPr>
            <w:noProof/>
            <w:webHidden/>
          </w:rPr>
          <w:t>17</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84" w:history="1">
        <w:r w:rsidR="00A5713E" w:rsidRPr="008F618D">
          <w:rPr>
            <w:rStyle w:val="Hyperlink"/>
            <w:noProof/>
          </w:rPr>
          <w:t>Figure 10  Scatter plots of whole stem volume (at the 4cm utilization level) against p90 by strata</w:t>
        </w:r>
        <w:r w:rsidR="00A5713E">
          <w:rPr>
            <w:noProof/>
            <w:webHidden/>
          </w:rPr>
          <w:tab/>
        </w:r>
        <w:r w:rsidR="00A5713E">
          <w:rPr>
            <w:noProof/>
            <w:webHidden/>
          </w:rPr>
          <w:fldChar w:fldCharType="begin"/>
        </w:r>
        <w:r w:rsidR="00A5713E">
          <w:rPr>
            <w:noProof/>
            <w:webHidden/>
          </w:rPr>
          <w:instrText xml:space="preserve"> PAGEREF _Toc449515884 \h </w:instrText>
        </w:r>
        <w:r w:rsidR="00A5713E">
          <w:rPr>
            <w:noProof/>
            <w:webHidden/>
          </w:rPr>
        </w:r>
        <w:r w:rsidR="00A5713E">
          <w:rPr>
            <w:noProof/>
            <w:webHidden/>
          </w:rPr>
          <w:fldChar w:fldCharType="separate"/>
        </w:r>
        <w:r w:rsidR="00593644">
          <w:rPr>
            <w:noProof/>
            <w:webHidden/>
          </w:rPr>
          <w:t>18</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85" w:history="1">
        <w:r w:rsidR="00A5713E" w:rsidRPr="008F618D">
          <w:rPr>
            <w:rStyle w:val="Hyperlink"/>
            <w:noProof/>
          </w:rPr>
          <w:t>Figure 11  The live whole stem volumes against p90 without stratification</w:t>
        </w:r>
        <w:r w:rsidR="00A5713E">
          <w:rPr>
            <w:noProof/>
            <w:webHidden/>
          </w:rPr>
          <w:tab/>
        </w:r>
        <w:r w:rsidR="00A5713E">
          <w:rPr>
            <w:noProof/>
            <w:webHidden/>
          </w:rPr>
          <w:fldChar w:fldCharType="begin"/>
        </w:r>
        <w:r w:rsidR="00A5713E">
          <w:rPr>
            <w:noProof/>
            <w:webHidden/>
          </w:rPr>
          <w:instrText xml:space="preserve"> PAGEREF _Toc449515885 \h </w:instrText>
        </w:r>
        <w:r w:rsidR="00A5713E">
          <w:rPr>
            <w:noProof/>
            <w:webHidden/>
          </w:rPr>
        </w:r>
        <w:r w:rsidR="00A5713E">
          <w:rPr>
            <w:noProof/>
            <w:webHidden/>
          </w:rPr>
          <w:fldChar w:fldCharType="separate"/>
        </w:r>
        <w:r w:rsidR="00593644">
          <w:rPr>
            <w:noProof/>
            <w:webHidden/>
          </w:rPr>
          <w:t>18</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86" w:history="1">
        <w:r w:rsidR="00A5713E" w:rsidRPr="008F618D">
          <w:rPr>
            <w:rStyle w:val="Hyperlink"/>
            <w:noProof/>
          </w:rPr>
          <w:t>Figure 12  The same data as Figure 6 with the addition that the plots with more than 100 m3/ha of dead whole stem volume are circled.</w:t>
        </w:r>
        <w:r w:rsidR="00A5713E">
          <w:rPr>
            <w:noProof/>
            <w:webHidden/>
          </w:rPr>
          <w:tab/>
        </w:r>
        <w:r w:rsidR="00A5713E">
          <w:rPr>
            <w:noProof/>
            <w:webHidden/>
          </w:rPr>
          <w:fldChar w:fldCharType="begin"/>
        </w:r>
        <w:r w:rsidR="00A5713E">
          <w:rPr>
            <w:noProof/>
            <w:webHidden/>
          </w:rPr>
          <w:instrText xml:space="preserve"> PAGEREF _Toc449515886 \h </w:instrText>
        </w:r>
        <w:r w:rsidR="00A5713E">
          <w:rPr>
            <w:noProof/>
            <w:webHidden/>
          </w:rPr>
        </w:r>
        <w:r w:rsidR="00A5713E">
          <w:rPr>
            <w:noProof/>
            <w:webHidden/>
          </w:rPr>
          <w:fldChar w:fldCharType="separate"/>
        </w:r>
        <w:r w:rsidR="00593644">
          <w:rPr>
            <w:noProof/>
            <w:webHidden/>
          </w:rPr>
          <w:t>19</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87" w:history="1">
        <w:r w:rsidR="00A5713E" w:rsidRPr="008F618D">
          <w:rPr>
            <w:rStyle w:val="Hyperlink"/>
            <w:noProof/>
          </w:rPr>
          <w:t>Figure 13  The parametric predictions of Lorey height are plotted against the actual Lorey height by strata.  The SUR models were fit using all data (“Combined”) as well as by strata (“Strata”).  The 1:1 line is given.</w:t>
        </w:r>
        <w:r w:rsidR="00A5713E">
          <w:rPr>
            <w:noProof/>
            <w:webHidden/>
          </w:rPr>
          <w:tab/>
        </w:r>
        <w:r w:rsidR="00A5713E">
          <w:rPr>
            <w:noProof/>
            <w:webHidden/>
          </w:rPr>
          <w:fldChar w:fldCharType="begin"/>
        </w:r>
        <w:r w:rsidR="00A5713E">
          <w:rPr>
            <w:noProof/>
            <w:webHidden/>
          </w:rPr>
          <w:instrText xml:space="preserve"> PAGEREF _Toc449515887 \h </w:instrText>
        </w:r>
        <w:r w:rsidR="00A5713E">
          <w:rPr>
            <w:noProof/>
            <w:webHidden/>
          </w:rPr>
        </w:r>
        <w:r w:rsidR="00A5713E">
          <w:rPr>
            <w:noProof/>
            <w:webHidden/>
          </w:rPr>
          <w:fldChar w:fldCharType="separate"/>
        </w:r>
        <w:r w:rsidR="00593644">
          <w:rPr>
            <w:noProof/>
            <w:webHidden/>
          </w:rPr>
          <w:t>20</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88" w:history="1">
        <w:r w:rsidR="00A5713E" w:rsidRPr="008F618D">
          <w:rPr>
            <w:rStyle w:val="Hyperlink"/>
            <w:noProof/>
          </w:rPr>
          <w:t>Figure 14  The parametric predictions of basal area (m</w:t>
        </w:r>
        <w:r w:rsidR="00A5713E" w:rsidRPr="008F618D">
          <w:rPr>
            <w:rStyle w:val="Hyperlink"/>
            <w:noProof/>
            <w:vertAlign w:val="superscript"/>
          </w:rPr>
          <w:t>2</w:t>
        </w:r>
        <w:r w:rsidR="00A5713E" w:rsidRPr="008F618D">
          <w:rPr>
            <w:rStyle w:val="Hyperlink"/>
            <w:noProof/>
          </w:rPr>
          <w:t>/ha) are plotted against the actual basal area by strata.  The SUR models were fit using all data (“Combined”) as well as by strata (“Strata”).  The 1:1 line is given.</w:t>
        </w:r>
        <w:r w:rsidR="00A5713E">
          <w:rPr>
            <w:noProof/>
            <w:webHidden/>
          </w:rPr>
          <w:tab/>
        </w:r>
        <w:r w:rsidR="00A5713E">
          <w:rPr>
            <w:noProof/>
            <w:webHidden/>
          </w:rPr>
          <w:fldChar w:fldCharType="begin"/>
        </w:r>
        <w:r w:rsidR="00A5713E">
          <w:rPr>
            <w:noProof/>
            <w:webHidden/>
          </w:rPr>
          <w:instrText xml:space="preserve"> PAGEREF _Toc449515888 \h </w:instrText>
        </w:r>
        <w:r w:rsidR="00A5713E">
          <w:rPr>
            <w:noProof/>
            <w:webHidden/>
          </w:rPr>
        </w:r>
        <w:r w:rsidR="00A5713E">
          <w:rPr>
            <w:noProof/>
            <w:webHidden/>
          </w:rPr>
          <w:fldChar w:fldCharType="separate"/>
        </w:r>
        <w:r w:rsidR="00593644">
          <w:rPr>
            <w:noProof/>
            <w:webHidden/>
          </w:rPr>
          <w:t>21</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89" w:history="1">
        <w:r w:rsidR="00A5713E" w:rsidRPr="008F618D">
          <w:rPr>
            <w:rStyle w:val="Hyperlink"/>
            <w:noProof/>
          </w:rPr>
          <w:t>Figure 15  The parametric predictions of live whole stem volume (m3/ha) are plotted against the actual volume by strata.  The SUR models were fit using all data (“Combined”) as well as by strata (“Strata”).  The 1:1 line is given.</w:t>
        </w:r>
        <w:r w:rsidR="00A5713E">
          <w:rPr>
            <w:noProof/>
            <w:webHidden/>
          </w:rPr>
          <w:tab/>
        </w:r>
        <w:r w:rsidR="00A5713E">
          <w:rPr>
            <w:noProof/>
            <w:webHidden/>
          </w:rPr>
          <w:fldChar w:fldCharType="begin"/>
        </w:r>
        <w:r w:rsidR="00A5713E">
          <w:rPr>
            <w:noProof/>
            <w:webHidden/>
          </w:rPr>
          <w:instrText xml:space="preserve"> PAGEREF _Toc449515889 \h </w:instrText>
        </w:r>
        <w:r w:rsidR="00A5713E">
          <w:rPr>
            <w:noProof/>
            <w:webHidden/>
          </w:rPr>
        </w:r>
        <w:r w:rsidR="00A5713E">
          <w:rPr>
            <w:noProof/>
            <w:webHidden/>
          </w:rPr>
          <w:fldChar w:fldCharType="separate"/>
        </w:r>
        <w:r w:rsidR="00593644">
          <w:rPr>
            <w:noProof/>
            <w:webHidden/>
          </w:rPr>
          <w:t>22</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90" w:history="1">
        <w:r w:rsidR="00A5713E" w:rsidRPr="008F618D">
          <w:rPr>
            <w:rStyle w:val="Hyperlink"/>
            <w:noProof/>
          </w:rPr>
          <w:t>Figure 16  The Basal area predictions and residuals are given by strata.  The data are given in Table 8.  The standard error bars are given with the residuals.</w:t>
        </w:r>
        <w:r w:rsidR="00A5713E">
          <w:rPr>
            <w:noProof/>
            <w:webHidden/>
          </w:rPr>
          <w:tab/>
        </w:r>
        <w:r w:rsidR="00A5713E">
          <w:rPr>
            <w:noProof/>
            <w:webHidden/>
          </w:rPr>
          <w:fldChar w:fldCharType="begin"/>
        </w:r>
        <w:r w:rsidR="00A5713E">
          <w:rPr>
            <w:noProof/>
            <w:webHidden/>
          </w:rPr>
          <w:instrText xml:space="preserve"> PAGEREF _Toc449515890 \h </w:instrText>
        </w:r>
        <w:r w:rsidR="00A5713E">
          <w:rPr>
            <w:noProof/>
            <w:webHidden/>
          </w:rPr>
        </w:r>
        <w:r w:rsidR="00A5713E">
          <w:rPr>
            <w:noProof/>
            <w:webHidden/>
          </w:rPr>
          <w:fldChar w:fldCharType="separate"/>
        </w:r>
        <w:r w:rsidR="00593644">
          <w:rPr>
            <w:noProof/>
            <w:webHidden/>
          </w:rPr>
          <w:t>24</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91" w:history="1">
        <w:r w:rsidR="00A5713E" w:rsidRPr="008F618D">
          <w:rPr>
            <w:rStyle w:val="Hyperlink"/>
            <w:noProof/>
          </w:rPr>
          <w:t>Figure 17  The predictions (a) and residuals (b) are given for the basal area predictions.  The standard error is given for the residuals. The data are the validation data set and the sample sizes given in Table 8</w:t>
        </w:r>
        <w:r w:rsidR="00A5713E">
          <w:rPr>
            <w:noProof/>
            <w:webHidden/>
          </w:rPr>
          <w:tab/>
        </w:r>
        <w:r w:rsidR="00A5713E">
          <w:rPr>
            <w:noProof/>
            <w:webHidden/>
          </w:rPr>
          <w:fldChar w:fldCharType="begin"/>
        </w:r>
        <w:r w:rsidR="00A5713E">
          <w:rPr>
            <w:noProof/>
            <w:webHidden/>
          </w:rPr>
          <w:instrText xml:space="preserve"> PAGEREF _Toc449515891 \h </w:instrText>
        </w:r>
        <w:r w:rsidR="00A5713E">
          <w:rPr>
            <w:noProof/>
            <w:webHidden/>
          </w:rPr>
        </w:r>
        <w:r w:rsidR="00A5713E">
          <w:rPr>
            <w:noProof/>
            <w:webHidden/>
          </w:rPr>
          <w:fldChar w:fldCharType="separate"/>
        </w:r>
        <w:r w:rsidR="00593644">
          <w:rPr>
            <w:noProof/>
            <w:webHidden/>
          </w:rPr>
          <w:t>25</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92" w:history="1">
        <w:r w:rsidR="00A5713E" w:rsidRPr="008F618D">
          <w:rPr>
            <w:rStyle w:val="Hyperlink"/>
            <w:noProof/>
          </w:rPr>
          <w:t>Figure 18  The predictions (a) and residuals (b) are given for the live whole stem volume predictions.  The standard error is given for the residuals. The data are the validation data set and the sample sizes given in Table 8</w:t>
        </w:r>
        <w:r w:rsidR="00A5713E">
          <w:rPr>
            <w:noProof/>
            <w:webHidden/>
          </w:rPr>
          <w:tab/>
        </w:r>
        <w:r w:rsidR="00A5713E">
          <w:rPr>
            <w:noProof/>
            <w:webHidden/>
          </w:rPr>
          <w:fldChar w:fldCharType="begin"/>
        </w:r>
        <w:r w:rsidR="00A5713E">
          <w:rPr>
            <w:noProof/>
            <w:webHidden/>
          </w:rPr>
          <w:instrText xml:space="preserve"> PAGEREF _Toc449515892 \h </w:instrText>
        </w:r>
        <w:r w:rsidR="00A5713E">
          <w:rPr>
            <w:noProof/>
            <w:webHidden/>
          </w:rPr>
        </w:r>
        <w:r w:rsidR="00A5713E">
          <w:rPr>
            <w:noProof/>
            <w:webHidden/>
          </w:rPr>
          <w:fldChar w:fldCharType="separate"/>
        </w:r>
        <w:r w:rsidR="00593644">
          <w:rPr>
            <w:noProof/>
            <w:webHidden/>
          </w:rPr>
          <w:t>26</w:t>
        </w:r>
        <w:r w:rsidR="00A5713E">
          <w:rPr>
            <w:noProof/>
            <w:webHidden/>
          </w:rPr>
          <w:fldChar w:fldCharType="end"/>
        </w:r>
      </w:hyperlink>
    </w:p>
    <w:p w:rsidR="00A5713E" w:rsidRDefault="008E0E5D" w:rsidP="00593644">
      <w:pPr>
        <w:pStyle w:val="TableofFigures"/>
        <w:tabs>
          <w:tab w:val="right" w:leader="dot" w:pos="8630"/>
        </w:tabs>
        <w:ind w:left="709" w:hanging="709"/>
        <w:rPr>
          <w:rFonts w:asciiTheme="minorHAnsi" w:eastAsiaTheme="minorEastAsia" w:hAnsiTheme="minorHAnsi" w:cstheme="minorBidi"/>
          <w:noProof/>
          <w:sz w:val="22"/>
          <w:szCs w:val="22"/>
          <w:lang w:val="en-CA" w:eastAsia="en-CA"/>
        </w:rPr>
      </w:pPr>
      <w:hyperlink w:anchor="_Toc449515893" w:history="1">
        <w:r w:rsidR="00A5713E" w:rsidRPr="008F618D">
          <w:rPr>
            <w:rStyle w:val="Hyperlink"/>
            <w:noProof/>
          </w:rPr>
          <w:t>Figure 19  The parametric predictions (100% = 100% of the data used for calibration, 70% = 70% of the data used for calibration, 50% = 50% of the data used for calibration) and nonparametric predictions (RF) are given for the validation data (30%).</w:t>
        </w:r>
        <w:r w:rsidR="00A5713E">
          <w:rPr>
            <w:noProof/>
            <w:webHidden/>
          </w:rPr>
          <w:tab/>
        </w:r>
        <w:r w:rsidR="00A5713E">
          <w:rPr>
            <w:noProof/>
            <w:webHidden/>
          </w:rPr>
          <w:fldChar w:fldCharType="begin"/>
        </w:r>
        <w:r w:rsidR="00A5713E">
          <w:rPr>
            <w:noProof/>
            <w:webHidden/>
          </w:rPr>
          <w:instrText xml:space="preserve"> PAGEREF _Toc449515893 \h </w:instrText>
        </w:r>
        <w:r w:rsidR="00A5713E">
          <w:rPr>
            <w:noProof/>
            <w:webHidden/>
          </w:rPr>
        </w:r>
        <w:r w:rsidR="00A5713E">
          <w:rPr>
            <w:noProof/>
            <w:webHidden/>
          </w:rPr>
          <w:fldChar w:fldCharType="separate"/>
        </w:r>
        <w:r w:rsidR="00593644">
          <w:rPr>
            <w:noProof/>
            <w:webHidden/>
          </w:rPr>
          <w:t>27</w:t>
        </w:r>
        <w:r w:rsidR="00A5713E">
          <w:rPr>
            <w:noProof/>
            <w:webHidden/>
          </w:rPr>
          <w:fldChar w:fldCharType="end"/>
        </w:r>
      </w:hyperlink>
    </w:p>
    <w:p w:rsidR="00902C3A" w:rsidRDefault="00902C3A" w:rsidP="00593644">
      <w:pPr>
        <w:spacing w:before="0"/>
        <w:ind w:left="709" w:hanging="709"/>
        <w:rPr>
          <w:b/>
          <w:kern w:val="28"/>
          <w:sz w:val="24"/>
        </w:rPr>
      </w:pPr>
      <w:r>
        <w:fldChar w:fldCharType="end"/>
      </w:r>
      <w:r>
        <w:br w:type="page"/>
      </w:r>
    </w:p>
    <w:p w:rsidR="00AC54AE" w:rsidRDefault="00CF4854">
      <w:pPr>
        <w:pStyle w:val="Heading1"/>
      </w:pPr>
      <w:bookmarkStart w:id="1" w:name="_Toc449596346"/>
      <w:r>
        <w:lastRenderedPageBreak/>
        <w:t>Background</w:t>
      </w:r>
      <w:bookmarkEnd w:id="1"/>
    </w:p>
    <w:p w:rsidR="0055478B" w:rsidRDefault="0055478B" w:rsidP="0055478B">
      <w:r>
        <w:t xml:space="preserve">The Forest Analysis and Inventory Branch (FAIB), BC Ministry of Forests, Lands and Natural Resource Operations (FLNRO), in partnership with BC Timber Sales (BCTS, in Okanagan and Kamloops) and Tolko Industries Ltd.(Tolko), is currently in the process of  developing a LiDAR Enhanced Forest Inventory (LEFI) for several spatially disjunctive timberlands </w:t>
      </w:r>
      <w:r w:rsidR="006F766F">
        <w:t xml:space="preserve">of total 367,000 ha </w:t>
      </w:r>
      <w:r>
        <w:t>located within the Kamloops, Okanagan, Merritt and Cariboo Timber Supply Areas</w:t>
      </w:r>
      <w:r w:rsidR="006F766F">
        <w:t xml:space="preserve"> (TSA) as shown in </w:t>
      </w:r>
      <w:r w:rsidR="00643639">
        <w:fldChar w:fldCharType="begin"/>
      </w:r>
      <w:r w:rsidR="00643639">
        <w:instrText xml:space="preserve"> REF _Ref449438393 \h </w:instrText>
      </w:r>
      <w:r w:rsidR="00643639">
        <w:fldChar w:fldCharType="separate"/>
      </w:r>
      <w:r w:rsidR="00643639">
        <w:t xml:space="preserve">Figure </w:t>
      </w:r>
      <w:r w:rsidR="00643639">
        <w:rPr>
          <w:noProof/>
        </w:rPr>
        <w:t>1</w:t>
      </w:r>
      <w:r w:rsidR="00643639">
        <w:fldChar w:fldCharType="end"/>
      </w:r>
      <w:r w:rsidR="00A34D0D">
        <w:t xml:space="preserve"> </w:t>
      </w:r>
      <w:r>
        <w:t xml:space="preserve">(areas 1-4). </w:t>
      </w:r>
    </w:p>
    <w:p w:rsidR="007667B4" w:rsidRPr="007667B4" w:rsidRDefault="0055478B" w:rsidP="007667B4">
      <w:pPr>
        <w:rPr>
          <w:lang w:val="en-CA"/>
        </w:rPr>
      </w:pPr>
      <w:r w:rsidRPr="007667B4">
        <w:rPr>
          <w:lang w:val="en-CA"/>
        </w:rPr>
        <w:t>The overall purpose of this project is to establish an operational LEFI model with a set of standards/specifications for future operational Lidar inventory projects.</w:t>
      </w:r>
      <w:r>
        <w:rPr>
          <w:lang w:val="en-CA"/>
        </w:rPr>
        <w:t xml:space="preserve"> Specific objectives are:</w:t>
      </w:r>
    </w:p>
    <w:p w:rsidR="007667B4" w:rsidRPr="007667B4" w:rsidRDefault="007667B4" w:rsidP="008E63C7">
      <w:pPr>
        <w:numPr>
          <w:ilvl w:val="0"/>
          <w:numId w:val="12"/>
        </w:numPr>
        <w:rPr>
          <w:lang w:val="en-CA"/>
        </w:rPr>
      </w:pPr>
      <w:r w:rsidRPr="007667B4">
        <w:rPr>
          <w:lang w:val="en-CA"/>
        </w:rPr>
        <w:t>To design, test, and complete an operational LEFI;</w:t>
      </w:r>
    </w:p>
    <w:p w:rsidR="007667B4" w:rsidRPr="007667B4" w:rsidRDefault="007667B4" w:rsidP="008E63C7">
      <w:pPr>
        <w:numPr>
          <w:ilvl w:val="0"/>
          <w:numId w:val="12"/>
        </w:numPr>
        <w:rPr>
          <w:lang w:val="en-CA"/>
        </w:rPr>
      </w:pPr>
      <w:r w:rsidRPr="007667B4">
        <w:rPr>
          <w:lang w:val="en-CA"/>
        </w:rPr>
        <w:t>To develop the standards, specifications, and processes for future operational LEFI;</w:t>
      </w:r>
    </w:p>
    <w:p w:rsidR="007667B4" w:rsidRPr="007667B4" w:rsidRDefault="007667B4" w:rsidP="008E63C7">
      <w:pPr>
        <w:numPr>
          <w:ilvl w:val="0"/>
          <w:numId w:val="12"/>
        </w:numPr>
        <w:rPr>
          <w:lang w:val="en-CA"/>
        </w:rPr>
      </w:pPr>
      <w:r w:rsidRPr="007667B4">
        <w:rPr>
          <w:lang w:val="en-CA"/>
        </w:rPr>
        <w:t>To implement/integrate LEFI in the provincial inventory program; and</w:t>
      </w:r>
    </w:p>
    <w:p w:rsidR="007667B4" w:rsidRPr="007667B4" w:rsidRDefault="007667B4" w:rsidP="008E63C7">
      <w:pPr>
        <w:numPr>
          <w:ilvl w:val="0"/>
          <w:numId w:val="12"/>
        </w:numPr>
        <w:rPr>
          <w:lang w:val="en-CA"/>
        </w:rPr>
      </w:pPr>
      <w:r w:rsidRPr="007667B4">
        <w:rPr>
          <w:lang w:val="en-CA"/>
        </w:rPr>
        <w:t>To investigate various ways of using LiDAR for improving VRI, in addition to a complete LEFI.</w:t>
      </w:r>
    </w:p>
    <w:p w:rsidR="007667B4" w:rsidRPr="007667B4" w:rsidRDefault="007667B4" w:rsidP="007667B4">
      <w:pPr>
        <w:rPr>
          <w:lang w:val="en-CA"/>
        </w:rPr>
      </w:pPr>
      <w:r w:rsidRPr="007667B4">
        <w:rPr>
          <w:lang w:val="en-CA"/>
        </w:rPr>
        <w:t>I</w:t>
      </w:r>
      <w:r w:rsidR="0055478B">
        <w:rPr>
          <w:lang w:val="en-CA"/>
        </w:rPr>
        <w:t>t is scheduled that objectives (a) and (b)</w:t>
      </w:r>
      <w:r w:rsidRPr="007667B4">
        <w:rPr>
          <w:lang w:val="en-CA"/>
        </w:rPr>
        <w:t xml:space="preserve"> will be achieved in the 2</w:t>
      </w:r>
      <w:r w:rsidR="0055478B">
        <w:rPr>
          <w:lang w:val="en-CA"/>
        </w:rPr>
        <w:t>015/2016 fiscal and objectives (c) and (d)</w:t>
      </w:r>
      <w:r w:rsidRPr="007667B4">
        <w:rPr>
          <w:lang w:val="en-CA"/>
        </w:rPr>
        <w:t xml:space="preserve"> will be achieved in the 2016/2017 fiscal.</w:t>
      </w:r>
    </w:p>
    <w:p w:rsidR="00A81F2D" w:rsidRDefault="007667B4">
      <w:pPr>
        <w:pStyle w:val="Heading1"/>
      </w:pPr>
      <w:bookmarkStart w:id="2" w:name="_Toc449596347"/>
      <w:r>
        <w:t>Project Area</w:t>
      </w:r>
      <w:bookmarkEnd w:id="2"/>
    </w:p>
    <w:p w:rsidR="0087154A" w:rsidRDefault="007667B4" w:rsidP="0087154A">
      <w:pPr>
        <w:pStyle w:val="Heading2"/>
      </w:pPr>
      <w:bookmarkStart w:id="3" w:name="_Toc449596348"/>
      <w:r>
        <w:t>Location</w:t>
      </w:r>
      <w:bookmarkEnd w:id="3"/>
    </w:p>
    <w:p w:rsidR="000619FD" w:rsidRDefault="007667B4" w:rsidP="00234CCD">
      <w:r w:rsidRPr="007667B4">
        <w:t>It was decided that FAIB will conduct an operational LiDAR enhanced forest inventory (LEFI) for area 1 and area 2 (approximately 317,000 ha in Kamloops and Okanagan TSA’s) in 2015-2016 (for objectives 1 and 3).  Areas 3 and 4 (about 50,000 ha), will be used to test methods and procedures for upgrading stand heights only using</w:t>
      </w:r>
      <w:r w:rsidR="006F766F">
        <w:t xml:space="preserve"> the LiDAR canopy height model, </w:t>
      </w:r>
      <w:r w:rsidRPr="007667B4">
        <w:t>which will be de</w:t>
      </w:r>
      <w:r w:rsidR="006F766F">
        <w:t>alt with in a separate document</w:t>
      </w:r>
      <w:r w:rsidRPr="007667B4">
        <w:t>.</w:t>
      </w:r>
      <w:r w:rsidR="00456A66">
        <w:t xml:space="preserve"> </w:t>
      </w:r>
    </w:p>
    <w:p w:rsidR="00CD45C9" w:rsidRDefault="00CF4854" w:rsidP="0087154A">
      <w:pPr>
        <w:rPr>
          <w:noProof/>
        </w:rPr>
      </w:pPr>
      <w:r>
        <w:rPr>
          <w:noProof/>
          <w:lang w:val="en-CA" w:eastAsia="zh-CN"/>
        </w:rPr>
        <w:drawing>
          <wp:inline distT="0" distB="0" distL="0" distR="0" wp14:anchorId="11C57EAC" wp14:editId="60993432">
            <wp:extent cx="2506980" cy="2108029"/>
            <wp:effectExtent l="19050" t="19050" r="26670" b="260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530641" cy="2127924"/>
                    </a:xfrm>
                    <a:prstGeom prst="rect">
                      <a:avLst/>
                    </a:prstGeom>
                    <a:noFill/>
                    <a:ln w="9525">
                      <a:solidFill>
                        <a:sysClr val="windowText" lastClr="000000"/>
                      </a:solidFill>
                      <a:miter lim="800000"/>
                      <a:headEnd/>
                      <a:tailEnd/>
                    </a:ln>
                  </pic:spPr>
                </pic:pic>
              </a:graphicData>
            </a:graphic>
          </wp:inline>
        </w:drawing>
      </w:r>
      <w:r w:rsidR="00D67BE6">
        <w:rPr>
          <w:noProof/>
          <w:lang w:val="en-CA" w:eastAsia="zh-CN"/>
        </w:rPr>
        <w:drawing>
          <wp:inline distT="0" distB="0" distL="0" distR="0" wp14:anchorId="70744657" wp14:editId="37BB7230">
            <wp:extent cx="2933700" cy="226682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_area.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33682" cy="2266811"/>
                    </a:xfrm>
                    <a:prstGeom prst="rect">
                      <a:avLst/>
                    </a:prstGeom>
                  </pic:spPr>
                </pic:pic>
              </a:graphicData>
            </a:graphic>
          </wp:inline>
        </w:drawing>
      </w:r>
      <w:r w:rsidR="00643639">
        <w:rPr>
          <w:noProof/>
        </w:rPr>
        <w:br/>
      </w:r>
    </w:p>
    <w:p w:rsidR="000619FD" w:rsidRDefault="00643639" w:rsidP="00643639">
      <w:pPr>
        <w:pStyle w:val="NormalWeb"/>
      </w:pPr>
      <w:bookmarkStart w:id="4" w:name="_Ref449438393"/>
      <w:bookmarkStart w:id="5" w:name="_Toc449515875"/>
      <w:r>
        <w:t xml:space="preserve">Figure </w:t>
      </w:r>
      <w:r>
        <w:fldChar w:fldCharType="begin"/>
      </w:r>
      <w:r>
        <w:instrText xml:space="preserve"> SEQ Figure \* ARABIC </w:instrText>
      </w:r>
      <w:r>
        <w:fldChar w:fldCharType="separate"/>
      </w:r>
      <w:r w:rsidR="00173AD0">
        <w:rPr>
          <w:noProof/>
        </w:rPr>
        <w:t>1</w:t>
      </w:r>
      <w:r>
        <w:fldChar w:fldCharType="end"/>
      </w:r>
      <w:bookmarkStart w:id="6" w:name="_Ref449436997"/>
      <w:bookmarkEnd w:id="4"/>
      <w:r w:rsidRPr="00643639">
        <w:t xml:space="preserve"> </w:t>
      </w:r>
      <w:r w:rsidR="00D101D2">
        <w:t>The LiDAR</w:t>
      </w:r>
      <w:r>
        <w:t xml:space="preserve"> area is shown on the </w:t>
      </w:r>
      <w:proofErr w:type="gramStart"/>
      <w:r>
        <w:t>left,</w:t>
      </w:r>
      <w:proofErr w:type="gramEnd"/>
      <w:r>
        <w:t xml:space="preserve"> and the project area (areas 1 and 2) is shown on the right (also shown the ground plot locations).</w:t>
      </w:r>
      <w:bookmarkEnd w:id="5"/>
      <w:bookmarkEnd w:id="6"/>
    </w:p>
    <w:p w:rsidR="00C93D24" w:rsidRDefault="006E58E5" w:rsidP="004E2A23">
      <w:pPr>
        <w:pStyle w:val="Heading2"/>
      </w:pPr>
      <w:bookmarkStart w:id="7" w:name="_Toc449596349"/>
      <w:r>
        <w:t>LiDAR Data Acquisition</w:t>
      </w:r>
      <w:bookmarkEnd w:id="7"/>
    </w:p>
    <w:p w:rsidR="006E58E5" w:rsidRPr="006E58E5" w:rsidRDefault="006E58E5" w:rsidP="006E58E5">
      <w:pPr>
        <w:autoSpaceDE w:val="0"/>
        <w:autoSpaceDN w:val="0"/>
        <w:adjustRightInd w:val="0"/>
        <w:spacing w:before="0"/>
        <w:rPr>
          <w:rFonts w:cs="Calibri"/>
          <w:color w:val="000000"/>
          <w:sz w:val="22"/>
          <w:szCs w:val="22"/>
          <w:lang w:val="en-CA" w:eastAsia="zh-CN"/>
        </w:rPr>
      </w:pPr>
      <w:r w:rsidRPr="006E58E5">
        <w:rPr>
          <w:rFonts w:cs="Calibri"/>
          <w:color w:val="000000"/>
          <w:sz w:val="22"/>
          <w:szCs w:val="22"/>
          <w:lang w:val="en-CA" w:eastAsia="zh-CN"/>
        </w:rPr>
        <w:t xml:space="preserve">The LiDAR data was </w:t>
      </w:r>
      <w:r>
        <w:rPr>
          <w:rFonts w:cs="Calibri"/>
          <w:color w:val="000000"/>
          <w:sz w:val="22"/>
          <w:szCs w:val="22"/>
          <w:lang w:val="en-CA" w:eastAsia="zh-CN"/>
        </w:rPr>
        <w:t xml:space="preserve">acquired </w:t>
      </w:r>
      <w:r w:rsidR="00DB0450">
        <w:rPr>
          <w:rFonts w:cs="Calibri"/>
          <w:color w:val="000000"/>
          <w:sz w:val="22"/>
          <w:szCs w:val="22"/>
          <w:lang w:val="en-CA" w:eastAsia="zh-CN"/>
        </w:rPr>
        <w:t xml:space="preserve">by Airborne Imaging Inc. </w:t>
      </w:r>
      <w:r w:rsidRPr="006E58E5">
        <w:rPr>
          <w:rFonts w:cs="Calibri"/>
          <w:color w:val="000000"/>
          <w:sz w:val="22"/>
          <w:szCs w:val="22"/>
          <w:lang w:val="en-CA" w:eastAsia="zh-CN"/>
        </w:rPr>
        <w:t>in the summer of 2014 using fixed-wing aircraft and a Leica ALS70 (100 kHz pulse rate)</w:t>
      </w:r>
      <w:r>
        <w:rPr>
          <w:rFonts w:cs="Calibri"/>
          <w:color w:val="000000"/>
          <w:sz w:val="22"/>
          <w:szCs w:val="22"/>
          <w:lang w:val="en-CA" w:eastAsia="zh-CN"/>
        </w:rPr>
        <w:t xml:space="preserve"> under a contract administrated by </w:t>
      </w:r>
      <w:proofErr w:type="spellStart"/>
      <w:r>
        <w:rPr>
          <w:rFonts w:cs="Calibri"/>
          <w:color w:val="000000"/>
          <w:sz w:val="22"/>
          <w:szCs w:val="22"/>
          <w:lang w:val="en-CA" w:eastAsia="zh-CN"/>
        </w:rPr>
        <w:t>Forsite</w:t>
      </w:r>
      <w:proofErr w:type="spellEnd"/>
      <w:r w:rsidR="00EF2C2D">
        <w:rPr>
          <w:rFonts w:cs="Calibri"/>
          <w:color w:val="000000"/>
          <w:sz w:val="22"/>
          <w:szCs w:val="22"/>
          <w:lang w:val="en-CA" w:eastAsia="zh-CN"/>
        </w:rPr>
        <w:t xml:space="preserve"> Consultants Ltd</w:t>
      </w:r>
      <w:r w:rsidRPr="006E58E5">
        <w:rPr>
          <w:rFonts w:cs="Calibri"/>
          <w:color w:val="000000"/>
          <w:sz w:val="22"/>
          <w:szCs w:val="22"/>
          <w:lang w:val="en-CA" w:eastAsia="zh-CN"/>
        </w:rPr>
        <w:t xml:space="preserve">. The </w:t>
      </w:r>
      <w:r>
        <w:rPr>
          <w:rFonts w:cs="Calibri"/>
          <w:color w:val="000000"/>
          <w:sz w:val="22"/>
          <w:szCs w:val="22"/>
          <w:lang w:val="en-CA" w:eastAsia="zh-CN"/>
        </w:rPr>
        <w:t>average p</w:t>
      </w:r>
      <w:r w:rsidRPr="006E58E5">
        <w:rPr>
          <w:rFonts w:cs="Calibri"/>
          <w:color w:val="000000"/>
          <w:sz w:val="22"/>
          <w:szCs w:val="22"/>
          <w:lang w:val="en-CA" w:eastAsia="zh-CN"/>
        </w:rPr>
        <w:t xml:space="preserve">oint density </w:t>
      </w:r>
      <w:r w:rsidR="009B327F">
        <w:rPr>
          <w:rFonts w:cs="Calibri"/>
          <w:color w:val="000000"/>
          <w:sz w:val="22"/>
          <w:szCs w:val="22"/>
          <w:lang w:val="en-CA" w:eastAsia="zh-CN"/>
        </w:rPr>
        <w:t>wa</w:t>
      </w:r>
      <w:r>
        <w:rPr>
          <w:rFonts w:cs="Calibri"/>
          <w:color w:val="000000"/>
          <w:sz w:val="22"/>
          <w:szCs w:val="22"/>
          <w:lang w:val="en-CA" w:eastAsia="zh-CN"/>
        </w:rPr>
        <w:t xml:space="preserve">s about </w:t>
      </w:r>
      <w:r w:rsidRPr="006E58E5">
        <w:rPr>
          <w:rFonts w:cs="Calibri"/>
          <w:color w:val="000000"/>
          <w:sz w:val="22"/>
          <w:szCs w:val="22"/>
          <w:lang w:val="en-CA" w:eastAsia="zh-CN"/>
        </w:rPr>
        <w:t>2</w:t>
      </w:r>
      <w:r w:rsidR="00EF2C2D">
        <w:rPr>
          <w:rFonts w:cs="Calibri"/>
          <w:color w:val="000000"/>
          <w:sz w:val="22"/>
          <w:szCs w:val="22"/>
          <w:lang w:val="en-CA" w:eastAsia="zh-CN"/>
        </w:rPr>
        <w:t>-2.7</w:t>
      </w:r>
      <w:r w:rsidRPr="006E58E5">
        <w:rPr>
          <w:rFonts w:cs="Calibri"/>
          <w:color w:val="000000"/>
          <w:sz w:val="22"/>
          <w:szCs w:val="22"/>
          <w:lang w:val="en-CA" w:eastAsia="zh-CN"/>
        </w:rPr>
        <w:t xml:space="preserve"> points/m</w:t>
      </w:r>
      <w:r w:rsidRPr="006E58E5">
        <w:rPr>
          <w:rFonts w:cs="Calibri"/>
          <w:color w:val="000000"/>
          <w:sz w:val="14"/>
          <w:szCs w:val="14"/>
          <w:vertAlign w:val="superscript"/>
          <w:lang w:val="en-CA" w:eastAsia="zh-CN"/>
        </w:rPr>
        <w:t>2</w:t>
      </w:r>
      <w:r w:rsidR="00EF2C2D">
        <w:rPr>
          <w:rFonts w:cs="Calibri"/>
          <w:color w:val="000000"/>
          <w:sz w:val="22"/>
          <w:szCs w:val="22"/>
          <w:lang w:val="en-CA" w:eastAsia="zh-CN"/>
        </w:rPr>
        <w:t>.</w:t>
      </w:r>
      <w:r>
        <w:rPr>
          <w:rFonts w:cs="Calibri"/>
          <w:color w:val="000000"/>
          <w:sz w:val="22"/>
          <w:szCs w:val="22"/>
          <w:lang w:val="en-CA" w:eastAsia="zh-CN"/>
        </w:rPr>
        <w:t xml:space="preserve"> </w:t>
      </w:r>
      <w:r w:rsidR="00F24F39">
        <w:rPr>
          <w:rFonts w:cs="Calibri"/>
          <w:color w:val="000000"/>
          <w:sz w:val="22"/>
          <w:szCs w:val="22"/>
          <w:lang w:val="en-CA" w:eastAsia="zh-CN"/>
        </w:rPr>
        <w:t xml:space="preserve">The </w:t>
      </w:r>
      <w:r w:rsidRPr="006E58E5">
        <w:rPr>
          <w:rFonts w:cs="Calibri"/>
          <w:color w:val="000000"/>
          <w:sz w:val="22"/>
          <w:szCs w:val="22"/>
          <w:lang w:val="en-CA" w:eastAsia="zh-CN"/>
        </w:rPr>
        <w:t xml:space="preserve">original LiDAR point cloud files </w:t>
      </w:r>
      <w:r w:rsidR="00F24F39">
        <w:rPr>
          <w:rFonts w:cs="Calibri"/>
          <w:color w:val="000000"/>
          <w:sz w:val="22"/>
          <w:szCs w:val="22"/>
          <w:lang w:val="en-CA" w:eastAsia="zh-CN"/>
        </w:rPr>
        <w:t xml:space="preserve">classified according to the standard ASPRS v1.2 specifications, Albers projection, </w:t>
      </w:r>
      <w:r w:rsidRPr="006E58E5">
        <w:rPr>
          <w:rFonts w:cs="Calibri"/>
          <w:color w:val="000000"/>
          <w:sz w:val="22"/>
          <w:szCs w:val="22"/>
          <w:lang w:val="en-CA" w:eastAsia="zh-CN"/>
        </w:rPr>
        <w:t xml:space="preserve">and </w:t>
      </w:r>
      <w:r w:rsidRPr="006E58E5">
        <w:rPr>
          <w:rFonts w:cs="Calibri"/>
          <w:color w:val="000000"/>
          <w:sz w:val="22"/>
          <w:szCs w:val="22"/>
          <w:lang w:val="en-CA" w:eastAsia="zh-CN"/>
        </w:rPr>
        <w:lastRenderedPageBreak/>
        <w:t>tiled and named according to the BCGS 1:</w:t>
      </w:r>
      <w:r w:rsidR="00F24F39">
        <w:rPr>
          <w:rFonts w:cs="Calibri"/>
          <w:color w:val="000000"/>
          <w:sz w:val="22"/>
          <w:szCs w:val="22"/>
          <w:lang w:val="en-CA" w:eastAsia="zh-CN"/>
        </w:rPr>
        <w:t>2,500 grid system. A</w:t>
      </w:r>
      <w:r w:rsidRPr="006E58E5">
        <w:rPr>
          <w:rFonts w:cs="Calibri"/>
          <w:color w:val="000000"/>
          <w:sz w:val="22"/>
          <w:szCs w:val="22"/>
          <w:lang w:val="en-CA" w:eastAsia="zh-CN"/>
        </w:rPr>
        <w:t xml:space="preserve">dditional products generated by the acquisition vendor (gridded DEM, DSM, CHM files; hill-shade images; contours) were </w:t>
      </w:r>
      <w:r w:rsidR="00F24F39">
        <w:rPr>
          <w:rFonts w:cs="Calibri"/>
          <w:color w:val="000000"/>
          <w:sz w:val="22"/>
          <w:szCs w:val="22"/>
          <w:lang w:val="en-CA" w:eastAsia="zh-CN"/>
        </w:rPr>
        <w:t xml:space="preserve">also </w:t>
      </w:r>
      <w:r w:rsidRPr="006E58E5">
        <w:rPr>
          <w:rFonts w:cs="Calibri"/>
          <w:color w:val="000000"/>
          <w:sz w:val="22"/>
          <w:szCs w:val="22"/>
          <w:lang w:val="en-CA" w:eastAsia="zh-CN"/>
        </w:rPr>
        <w:t xml:space="preserve">provided along with the las files but </w:t>
      </w:r>
      <w:r w:rsidR="00F24F39">
        <w:rPr>
          <w:rFonts w:cs="Calibri"/>
          <w:color w:val="000000"/>
          <w:sz w:val="22"/>
          <w:szCs w:val="22"/>
          <w:lang w:val="en-CA" w:eastAsia="zh-CN"/>
        </w:rPr>
        <w:t>these files were only used for overview and checking purposes and were not used in the data analysis and modeling processes</w:t>
      </w:r>
      <w:r w:rsidRPr="006E58E5">
        <w:rPr>
          <w:rFonts w:cs="Calibri"/>
          <w:color w:val="000000"/>
          <w:sz w:val="22"/>
          <w:szCs w:val="22"/>
          <w:lang w:val="en-CA" w:eastAsia="zh-CN"/>
        </w:rPr>
        <w:t xml:space="preserve">. </w:t>
      </w:r>
      <w:r w:rsidR="00F24F39">
        <w:rPr>
          <w:rFonts w:cs="Calibri"/>
          <w:color w:val="000000"/>
          <w:sz w:val="22"/>
          <w:szCs w:val="22"/>
          <w:lang w:val="en-CA" w:eastAsia="zh-CN"/>
        </w:rPr>
        <w:t xml:space="preserve"> </w:t>
      </w:r>
    </w:p>
    <w:p w:rsidR="00E162BE" w:rsidRDefault="00E162BE" w:rsidP="00E162BE">
      <w:pPr>
        <w:pStyle w:val="Heading1"/>
      </w:pPr>
      <w:bookmarkStart w:id="8" w:name="_Toc449596350"/>
      <w:r>
        <w:t>Methodology</w:t>
      </w:r>
      <w:bookmarkEnd w:id="8"/>
    </w:p>
    <w:p w:rsidR="005A2D04" w:rsidRDefault="007667B4" w:rsidP="005A2D04">
      <w:pPr>
        <w:pStyle w:val="Heading2"/>
      </w:pPr>
      <w:bookmarkStart w:id="9" w:name="_Toc449596351"/>
      <w:r>
        <w:t>Pre-Inventory Analysis</w:t>
      </w:r>
      <w:r w:rsidR="00790689">
        <w:t xml:space="preserve"> and Stratification</w:t>
      </w:r>
      <w:bookmarkEnd w:id="9"/>
    </w:p>
    <w:p w:rsidR="007667B4" w:rsidRDefault="00790689" w:rsidP="007667B4">
      <w:r>
        <w:t>The 2014 Vegetation Resources Inventory (VRI) for the project area was first analyzed by</w:t>
      </w:r>
      <w:r w:rsidR="006E3579">
        <w:t xml:space="preserve"> the </w:t>
      </w:r>
      <w:proofErr w:type="spellStart"/>
      <w:r w:rsidR="006E3579">
        <w:t>Biogeoclimatic</w:t>
      </w:r>
      <w:proofErr w:type="spellEnd"/>
      <w:r w:rsidR="006E3579">
        <w:t xml:space="preserve"> Ecosystem Classification (</w:t>
      </w:r>
      <w:r>
        <w:t>BEC</w:t>
      </w:r>
      <w:r w:rsidR="006E3579">
        <w:t>)</w:t>
      </w:r>
      <w:r>
        <w:t xml:space="preserve"> zones, leading species and stand structure for the </w:t>
      </w:r>
      <w:r w:rsidR="001173F0">
        <w:t>initial</w:t>
      </w:r>
      <w:r>
        <w:t xml:space="preserve"> stratification purpose.  The newly acquired LiDAR canopy data was then added to the stratifications for ground sampling selection process.     </w:t>
      </w:r>
    </w:p>
    <w:p w:rsidR="00643639" w:rsidRDefault="007667B4" w:rsidP="007667B4">
      <w:r>
        <w:t xml:space="preserve">Based on the pre-inventory analysis, </w:t>
      </w:r>
      <w:r w:rsidR="00790689">
        <w:t>the project area</w:t>
      </w:r>
      <w:r>
        <w:t xml:space="preserve"> </w:t>
      </w:r>
      <w:r w:rsidR="00790689">
        <w:t>was</w:t>
      </w:r>
      <w:r>
        <w:t xml:space="preserve"> stratif</w:t>
      </w:r>
      <w:r w:rsidR="00C8000B">
        <w:t>ied into four strata</w:t>
      </w:r>
      <w:r w:rsidR="005B6779">
        <w:t xml:space="preserve"> with an initial target number of plots of 200 (about 50 in each stratum)</w:t>
      </w:r>
      <w:r w:rsidR="008E5E35">
        <w:t xml:space="preserve"> based on the limit of the project budget.</w:t>
      </w:r>
      <w:r w:rsidR="005B6779">
        <w:t xml:space="preserve"> </w:t>
      </w:r>
      <w:r w:rsidR="001173F0">
        <w:t xml:space="preserve">The target population </w:t>
      </w:r>
      <w:r w:rsidR="009B327F">
        <w:t>wa</w:t>
      </w:r>
      <w:r w:rsidR="001173F0">
        <w:t xml:space="preserve">s </w:t>
      </w:r>
      <w:r w:rsidR="00545986">
        <w:t xml:space="preserve">all treed </w:t>
      </w:r>
      <w:r w:rsidR="001173F0">
        <w:t>polygons</w:t>
      </w:r>
      <w:r w:rsidR="00545986">
        <w:t xml:space="preserve"> with age of 40 years or older in the project area.</w:t>
      </w:r>
    </w:p>
    <w:p w:rsidR="000619FD" w:rsidRDefault="000619FD" w:rsidP="000619FD">
      <w:pPr>
        <w:rPr>
          <w:lang w:val="en-CA"/>
        </w:rPr>
      </w:pPr>
    </w:p>
    <w:p w:rsidR="000619FD" w:rsidRDefault="007667B4" w:rsidP="000619FD">
      <w:pPr>
        <w:pStyle w:val="Heading2"/>
      </w:pPr>
      <w:bookmarkStart w:id="10" w:name="_Toc449596352"/>
      <w:r>
        <w:t>Sampling Design</w:t>
      </w:r>
      <w:bookmarkEnd w:id="10"/>
    </w:p>
    <w:p w:rsidR="003605EB" w:rsidRDefault="003605EB" w:rsidP="003605EB">
      <w:r>
        <w:t xml:space="preserve">The main goal of ground sampling </w:t>
      </w:r>
      <w:r w:rsidR="009B327F">
        <w:t xml:space="preserve">was to develop </w:t>
      </w:r>
      <w:r>
        <w:t xml:space="preserve">predictive models for stand height, basal area, crown closure and density.  Thus, the basic requirement </w:t>
      </w:r>
      <w:r w:rsidR="009B327F">
        <w:t>wa</w:t>
      </w:r>
      <w:r>
        <w:t xml:space="preserve">s to spread ground plots to cover entire ranges of variations of the above variables.  </w:t>
      </w:r>
    </w:p>
    <w:p w:rsidR="003605EB" w:rsidRDefault="003605EB" w:rsidP="003605EB">
      <w:r>
        <w:t xml:space="preserve">The 5km grid (created from the NFI 20km grid) </w:t>
      </w:r>
      <w:r w:rsidR="009B327F">
        <w:t>wa</w:t>
      </w:r>
      <w:r>
        <w:t xml:space="preserve">s overlaid and all the grid points intercepting VRI stands greater than 40 years old </w:t>
      </w:r>
      <w:r w:rsidR="009B327F">
        <w:t>we</w:t>
      </w:r>
      <w:r>
        <w:t>re selected.  This result</w:t>
      </w:r>
      <w:r w:rsidR="009B327F">
        <w:t>ed</w:t>
      </w:r>
      <w:r>
        <w:t xml:space="preserve"> in a total of 101 ground points, of which 7 </w:t>
      </w:r>
      <w:r w:rsidR="009B327F">
        <w:t>we</w:t>
      </w:r>
      <w:r>
        <w:t xml:space="preserve">re NFI ground plots. </w:t>
      </w:r>
    </w:p>
    <w:p w:rsidR="003605EB" w:rsidRDefault="003605EB" w:rsidP="003605EB">
      <w:r>
        <w:t xml:space="preserve">About 200 additional points </w:t>
      </w:r>
      <w:r w:rsidR="009B327F">
        <w:t>we</w:t>
      </w:r>
      <w:r>
        <w:t xml:space="preserve">re systematically selected from each of height classes (1-6) from the 1km grid.  </w:t>
      </w:r>
    </w:p>
    <w:p w:rsidR="003605EB" w:rsidRDefault="003605EB" w:rsidP="003605EB">
      <w:r>
        <w:t xml:space="preserve">The LiDAR canopy data </w:t>
      </w:r>
      <w:r w:rsidR="009B327F">
        <w:t>wa</w:t>
      </w:r>
      <w:r>
        <w:t xml:space="preserve">s analyzed for height distribution and plots </w:t>
      </w:r>
      <w:r w:rsidR="009B327F">
        <w:t xml:space="preserve">and </w:t>
      </w:r>
      <w:r>
        <w:t xml:space="preserve">some over sampled height classes </w:t>
      </w:r>
      <w:r w:rsidR="009B327F">
        <w:t>we</w:t>
      </w:r>
      <w:r>
        <w:t>re reduced, while the classes under sampled (particularly in lower and higher ends of height classes</w:t>
      </w:r>
      <w:proofErr w:type="gramStart"/>
      <w:r>
        <w:t xml:space="preserve">)  </w:t>
      </w:r>
      <w:r w:rsidR="009B327F">
        <w:t>we</w:t>
      </w:r>
      <w:r>
        <w:t>re</w:t>
      </w:r>
      <w:proofErr w:type="gramEnd"/>
      <w:r>
        <w:t xml:space="preserve"> increased.  </w:t>
      </w:r>
    </w:p>
    <w:p w:rsidR="003605EB" w:rsidRDefault="003605EB" w:rsidP="003605EB">
      <w:r>
        <w:t xml:space="preserve">The resulting plots </w:t>
      </w:r>
      <w:r w:rsidR="009B327F">
        <w:t>we</w:t>
      </w:r>
      <w:r>
        <w:t xml:space="preserve">re further checked against the </w:t>
      </w:r>
      <w:proofErr w:type="spellStart"/>
      <w:r>
        <w:t>orthophotography</w:t>
      </w:r>
      <w:proofErr w:type="spellEnd"/>
      <w:r>
        <w:t xml:space="preserve"> and recent Landsat.  All the plots that </w:t>
      </w:r>
      <w:r w:rsidR="009B327F">
        <w:t>we</w:t>
      </w:r>
      <w:r>
        <w:t xml:space="preserve">re logged or burned </w:t>
      </w:r>
      <w:r w:rsidR="009B327F">
        <w:t>we</w:t>
      </w:r>
      <w:r>
        <w:t xml:space="preserve">re removed.  Locations of some plots, except the NFI plots, </w:t>
      </w:r>
      <w:r w:rsidR="009B327F">
        <w:t>we</w:t>
      </w:r>
      <w:r>
        <w:t xml:space="preserve">re modified within selected polygons so that that access distance </w:t>
      </w:r>
      <w:r w:rsidR="009B327F">
        <w:t>wa</w:t>
      </w:r>
      <w:r>
        <w:t>s less than 2km from access roads.</w:t>
      </w:r>
    </w:p>
    <w:p w:rsidR="005B6779" w:rsidRDefault="008E5E35" w:rsidP="005B6779">
      <w:r>
        <w:t xml:space="preserve">The strata and final numbers of ground plots are summarized in </w:t>
      </w:r>
      <w:r>
        <w:fldChar w:fldCharType="begin"/>
      </w:r>
      <w:r>
        <w:instrText xml:space="preserve"> REF _Ref449437986 \h </w:instrText>
      </w:r>
      <w:r>
        <w:fldChar w:fldCharType="separate"/>
      </w:r>
      <w:r>
        <w:t xml:space="preserve">Table </w:t>
      </w:r>
      <w:r>
        <w:rPr>
          <w:noProof/>
        </w:rPr>
        <w:t>1</w:t>
      </w:r>
      <w:r>
        <w:fldChar w:fldCharType="end"/>
      </w:r>
      <w:r>
        <w:t>.</w:t>
      </w:r>
    </w:p>
    <w:p w:rsidR="008E5E35" w:rsidRDefault="00545986" w:rsidP="005B6779">
      <w:r>
        <w:t>Out of the 130</w:t>
      </w:r>
      <w:r w:rsidR="001173F0">
        <w:t xml:space="preserve"> plots</w:t>
      </w:r>
      <w:r>
        <w:t xml:space="preserve"> in strata 1 and 2, 49 were randomly selected as variable radius plots. In addition to the regular measurements on the ground, these plots were measured at the main plot center with one-point prism measurements for the purpose of establishing predictive models as comparison to the fixed area plots method.</w:t>
      </w:r>
    </w:p>
    <w:p w:rsidR="00545986" w:rsidRDefault="00545986" w:rsidP="005B6779"/>
    <w:p w:rsidR="005B6779" w:rsidRDefault="005B6779" w:rsidP="005B6779">
      <w:pPr>
        <w:pStyle w:val="NormalWeb"/>
        <w:keepNext/>
      </w:pPr>
      <w:bookmarkStart w:id="11" w:name="_Toc449515866"/>
      <w:r>
        <w:t xml:space="preserve">Table </w:t>
      </w:r>
      <w:r>
        <w:fldChar w:fldCharType="begin"/>
      </w:r>
      <w:r>
        <w:instrText xml:space="preserve"> SEQ Table \* ARABIC </w:instrText>
      </w:r>
      <w:r>
        <w:fldChar w:fldCharType="separate"/>
      </w:r>
      <w:r w:rsidR="00EA6AA2">
        <w:rPr>
          <w:noProof/>
        </w:rPr>
        <w:t>1</w:t>
      </w:r>
      <w:r>
        <w:fldChar w:fldCharType="end"/>
      </w:r>
      <w:r w:rsidRPr="00643639">
        <w:t xml:space="preserve"> Defined strata </w:t>
      </w:r>
      <w:r>
        <w:t>and initial target number of plots</w:t>
      </w:r>
      <w:bookmarkEnd w:id="11"/>
    </w:p>
    <w:tbl>
      <w:tblPr>
        <w:tblStyle w:val="TableGrid"/>
        <w:tblW w:w="0" w:type="auto"/>
        <w:jc w:val="center"/>
        <w:tblLook w:val="04A0" w:firstRow="1" w:lastRow="0" w:firstColumn="1" w:lastColumn="0" w:noHBand="0" w:noVBand="1"/>
      </w:tblPr>
      <w:tblGrid>
        <w:gridCol w:w="1070"/>
        <w:gridCol w:w="1590"/>
        <w:gridCol w:w="1656"/>
        <w:gridCol w:w="799"/>
        <w:gridCol w:w="1628"/>
        <w:gridCol w:w="1628"/>
      </w:tblGrid>
      <w:tr w:rsidR="008E5E35" w:rsidRPr="008125E4" w:rsidTr="00864BDC">
        <w:trPr>
          <w:jc w:val="center"/>
        </w:trPr>
        <w:tc>
          <w:tcPr>
            <w:tcW w:w="1070" w:type="dxa"/>
          </w:tcPr>
          <w:p w:rsidR="008E5E35" w:rsidRPr="008125E4" w:rsidRDefault="008E5E35" w:rsidP="00864BDC">
            <w:r w:rsidRPr="008125E4">
              <w:t xml:space="preserve">Stratum </w:t>
            </w:r>
          </w:p>
        </w:tc>
        <w:tc>
          <w:tcPr>
            <w:tcW w:w="1590" w:type="dxa"/>
          </w:tcPr>
          <w:p w:rsidR="008E5E35" w:rsidRPr="008125E4" w:rsidRDefault="008E5E35" w:rsidP="00864BDC">
            <w:r w:rsidRPr="008125E4">
              <w:t>BEC Zone</w:t>
            </w:r>
          </w:p>
        </w:tc>
        <w:tc>
          <w:tcPr>
            <w:tcW w:w="1656" w:type="dxa"/>
          </w:tcPr>
          <w:p w:rsidR="008E5E35" w:rsidRPr="008125E4" w:rsidRDefault="008E5E35" w:rsidP="00864BDC">
            <w:r w:rsidRPr="008125E4">
              <w:t>Leading Species</w:t>
            </w:r>
          </w:p>
        </w:tc>
        <w:tc>
          <w:tcPr>
            <w:tcW w:w="799" w:type="dxa"/>
          </w:tcPr>
          <w:p w:rsidR="008E5E35" w:rsidRPr="008125E4" w:rsidRDefault="008E5E35" w:rsidP="00864BDC">
            <w:r>
              <w:t>Area %</w:t>
            </w:r>
          </w:p>
        </w:tc>
        <w:tc>
          <w:tcPr>
            <w:tcW w:w="1628" w:type="dxa"/>
          </w:tcPr>
          <w:p w:rsidR="008E5E35" w:rsidRPr="008125E4" w:rsidRDefault="008E5E35" w:rsidP="00864BDC">
            <w:r w:rsidRPr="008125E4">
              <w:t>Target # Plots*</w:t>
            </w:r>
          </w:p>
        </w:tc>
        <w:tc>
          <w:tcPr>
            <w:tcW w:w="1628" w:type="dxa"/>
          </w:tcPr>
          <w:p w:rsidR="008E5E35" w:rsidRPr="008125E4" w:rsidRDefault="008E5E35" w:rsidP="00864BDC">
            <w:r>
              <w:t>Final # Plots</w:t>
            </w:r>
          </w:p>
        </w:tc>
      </w:tr>
      <w:tr w:rsidR="008E5E35" w:rsidRPr="008125E4" w:rsidTr="00864BDC">
        <w:trPr>
          <w:jc w:val="center"/>
        </w:trPr>
        <w:tc>
          <w:tcPr>
            <w:tcW w:w="1070" w:type="dxa"/>
          </w:tcPr>
          <w:p w:rsidR="008E5E35" w:rsidRPr="008125E4" w:rsidRDefault="008E5E35" w:rsidP="00864BDC">
            <w:pPr>
              <w:jc w:val="center"/>
            </w:pPr>
            <w:r w:rsidRPr="008125E4">
              <w:t>1</w:t>
            </w:r>
          </w:p>
        </w:tc>
        <w:tc>
          <w:tcPr>
            <w:tcW w:w="1590" w:type="dxa"/>
          </w:tcPr>
          <w:p w:rsidR="008E5E35" w:rsidRPr="008125E4" w:rsidRDefault="008E5E35" w:rsidP="00864BDC">
            <w:r w:rsidRPr="008125E4">
              <w:t>ICH and IDF</w:t>
            </w:r>
          </w:p>
        </w:tc>
        <w:tc>
          <w:tcPr>
            <w:tcW w:w="1656" w:type="dxa"/>
          </w:tcPr>
          <w:p w:rsidR="008E5E35" w:rsidRPr="008125E4" w:rsidRDefault="008E5E35" w:rsidP="00864BDC">
            <w:pPr>
              <w:jc w:val="right"/>
            </w:pPr>
            <w:r w:rsidRPr="008125E4">
              <w:t>FD</w:t>
            </w:r>
          </w:p>
        </w:tc>
        <w:tc>
          <w:tcPr>
            <w:tcW w:w="799" w:type="dxa"/>
          </w:tcPr>
          <w:p w:rsidR="008E5E35" w:rsidRPr="008125E4" w:rsidRDefault="008E5E35" w:rsidP="00864BDC">
            <w:pPr>
              <w:jc w:val="center"/>
            </w:pPr>
            <w:r>
              <w:t>29</w:t>
            </w:r>
          </w:p>
        </w:tc>
        <w:tc>
          <w:tcPr>
            <w:tcW w:w="1628" w:type="dxa"/>
          </w:tcPr>
          <w:p w:rsidR="008E5E35" w:rsidRPr="008125E4" w:rsidRDefault="008E5E35" w:rsidP="00864BDC">
            <w:pPr>
              <w:jc w:val="center"/>
            </w:pPr>
            <w:r w:rsidRPr="008125E4">
              <w:t>57</w:t>
            </w:r>
          </w:p>
        </w:tc>
        <w:tc>
          <w:tcPr>
            <w:tcW w:w="1628" w:type="dxa"/>
          </w:tcPr>
          <w:p w:rsidR="008E5E35" w:rsidRPr="008125E4" w:rsidRDefault="008E5E35" w:rsidP="00864BDC">
            <w:pPr>
              <w:jc w:val="center"/>
            </w:pPr>
            <w:r>
              <w:t>61</w:t>
            </w:r>
          </w:p>
        </w:tc>
      </w:tr>
      <w:tr w:rsidR="008E5E35" w:rsidRPr="008125E4" w:rsidTr="00864BDC">
        <w:trPr>
          <w:jc w:val="center"/>
        </w:trPr>
        <w:tc>
          <w:tcPr>
            <w:tcW w:w="1070" w:type="dxa"/>
          </w:tcPr>
          <w:p w:rsidR="008E5E35" w:rsidRPr="008125E4" w:rsidRDefault="008E5E35" w:rsidP="00864BDC">
            <w:pPr>
              <w:jc w:val="center"/>
            </w:pPr>
            <w:r w:rsidRPr="008125E4">
              <w:t>2</w:t>
            </w:r>
          </w:p>
        </w:tc>
        <w:tc>
          <w:tcPr>
            <w:tcW w:w="1590" w:type="dxa"/>
          </w:tcPr>
          <w:p w:rsidR="008E5E35" w:rsidRPr="008125E4" w:rsidRDefault="008E5E35" w:rsidP="00864BDC">
            <w:r w:rsidRPr="008125E4">
              <w:t>ICH and IDF</w:t>
            </w:r>
          </w:p>
        </w:tc>
        <w:tc>
          <w:tcPr>
            <w:tcW w:w="1656" w:type="dxa"/>
          </w:tcPr>
          <w:p w:rsidR="008E5E35" w:rsidRPr="008125E4" w:rsidRDefault="008E5E35" w:rsidP="00864BDC">
            <w:pPr>
              <w:jc w:val="right"/>
            </w:pPr>
            <w:r w:rsidRPr="008125E4">
              <w:t>Others</w:t>
            </w:r>
          </w:p>
        </w:tc>
        <w:tc>
          <w:tcPr>
            <w:tcW w:w="799" w:type="dxa"/>
          </w:tcPr>
          <w:p w:rsidR="008E5E35" w:rsidRPr="008125E4" w:rsidRDefault="008E5E35" w:rsidP="00864BDC">
            <w:pPr>
              <w:jc w:val="center"/>
            </w:pPr>
            <w:r>
              <w:t>27</w:t>
            </w:r>
          </w:p>
        </w:tc>
        <w:tc>
          <w:tcPr>
            <w:tcW w:w="1628" w:type="dxa"/>
          </w:tcPr>
          <w:p w:rsidR="008E5E35" w:rsidRPr="008125E4" w:rsidRDefault="008E5E35" w:rsidP="00864BDC">
            <w:pPr>
              <w:jc w:val="center"/>
            </w:pPr>
            <w:r w:rsidRPr="008125E4">
              <w:t>55</w:t>
            </w:r>
          </w:p>
        </w:tc>
        <w:tc>
          <w:tcPr>
            <w:tcW w:w="1628" w:type="dxa"/>
          </w:tcPr>
          <w:p w:rsidR="008E5E35" w:rsidRPr="008125E4" w:rsidRDefault="008E5E35" w:rsidP="00864BDC">
            <w:pPr>
              <w:jc w:val="center"/>
            </w:pPr>
            <w:r>
              <w:t>69</w:t>
            </w:r>
          </w:p>
        </w:tc>
      </w:tr>
      <w:tr w:rsidR="008E5E35" w:rsidRPr="008125E4" w:rsidTr="00864BDC">
        <w:trPr>
          <w:jc w:val="center"/>
        </w:trPr>
        <w:tc>
          <w:tcPr>
            <w:tcW w:w="1070" w:type="dxa"/>
          </w:tcPr>
          <w:p w:rsidR="008E5E35" w:rsidRPr="008125E4" w:rsidRDefault="008E5E35" w:rsidP="00864BDC">
            <w:pPr>
              <w:jc w:val="center"/>
            </w:pPr>
            <w:r w:rsidRPr="008125E4">
              <w:lastRenderedPageBreak/>
              <w:t>3</w:t>
            </w:r>
          </w:p>
        </w:tc>
        <w:tc>
          <w:tcPr>
            <w:tcW w:w="1590" w:type="dxa"/>
          </w:tcPr>
          <w:p w:rsidR="008E5E35" w:rsidRPr="008125E4" w:rsidRDefault="008E5E35" w:rsidP="00864BDC">
            <w:r w:rsidRPr="008125E4">
              <w:t>ESSF and MS</w:t>
            </w:r>
          </w:p>
        </w:tc>
        <w:tc>
          <w:tcPr>
            <w:tcW w:w="1656" w:type="dxa"/>
          </w:tcPr>
          <w:p w:rsidR="008E5E35" w:rsidRPr="008125E4" w:rsidRDefault="008E5E35" w:rsidP="00864BDC">
            <w:pPr>
              <w:jc w:val="right"/>
            </w:pPr>
            <w:r w:rsidRPr="008125E4">
              <w:t>BL</w:t>
            </w:r>
          </w:p>
        </w:tc>
        <w:tc>
          <w:tcPr>
            <w:tcW w:w="799" w:type="dxa"/>
          </w:tcPr>
          <w:p w:rsidR="008E5E35" w:rsidRPr="008125E4" w:rsidRDefault="008E5E35" w:rsidP="00864BDC">
            <w:pPr>
              <w:jc w:val="center"/>
            </w:pPr>
            <w:r>
              <w:t>21</w:t>
            </w:r>
          </w:p>
        </w:tc>
        <w:tc>
          <w:tcPr>
            <w:tcW w:w="1628" w:type="dxa"/>
          </w:tcPr>
          <w:p w:rsidR="008E5E35" w:rsidRPr="008125E4" w:rsidRDefault="008E5E35" w:rsidP="00864BDC">
            <w:pPr>
              <w:jc w:val="center"/>
            </w:pPr>
            <w:r w:rsidRPr="008125E4">
              <w:t>41</w:t>
            </w:r>
          </w:p>
        </w:tc>
        <w:tc>
          <w:tcPr>
            <w:tcW w:w="1628" w:type="dxa"/>
          </w:tcPr>
          <w:p w:rsidR="008E5E35" w:rsidRPr="008125E4" w:rsidRDefault="008E5E35" w:rsidP="00864BDC">
            <w:pPr>
              <w:jc w:val="center"/>
            </w:pPr>
            <w:r>
              <w:t>43</w:t>
            </w:r>
          </w:p>
        </w:tc>
      </w:tr>
      <w:tr w:rsidR="008E5E35" w:rsidRPr="008125E4" w:rsidTr="00864BDC">
        <w:trPr>
          <w:jc w:val="center"/>
        </w:trPr>
        <w:tc>
          <w:tcPr>
            <w:tcW w:w="1070" w:type="dxa"/>
          </w:tcPr>
          <w:p w:rsidR="008E5E35" w:rsidRPr="008125E4" w:rsidRDefault="008E5E35" w:rsidP="00864BDC">
            <w:pPr>
              <w:jc w:val="center"/>
            </w:pPr>
            <w:r w:rsidRPr="008125E4">
              <w:t>4</w:t>
            </w:r>
          </w:p>
        </w:tc>
        <w:tc>
          <w:tcPr>
            <w:tcW w:w="1590" w:type="dxa"/>
          </w:tcPr>
          <w:p w:rsidR="008E5E35" w:rsidRPr="008125E4" w:rsidRDefault="008E5E35" w:rsidP="00864BDC">
            <w:r w:rsidRPr="008125E4">
              <w:t>ESSF and MS</w:t>
            </w:r>
          </w:p>
        </w:tc>
        <w:tc>
          <w:tcPr>
            <w:tcW w:w="1656" w:type="dxa"/>
          </w:tcPr>
          <w:p w:rsidR="008E5E35" w:rsidRPr="008125E4" w:rsidRDefault="008E5E35" w:rsidP="00864BDC">
            <w:pPr>
              <w:jc w:val="right"/>
            </w:pPr>
            <w:r w:rsidRPr="008125E4">
              <w:t>Others</w:t>
            </w:r>
          </w:p>
        </w:tc>
        <w:tc>
          <w:tcPr>
            <w:tcW w:w="799" w:type="dxa"/>
          </w:tcPr>
          <w:p w:rsidR="008E5E35" w:rsidRPr="008125E4" w:rsidRDefault="008E5E35" w:rsidP="00864BDC">
            <w:pPr>
              <w:jc w:val="center"/>
            </w:pPr>
            <w:r>
              <w:t>23</w:t>
            </w:r>
          </w:p>
        </w:tc>
        <w:tc>
          <w:tcPr>
            <w:tcW w:w="1628" w:type="dxa"/>
          </w:tcPr>
          <w:p w:rsidR="008E5E35" w:rsidRPr="008125E4" w:rsidRDefault="008E5E35" w:rsidP="00864BDC">
            <w:pPr>
              <w:jc w:val="center"/>
            </w:pPr>
            <w:r w:rsidRPr="008125E4">
              <w:t>47</w:t>
            </w:r>
          </w:p>
        </w:tc>
        <w:tc>
          <w:tcPr>
            <w:tcW w:w="1628" w:type="dxa"/>
          </w:tcPr>
          <w:p w:rsidR="008E5E35" w:rsidRPr="008125E4" w:rsidRDefault="008E5E35" w:rsidP="00864BDC">
            <w:pPr>
              <w:jc w:val="center"/>
            </w:pPr>
            <w:r>
              <w:t>60</w:t>
            </w:r>
          </w:p>
        </w:tc>
      </w:tr>
      <w:tr w:rsidR="008E5E35" w:rsidRPr="008125E4" w:rsidTr="00864BDC">
        <w:trPr>
          <w:jc w:val="center"/>
        </w:trPr>
        <w:tc>
          <w:tcPr>
            <w:tcW w:w="4316" w:type="dxa"/>
            <w:gridSpan w:val="3"/>
          </w:tcPr>
          <w:p w:rsidR="008E5E35" w:rsidRPr="008125E4" w:rsidRDefault="008E5E35" w:rsidP="00864BDC">
            <w:pPr>
              <w:jc w:val="right"/>
            </w:pPr>
            <w:r>
              <w:t>Total</w:t>
            </w:r>
          </w:p>
        </w:tc>
        <w:tc>
          <w:tcPr>
            <w:tcW w:w="799" w:type="dxa"/>
          </w:tcPr>
          <w:p w:rsidR="008E5E35" w:rsidRDefault="008E5E35" w:rsidP="00864BDC">
            <w:pPr>
              <w:jc w:val="center"/>
            </w:pPr>
            <w:r>
              <w:t>100</w:t>
            </w:r>
          </w:p>
        </w:tc>
        <w:tc>
          <w:tcPr>
            <w:tcW w:w="1628" w:type="dxa"/>
          </w:tcPr>
          <w:p w:rsidR="008E5E35" w:rsidRPr="008125E4" w:rsidRDefault="008E5E35" w:rsidP="00864BDC">
            <w:pPr>
              <w:jc w:val="center"/>
            </w:pPr>
            <w:r>
              <w:t>200</w:t>
            </w:r>
          </w:p>
        </w:tc>
        <w:tc>
          <w:tcPr>
            <w:tcW w:w="1628" w:type="dxa"/>
          </w:tcPr>
          <w:p w:rsidR="008E5E35" w:rsidRDefault="008E5E35" w:rsidP="00864BDC">
            <w:pPr>
              <w:jc w:val="center"/>
            </w:pPr>
            <w:r>
              <w:t>233</w:t>
            </w:r>
          </w:p>
        </w:tc>
      </w:tr>
    </w:tbl>
    <w:p w:rsidR="005B6779" w:rsidRPr="00C2481C" w:rsidRDefault="005B6779" w:rsidP="005B6779">
      <w:r>
        <w:t>*</w:t>
      </w:r>
      <w:r w:rsidRPr="008125E4">
        <w:rPr>
          <w:sz w:val="18"/>
          <w:szCs w:val="18"/>
        </w:rPr>
        <w:t xml:space="preserve">A total of 200 </w:t>
      </w:r>
      <w:r>
        <w:rPr>
          <w:sz w:val="18"/>
          <w:szCs w:val="18"/>
        </w:rPr>
        <w:t xml:space="preserve">initial </w:t>
      </w:r>
      <w:r w:rsidRPr="008125E4">
        <w:rPr>
          <w:sz w:val="18"/>
          <w:szCs w:val="18"/>
        </w:rPr>
        <w:t>ground plots are planned</w:t>
      </w:r>
      <w:r>
        <w:rPr>
          <w:sz w:val="18"/>
          <w:szCs w:val="18"/>
        </w:rPr>
        <w:t xml:space="preserve"> and target numbers of plots are based on area proportions</w:t>
      </w:r>
      <w:r>
        <w:t>.</w:t>
      </w:r>
    </w:p>
    <w:p w:rsidR="005B6779" w:rsidRDefault="005B6779" w:rsidP="005B6779">
      <w:pPr>
        <w:rPr>
          <w:lang w:val="en-CA"/>
        </w:rPr>
      </w:pPr>
    </w:p>
    <w:p w:rsidR="003605EB" w:rsidRDefault="003605EB" w:rsidP="003605EB"/>
    <w:p w:rsidR="003605EB" w:rsidRDefault="003605EB" w:rsidP="003605EB">
      <w:r>
        <w:t>An exampl</w:t>
      </w:r>
      <w:r w:rsidR="00A34D0D">
        <w:t xml:space="preserve">e of ground plots is shown in </w:t>
      </w:r>
      <w:r w:rsidR="00A34D0D">
        <w:fldChar w:fldCharType="begin"/>
      </w:r>
      <w:r w:rsidR="00A34D0D">
        <w:instrText xml:space="preserve"> REF _Ref449438462 \h </w:instrText>
      </w:r>
      <w:r w:rsidR="00A34D0D">
        <w:fldChar w:fldCharType="separate"/>
      </w:r>
      <w:r w:rsidR="00A34D0D">
        <w:t xml:space="preserve">Figure </w:t>
      </w:r>
      <w:r w:rsidR="00A34D0D">
        <w:rPr>
          <w:noProof/>
        </w:rPr>
        <w:t>2</w:t>
      </w:r>
      <w:r w:rsidR="00A34D0D">
        <w:fldChar w:fldCharType="end"/>
      </w:r>
      <w:r>
        <w:t>.</w:t>
      </w:r>
    </w:p>
    <w:p w:rsidR="003605EB" w:rsidRDefault="003605EB" w:rsidP="003605EB">
      <w:r>
        <w:rPr>
          <w:noProof/>
          <w:lang w:val="en-CA" w:eastAsia="zh-CN"/>
        </w:rPr>
        <w:drawing>
          <wp:inline distT="0" distB="0" distL="0" distR="0" wp14:anchorId="46B2AB2A" wp14:editId="4F5D3F3A">
            <wp:extent cx="2469838" cy="234696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469766" cy="2346891"/>
                    </a:xfrm>
                    <a:prstGeom prst="rect">
                      <a:avLst/>
                    </a:prstGeom>
                  </pic:spPr>
                </pic:pic>
              </a:graphicData>
            </a:graphic>
          </wp:inline>
        </w:drawing>
      </w:r>
      <w:r>
        <w:t xml:space="preserve">    </w:t>
      </w:r>
      <w:r>
        <w:rPr>
          <w:noProof/>
          <w:lang w:val="en-CA" w:eastAsia="zh-CN"/>
        </w:rPr>
        <w:drawing>
          <wp:inline distT="0" distB="0" distL="0" distR="0" wp14:anchorId="474F6D29" wp14:editId="4D1B969C">
            <wp:extent cx="2606040" cy="2333705"/>
            <wp:effectExtent l="0" t="0" r="381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608176" cy="2335618"/>
                    </a:xfrm>
                    <a:prstGeom prst="rect">
                      <a:avLst/>
                    </a:prstGeom>
                  </pic:spPr>
                </pic:pic>
              </a:graphicData>
            </a:graphic>
          </wp:inline>
        </w:drawing>
      </w:r>
    </w:p>
    <w:p w:rsidR="003605EB" w:rsidRDefault="003605EB" w:rsidP="00A34D0D">
      <w:pPr>
        <w:pStyle w:val="BodyText3"/>
        <w:ind w:left="284" w:hanging="284"/>
      </w:pPr>
    </w:p>
    <w:p w:rsidR="003605EB" w:rsidRDefault="00A34D0D" w:rsidP="00A34D0D">
      <w:pPr>
        <w:pStyle w:val="NormalWeb"/>
      </w:pPr>
      <w:bookmarkStart w:id="12" w:name="_Ref449438462"/>
      <w:bookmarkStart w:id="13" w:name="_Toc449515876"/>
      <w:r>
        <w:t xml:space="preserve">Figure </w:t>
      </w:r>
      <w:r>
        <w:fldChar w:fldCharType="begin"/>
      </w:r>
      <w:r>
        <w:instrText xml:space="preserve"> SEQ Figure \* ARABIC </w:instrText>
      </w:r>
      <w:r>
        <w:fldChar w:fldCharType="separate"/>
      </w:r>
      <w:r w:rsidR="00173AD0">
        <w:rPr>
          <w:noProof/>
        </w:rPr>
        <w:t>2</w:t>
      </w:r>
      <w:r>
        <w:fldChar w:fldCharType="end"/>
      </w:r>
      <w:bookmarkEnd w:id="12"/>
      <w:r w:rsidRPr="00A34D0D">
        <w:t xml:space="preserve"> </w:t>
      </w:r>
      <w:r>
        <w:t xml:space="preserve">Plot 18 (0.04ha) overlaid on </w:t>
      </w:r>
      <w:proofErr w:type="spellStart"/>
      <w:r>
        <w:t>orthophoto</w:t>
      </w:r>
      <w:proofErr w:type="spellEnd"/>
      <w:r>
        <w:t xml:space="preserve"> (left) and LiDAR canopy (right).</w:t>
      </w:r>
      <w:bookmarkEnd w:id="13"/>
      <w:r w:rsidR="00593644">
        <w:t xml:space="preserve"> The 1ha (100m x 100m) with four quadrats is shown in red.</w:t>
      </w:r>
    </w:p>
    <w:p w:rsidR="007C220F" w:rsidRDefault="007667B4" w:rsidP="007C220F">
      <w:pPr>
        <w:pStyle w:val="Heading2"/>
      </w:pPr>
      <w:bookmarkStart w:id="14" w:name="_Toc449596353"/>
      <w:r>
        <w:t>Ground Data Collection and Compilation</w:t>
      </w:r>
      <w:bookmarkEnd w:id="14"/>
    </w:p>
    <w:p w:rsidR="00AB7E2E" w:rsidRDefault="00AB7E2E" w:rsidP="00AB7E2E">
      <w:r>
        <w:t>Ground plot design and tree measurements are described in Appendix 2: Field Procedures.</w:t>
      </w:r>
    </w:p>
    <w:p w:rsidR="00F82D56" w:rsidRPr="00F82D56" w:rsidRDefault="00F82D56" w:rsidP="00F82D56">
      <w:pPr>
        <w:rPr>
          <w:lang w:val="en-CA"/>
        </w:rPr>
      </w:pPr>
      <w:r w:rsidRPr="00F82D56">
        <w:rPr>
          <w:lang w:val="en-CA"/>
        </w:rPr>
        <w:t xml:space="preserve">Conventional and real-time uncorrected GPS </w:t>
      </w:r>
      <w:r w:rsidR="009B327F">
        <w:rPr>
          <w:lang w:val="en-CA"/>
        </w:rPr>
        <w:t>was used</w:t>
      </w:r>
      <w:r w:rsidRPr="00F82D56">
        <w:rPr>
          <w:lang w:val="en-CA"/>
        </w:rPr>
        <w:t xml:space="preserve"> to navigate to the plot centers that </w:t>
      </w:r>
      <w:r w:rsidR="009B327F">
        <w:rPr>
          <w:lang w:val="en-CA"/>
        </w:rPr>
        <w:t>we</w:t>
      </w:r>
      <w:r w:rsidRPr="00F82D56">
        <w:rPr>
          <w:lang w:val="en-CA"/>
        </w:rPr>
        <w:t xml:space="preserve">re pre-determined and provided by FAIB.  Effort </w:t>
      </w:r>
      <w:r w:rsidR="009B327F">
        <w:rPr>
          <w:lang w:val="en-CA"/>
        </w:rPr>
        <w:t>was</w:t>
      </w:r>
      <w:r w:rsidRPr="00F82D56">
        <w:rPr>
          <w:lang w:val="en-CA"/>
        </w:rPr>
        <w:t xml:space="preserve"> made to locate the plot centers in an unbiased fashion with aid from aerial photos and maps.   </w:t>
      </w:r>
    </w:p>
    <w:p w:rsidR="00F82D56" w:rsidRPr="00F82D56" w:rsidRDefault="00F82D56" w:rsidP="00F82D56">
      <w:pPr>
        <w:rPr>
          <w:lang w:val="en-CA"/>
        </w:rPr>
      </w:pPr>
    </w:p>
    <w:p w:rsidR="00F82D56" w:rsidRDefault="00F82D56" w:rsidP="00F82D56">
      <w:pPr>
        <w:rPr>
          <w:lang w:val="en-CA"/>
        </w:rPr>
      </w:pPr>
      <w:r w:rsidRPr="00F82D56">
        <w:rPr>
          <w:lang w:val="en-CA"/>
        </w:rPr>
        <w:t xml:space="preserve">It </w:t>
      </w:r>
      <w:r w:rsidR="009B327F">
        <w:rPr>
          <w:lang w:val="en-CA"/>
        </w:rPr>
        <w:t>wa</w:t>
      </w:r>
      <w:r w:rsidRPr="00F82D56">
        <w:rPr>
          <w:lang w:val="en-CA"/>
        </w:rPr>
        <w:t>s extremely critical to measure accurately the plot center loc</w:t>
      </w:r>
      <w:r w:rsidR="00527BE3">
        <w:rPr>
          <w:lang w:val="en-CA"/>
        </w:rPr>
        <w:t xml:space="preserve">ations after they </w:t>
      </w:r>
      <w:r w:rsidR="009B327F">
        <w:rPr>
          <w:lang w:val="en-CA"/>
        </w:rPr>
        <w:t>we</w:t>
      </w:r>
      <w:r w:rsidR="00527BE3">
        <w:rPr>
          <w:lang w:val="en-CA"/>
        </w:rPr>
        <w:t>re</w:t>
      </w:r>
      <w:r w:rsidRPr="00F82D56">
        <w:rPr>
          <w:lang w:val="en-CA"/>
        </w:rPr>
        <w:t xml:space="preserve"> established. </w:t>
      </w:r>
      <w:proofErr w:type="gramStart"/>
      <w:r w:rsidRPr="00F82D56">
        <w:rPr>
          <w:lang w:val="en-CA"/>
        </w:rPr>
        <w:t>The horizontal positio</w:t>
      </w:r>
      <w:r w:rsidR="00F11FA9">
        <w:rPr>
          <w:lang w:val="en-CA"/>
        </w:rPr>
        <w:t>nal accuracy of the plot center</w:t>
      </w:r>
      <w:r w:rsidRPr="00F82D56">
        <w:rPr>
          <w:lang w:val="en-CA"/>
        </w:rPr>
        <w:t xml:space="preserve"> after differential correction </w:t>
      </w:r>
      <w:r w:rsidR="009B327F">
        <w:rPr>
          <w:lang w:val="en-CA"/>
        </w:rPr>
        <w:t>wa</w:t>
      </w:r>
      <w:r w:rsidRPr="00F82D56">
        <w:rPr>
          <w:lang w:val="en-CA"/>
        </w:rPr>
        <w:t xml:space="preserve">s </w:t>
      </w:r>
      <w:r w:rsidR="00527BE3" w:rsidRPr="00527BE3">
        <w:rPr>
          <w:u w:val="single"/>
          <w:lang w:val="en-CA"/>
        </w:rPr>
        <w:t>+</w:t>
      </w:r>
      <w:r w:rsidR="00527BE3">
        <w:rPr>
          <w:lang w:val="en-CA"/>
        </w:rPr>
        <w:t xml:space="preserve"> </w:t>
      </w:r>
      <w:r w:rsidRPr="00F82D56">
        <w:rPr>
          <w:lang w:val="en-CA"/>
        </w:rPr>
        <w:t>2 meters.</w:t>
      </w:r>
      <w:proofErr w:type="gramEnd"/>
      <w:r w:rsidRPr="00F82D56">
        <w:rPr>
          <w:lang w:val="en-CA"/>
        </w:rPr>
        <w:t xml:space="preserve"> </w:t>
      </w:r>
      <w:r w:rsidR="001B17DC">
        <w:rPr>
          <w:lang w:val="en-CA"/>
        </w:rPr>
        <w:t xml:space="preserve"> </w:t>
      </w:r>
      <w:r w:rsidRPr="00F82D56">
        <w:rPr>
          <w:lang w:val="en-CA"/>
        </w:rPr>
        <w:t xml:space="preserve">Once the plot center </w:t>
      </w:r>
      <w:r w:rsidR="004D6651">
        <w:rPr>
          <w:lang w:val="en-CA"/>
        </w:rPr>
        <w:t>wa</w:t>
      </w:r>
      <w:r w:rsidRPr="00F82D56">
        <w:rPr>
          <w:lang w:val="en-CA"/>
        </w:rPr>
        <w:t xml:space="preserve">s determined, the GPS data </w:t>
      </w:r>
      <w:r w:rsidR="004D6651">
        <w:rPr>
          <w:lang w:val="en-CA"/>
        </w:rPr>
        <w:t>wa</w:t>
      </w:r>
      <w:r w:rsidR="00527BE3">
        <w:rPr>
          <w:lang w:val="en-CA"/>
        </w:rPr>
        <w:t>s</w:t>
      </w:r>
      <w:r w:rsidRPr="00F82D56">
        <w:rPr>
          <w:lang w:val="en-CA"/>
        </w:rPr>
        <w:t xml:space="preserve"> recorded twice using survey/mapping grade of GP</w:t>
      </w:r>
      <w:r w:rsidR="00F11FA9">
        <w:rPr>
          <w:lang w:val="en-CA"/>
        </w:rPr>
        <w:t xml:space="preserve">S receivers such as Trimble </w:t>
      </w:r>
      <w:proofErr w:type="spellStart"/>
      <w:r w:rsidR="00F11FA9">
        <w:rPr>
          <w:lang w:val="en-CA"/>
        </w:rPr>
        <w:t>GeoE</w:t>
      </w:r>
      <w:r w:rsidRPr="00F82D56">
        <w:rPr>
          <w:lang w:val="en-CA"/>
        </w:rPr>
        <w:t>xplore</w:t>
      </w:r>
      <w:proofErr w:type="spellEnd"/>
      <w:r w:rsidRPr="00F82D56">
        <w:rPr>
          <w:lang w:val="en-CA"/>
        </w:rPr>
        <w:t xml:space="preserve">, at the beginning and at completion of the field measurements (the minimum time interval is one hour). The minimum of GPS occupation time at the plot center at each measurement </w:t>
      </w:r>
      <w:r w:rsidR="004D6651">
        <w:rPr>
          <w:lang w:val="en-CA"/>
        </w:rPr>
        <w:t>was</w:t>
      </w:r>
      <w:r w:rsidRPr="00F82D56">
        <w:rPr>
          <w:lang w:val="en-CA"/>
        </w:rPr>
        <w:t xml:space="preserve"> 5 minutes with a total of minimum 100 GPS fixes at 1 sec interval. If it </w:t>
      </w:r>
      <w:r w:rsidR="004D6651">
        <w:rPr>
          <w:lang w:val="en-CA"/>
        </w:rPr>
        <w:t>wa</w:t>
      </w:r>
      <w:r w:rsidRPr="00F82D56">
        <w:rPr>
          <w:lang w:val="en-CA"/>
        </w:rPr>
        <w:t xml:space="preserve">s impossible to obtain GPS data at the plot center, an offset </w:t>
      </w:r>
      <w:r w:rsidR="004D6651">
        <w:rPr>
          <w:lang w:val="en-CA"/>
        </w:rPr>
        <w:t>was</w:t>
      </w:r>
      <w:r w:rsidRPr="00F82D56">
        <w:rPr>
          <w:lang w:val="en-CA"/>
        </w:rPr>
        <w:t xml:space="preserve"> used. The offset of distance (to nearest centimeter and maximum distance is 20m) and angle (to the nearest degree) from the measurement location to the plot center </w:t>
      </w:r>
      <w:r w:rsidR="004D6651">
        <w:rPr>
          <w:lang w:val="en-CA"/>
        </w:rPr>
        <w:t>was</w:t>
      </w:r>
      <w:r w:rsidRPr="00F82D56">
        <w:rPr>
          <w:lang w:val="en-CA"/>
        </w:rPr>
        <w:t xml:space="preserve"> recorded. The two raw GPS files per plot center </w:t>
      </w:r>
      <w:r w:rsidR="004D6651">
        <w:rPr>
          <w:lang w:val="en-CA"/>
        </w:rPr>
        <w:t>we</w:t>
      </w:r>
      <w:r w:rsidR="00527BE3">
        <w:rPr>
          <w:lang w:val="en-CA"/>
        </w:rPr>
        <w:t>re</w:t>
      </w:r>
      <w:r w:rsidRPr="00F82D56">
        <w:rPr>
          <w:lang w:val="en-CA"/>
        </w:rPr>
        <w:t xml:space="preserve"> submitted to the FAIB for post-correction</w:t>
      </w:r>
      <w:r w:rsidR="00527BE3">
        <w:rPr>
          <w:lang w:val="en-CA"/>
        </w:rPr>
        <w:t xml:space="preserve"> and QA purposes</w:t>
      </w:r>
      <w:r w:rsidRPr="00F82D56">
        <w:rPr>
          <w:lang w:val="en-CA"/>
        </w:rPr>
        <w:t xml:space="preserve">, </w:t>
      </w:r>
      <w:r w:rsidR="00527BE3">
        <w:rPr>
          <w:lang w:val="en-CA"/>
        </w:rPr>
        <w:t xml:space="preserve">and </w:t>
      </w:r>
      <w:r w:rsidRPr="00F82D56">
        <w:rPr>
          <w:lang w:val="en-CA"/>
        </w:rPr>
        <w:t xml:space="preserve">crews </w:t>
      </w:r>
      <w:r w:rsidR="00527BE3">
        <w:rPr>
          <w:lang w:val="en-CA"/>
        </w:rPr>
        <w:t>also</w:t>
      </w:r>
      <w:r w:rsidRPr="00F82D56">
        <w:rPr>
          <w:lang w:val="en-CA"/>
        </w:rPr>
        <w:t xml:space="preserve"> conduct</w:t>
      </w:r>
      <w:r w:rsidR="004D6651">
        <w:rPr>
          <w:lang w:val="en-CA"/>
        </w:rPr>
        <w:t>ed</w:t>
      </w:r>
      <w:r w:rsidRPr="00F82D56">
        <w:rPr>
          <w:lang w:val="en-CA"/>
        </w:rPr>
        <w:t xml:space="preserve"> their own post processing (if so, </w:t>
      </w:r>
      <w:r w:rsidR="00527BE3">
        <w:rPr>
          <w:lang w:val="en-CA"/>
        </w:rPr>
        <w:t xml:space="preserve">both </w:t>
      </w:r>
      <w:r w:rsidRPr="00F82D56">
        <w:rPr>
          <w:lang w:val="en-CA"/>
        </w:rPr>
        <w:t xml:space="preserve">the raw and correct GPS files </w:t>
      </w:r>
      <w:r w:rsidR="004D6651">
        <w:rPr>
          <w:lang w:val="en-CA"/>
        </w:rPr>
        <w:t>we</w:t>
      </w:r>
      <w:r w:rsidR="00527BE3">
        <w:rPr>
          <w:lang w:val="en-CA"/>
        </w:rPr>
        <w:t>re</w:t>
      </w:r>
      <w:r w:rsidRPr="00F82D56">
        <w:rPr>
          <w:lang w:val="en-CA"/>
        </w:rPr>
        <w:t xml:space="preserve"> submitted). The detail </w:t>
      </w:r>
      <w:r w:rsidR="00F11FA9" w:rsidRPr="00F82D56">
        <w:rPr>
          <w:lang w:val="en-CA"/>
        </w:rPr>
        <w:t>specifications for the GPS parameters are</w:t>
      </w:r>
      <w:r w:rsidRPr="00F82D56">
        <w:rPr>
          <w:lang w:val="en-CA"/>
        </w:rPr>
        <w:t xml:space="preserve"> sho</w:t>
      </w:r>
      <w:r w:rsidR="00643639">
        <w:rPr>
          <w:lang w:val="en-CA"/>
        </w:rPr>
        <w:t xml:space="preserve">wn in the following </w:t>
      </w:r>
      <w:r w:rsidR="00643639">
        <w:rPr>
          <w:lang w:val="en-CA"/>
        </w:rPr>
        <w:fldChar w:fldCharType="begin"/>
      </w:r>
      <w:r w:rsidR="00643639">
        <w:rPr>
          <w:lang w:val="en-CA"/>
        </w:rPr>
        <w:instrText xml:space="preserve"> REF _Ref449438009 \h </w:instrText>
      </w:r>
      <w:r w:rsidR="00643639">
        <w:rPr>
          <w:lang w:val="en-CA"/>
        </w:rPr>
      </w:r>
      <w:r w:rsidR="00643639">
        <w:rPr>
          <w:lang w:val="en-CA"/>
        </w:rPr>
        <w:fldChar w:fldCharType="separate"/>
      </w:r>
      <w:r w:rsidR="00643639">
        <w:t xml:space="preserve">Table </w:t>
      </w:r>
      <w:r w:rsidR="00643639">
        <w:rPr>
          <w:noProof/>
        </w:rPr>
        <w:t>2</w:t>
      </w:r>
      <w:r w:rsidR="00643639">
        <w:rPr>
          <w:lang w:val="en-CA"/>
        </w:rPr>
        <w:fldChar w:fldCharType="end"/>
      </w:r>
      <w:r w:rsidR="00643639">
        <w:rPr>
          <w:lang w:val="en-CA"/>
        </w:rPr>
        <w:t>.</w:t>
      </w:r>
    </w:p>
    <w:p w:rsidR="00643639" w:rsidRDefault="00643639" w:rsidP="00643639">
      <w:pPr>
        <w:pStyle w:val="NormalWeb"/>
      </w:pPr>
    </w:p>
    <w:p w:rsidR="00527BE3" w:rsidRPr="00F82D56" w:rsidRDefault="00643639" w:rsidP="00643639">
      <w:pPr>
        <w:pStyle w:val="NormalWeb"/>
      </w:pPr>
      <w:bookmarkStart w:id="15" w:name="_Ref449438009"/>
      <w:bookmarkStart w:id="16" w:name="_Toc449515867"/>
      <w:r>
        <w:t xml:space="preserve">Table </w:t>
      </w:r>
      <w:r>
        <w:fldChar w:fldCharType="begin"/>
      </w:r>
      <w:r>
        <w:instrText xml:space="preserve"> SEQ Table \* ARABIC </w:instrText>
      </w:r>
      <w:r>
        <w:fldChar w:fldCharType="separate"/>
      </w:r>
      <w:r w:rsidR="00EA6AA2">
        <w:rPr>
          <w:noProof/>
        </w:rPr>
        <w:t>2</w:t>
      </w:r>
      <w:r>
        <w:fldChar w:fldCharType="end"/>
      </w:r>
      <w:bookmarkEnd w:id="15"/>
      <w:r w:rsidRPr="00643639">
        <w:t xml:space="preserve"> Specifications for GPS unit configuration and measurements</w:t>
      </w:r>
      <w:bookmarkEnd w:id="16"/>
    </w:p>
    <w:tbl>
      <w:tblPr>
        <w:tblStyle w:val="TableGrid"/>
        <w:tblW w:w="0" w:type="auto"/>
        <w:tblLook w:val="04A0" w:firstRow="1" w:lastRow="0" w:firstColumn="1" w:lastColumn="0" w:noHBand="0" w:noVBand="1"/>
      </w:tblPr>
      <w:tblGrid>
        <w:gridCol w:w="2144"/>
        <w:gridCol w:w="2155"/>
        <w:gridCol w:w="4557"/>
      </w:tblGrid>
      <w:tr w:rsidR="00F82D56" w:rsidRPr="00F82D56" w:rsidTr="00643639">
        <w:tc>
          <w:tcPr>
            <w:tcW w:w="2144" w:type="dxa"/>
          </w:tcPr>
          <w:p w:rsidR="00F82D56" w:rsidRPr="00F82D56" w:rsidRDefault="00F82D56" w:rsidP="00F82D56">
            <w:pPr>
              <w:rPr>
                <w:b/>
                <w:lang w:val="en-CA"/>
              </w:rPr>
            </w:pPr>
            <w:r w:rsidRPr="00F82D56">
              <w:rPr>
                <w:b/>
                <w:lang w:val="en-CA"/>
              </w:rPr>
              <w:t>Parameter</w:t>
            </w:r>
          </w:p>
        </w:tc>
        <w:tc>
          <w:tcPr>
            <w:tcW w:w="2155" w:type="dxa"/>
          </w:tcPr>
          <w:p w:rsidR="00F82D56" w:rsidRPr="00F82D56" w:rsidRDefault="00F82D56" w:rsidP="00F82D56">
            <w:pPr>
              <w:rPr>
                <w:b/>
                <w:lang w:val="en-CA"/>
              </w:rPr>
            </w:pPr>
            <w:r w:rsidRPr="00F82D56">
              <w:rPr>
                <w:b/>
                <w:lang w:val="en-CA"/>
              </w:rPr>
              <w:t>Value</w:t>
            </w:r>
          </w:p>
        </w:tc>
        <w:tc>
          <w:tcPr>
            <w:tcW w:w="4557" w:type="dxa"/>
          </w:tcPr>
          <w:p w:rsidR="00F82D56" w:rsidRPr="00F82D56" w:rsidRDefault="00F82D56" w:rsidP="00F82D56">
            <w:pPr>
              <w:rPr>
                <w:b/>
                <w:lang w:val="en-CA"/>
              </w:rPr>
            </w:pPr>
            <w:r w:rsidRPr="00F82D56">
              <w:rPr>
                <w:b/>
                <w:lang w:val="en-CA"/>
              </w:rPr>
              <w:t>Comment</w:t>
            </w:r>
          </w:p>
        </w:tc>
      </w:tr>
      <w:tr w:rsidR="00F82D56" w:rsidRPr="00F82D56" w:rsidTr="00643639">
        <w:tc>
          <w:tcPr>
            <w:tcW w:w="2144" w:type="dxa"/>
          </w:tcPr>
          <w:p w:rsidR="00F82D56" w:rsidRPr="00F82D56" w:rsidRDefault="00F82D56" w:rsidP="00F82D56">
            <w:pPr>
              <w:rPr>
                <w:lang w:val="en-CA"/>
              </w:rPr>
            </w:pPr>
            <w:r w:rsidRPr="00F82D56">
              <w:rPr>
                <w:lang w:val="en-CA"/>
              </w:rPr>
              <w:t>GDOP</w:t>
            </w:r>
          </w:p>
        </w:tc>
        <w:tc>
          <w:tcPr>
            <w:tcW w:w="2155" w:type="dxa"/>
          </w:tcPr>
          <w:p w:rsidR="00F82D56" w:rsidRPr="00F82D56" w:rsidRDefault="00F82D56" w:rsidP="00F82D56">
            <w:pPr>
              <w:rPr>
                <w:lang w:val="en-CA"/>
              </w:rPr>
            </w:pPr>
            <w:r w:rsidRPr="00F82D56">
              <w:rPr>
                <w:lang w:val="en-CA"/>
              </w:rPr>
              <w:t xml:space="preserve"> &lt; 10.0 </w:t>
            </w:r>
          </w:p>
        </w:tc>
        <w:tc>
          <w:tcPr>
            <w:tcW w:w="4557" w:type="dxa"/>
          </w:tcPr>
          <w:p w:rsidR="00F82D56" w:rsidRPr="00F82D56" w:rsidRDefault="00F82D56" w:rsidP="00F82D56">
            <w:pPr>
              <w:rPr>
                <w:lang w:val="en-CA"/>
              </w:rPr>
            </w:pPr>
            <w:r w:rsidRPr="00F82D56">
              <w:rPr>
                <w:lang w:val="en-CA"/>
              </w:rPr>
              <w:t>use only if HDOP or PDOP not available in rover unit</w:t>
            </w:r>
          </w:p>
        </w:tc>
      </w:tr>
      <w:tr w:rsidR="00F82D56" w:rsidRPr="00F82D56" w:rsidTr="00643639">
        <w:tc>
          <w:tcPr>
            <w:tcW w:w="2144" w:type="dxa"/>
          </w:tcPr>
          <w:p w:rsidR="00F82D56" w:rsidRPr="00F82D56" w:rsidRDefault="00F82D56" w:rsidP="00F82D56">
            <w:pPr>
              <w:rPr>
                <w:lang w:val="en-CA"/>
              </w:rPr>
            </w:pPr>
            <w:r w:rsidRPr="00F82D56">
              <w:rPr>
                <w:lang w:val="en-CA"/>
              </w:rPr>
              <w:t>PDOP</w:t>
            </w:r>
          </w:p>
        </w:tc>
        <w:tc>
          <w:tcPr>
            <w:tcW w:w="2155" w:type="dxa"/>
          </w:tcPr>
          <w:p w:rsidR="00F82D56" w:rsidRPr="00F82D56" w:rsidRDefault="00F82D56" w:rsidP="00F82D56">
            <w:pPr>
              <w:rPr>
                <w:lang w:val="en-CA"/>
              </w:rPr>
            </w:pPr>
            <w:r w:rsidRPr="00F82D56">
              <w:rPr>
                <w:lang w:val="en-CA"/>
              </w:rPr>
              <w:t xml:space="preserve"> &lt; 8.0 </w:t>
            </w:r>
          </w:p>
        </w:tc>
        <w:tc>
          <w:tcPr>
            <w:tcW w:w="4557" w:type="dxa"/>
          </w:tcPr>
          <w:p w:rsidR="00F82D56" w:rsidRPr="00F82D56" w:rsidRDefault="00F82D56" w:rsidP="00F82D56">
            <w:pPr>
              <w:rPr>
                <w:lang w:val="en-CA"/>
              </w:rPr>
            </w:pPr>
            <w:r w:rsidRPr="00F82D56">
              <w:rPr>
                <w:lang w:val="en-CA"/>
              </w:rPr>
              <w:t xml:space="preserve">use only if HDOP not available in rover unit </w:t>
            </w:r>
          </w:p>
        </w:tc>
      </w:tr>
      <w:tr w:rsidR="00F82D56" w:rsidRPr="00F82D56" w:rsidTr="00643639">
        <w:tc>
          <w:tcPr>
            <w:tcW w:w="2144" w:type="dxa"/>
          </w:tcPr>
          <w:p w:rsidR="00F82D56" w:rsidRPr="00F82D56" w:rsidRDefault="00F82D56" w:rsidP="00F82D56">
            <w:pPr>
              <w:rPr>
                <w:lang w:val="en-CA"/>
              </w:rPr>
            </w:pPr>
            <w:r w:rsidRPr="00F82D56">
              <w:rPr>
                <w:lang w:val="en-CA"/>
              </w:rPr>
              <w:t>HDOP</w:t>
            </w:r>
          </w:p>
        </w:tc>
        <w:tc>
          <w:tcPr>
            <w:tcW w:w="2155" w:type="dxa"/>
          </w:tcPr>
          <w:p w:rsidR="00F82D56" w:rsidRPr="00F82D56" w:rsidRDefault="00F82D56" w:rsidP="00F82D56">
            <w:pPr>
              <w:rPr>
                <w:lang w:val="en-CA"/>
              </w:rPr>
            </w:pPr>
            <w:r w:rsidRPr="00F82D56">
              <w:rPr>
                <w:lang w:val="en-CA"/>
              </w:rPr>
              <w:t xml:space="preserve"> &lt; 5.0 </w:t>
            </w:r>
          </w:p>
        </w:tc>
        <w:tc>
          <w:tcPr>
            <w:tcW w:w="4557" w:type="dxa"/>
          </w:tcPr>
          <w:p w:rsidR="00F82D56" w:rsidRPr="00F82D56" w:rsidRDefault="00F82D56" w:rsidP="00F82D56">
            <w:pPr>
              <w:rPr>
                <w:lang w:val="en-CA"/>
              </w:rPr>
            </w:pPr>
            <w:r w:rsidRPr="00F82D56">
              <w:rPr>
                <w:lang w:val="en-CA"/>
              </w:rPr>
              <w:t>use of HDOP preferred over PDOP</w:t>
            </w:r>
          </w:p>
        </w:tc>
      </w:tr>
      <w:tr w:rsidR="00F82D56" w:rsidRPr="00F82D56" w:rsidTr="00643639">
        <w:tc>
          <w:tcPr>
            <w:tcW w:w="2144" w:type="dxa"/>
          </w:tcPr>
          <w:p w:rsidR="00F82D56" w:rsidRPr="00F82D56" w:rsidRDefault="00F82D56" w:rsidP="00F82D56">
            <w:pPr>
              <w:rPr>
                <w:lang w:val="en-CA"/>
              </w:rPr>
            </w:pPr>
            <w:r w:rsidRPr="00F82D56">
              <w:rPr>
                <w:lang w:val="en-CA"/>
              </w:rPr>
              <w:t xml:space="preserve">Elevation angle </w:t>
            </w:r>
          </w:p>
        </w:tc>
        <w:tc>
          <w:tcPr>
            <w:tcW w:w="2155" w:type="dxa"/>
          </w:tcPr>
          <w:p w:rsidR="00F82D56" w:rsidRPr="00F82D56" w:rsidRDefault="00F82D56" w:rsidP="00F82D56">
            <w:pPr>
              <w:rPr>
                <w:lang w:val="en-CA"/>
              </w:rPr>
            </w:pPr>
            <w:r w:rsidRPr="00F82D56">
              <w:rPr>
                <w:lang w:val="en-CA"/>
              </w:rPr>
              <w:t xml:space="preserve">&gt; 15 </w:t>
            </w:r>
          </w:p>
        </w:tc>
        <w:tc>
          <w:tcPr>
            <w:tcW w:w="4557" w:type="dxa"/>
          </w:tcPr>
          <w:p w:rsidR="00F82D56" w:rsidRPr="00F82D56" w:rsidRDefault="00F82D56" w:rsidP="00F82D56">
            <w:pPr>
              <w:rPr>
                <w:lang w:val="en-CA"/>
              </w:rPr>
            </w:pPr>
            <w:r w:rsidRPr="00F82D56">
              <w:rPr>
                <w:lang w:val="en-CA"/>
              </w:rPr>
              <w:t>satellite elevation tracking angle (degrees)</w:t>
            </w:r>
          </w:p>
        </w:tc>
      </w:tr>
      <w:tr w:rsidR="00F82D56" w:rsidRPr="00F82D56" w:rsidTr="00643639">
        <w:tc>
          <w:tcPr>
            <w:tcW w:w="2144" w:type="dxa"/>
          </w:tcPr>
          <w:p w:rsidR="00F82D56" w:rsidRPr="00F82D56" w:rsidRDefault="00F82D56" w:rsidP="00F82D56">
            <w:pPr>
              <w:rPr>
                <w:lang w:val="en-CA"/>
              </w:rPr>
            </w:pPr>
            <w:r w:rsidRPr="00F82D56">
              <w:rPr>
                <w:lang w:val="en-CA"/>
              </w:rPr>
              <w:t>Positioning modes</w:t>
            </w:r>
          </w:p>
        </w:tc>
        <w:tc>
          <w:tcPr>
            <w:tcW w:w="2155" w:type="dxa"/>
          </w:tcPr>
          <w:p w:rsidR="00F82D56" w:rsidRPr="00F82D56" w:rsidRDefault="00F82D56" w:rsidP="00F82D56">
            <w:pPr>
              <w:rPr>
                <w:lang w:val="en-CA"/>
              </w:rPr>
            </w:pPr>
            <w:r w:rsidRPr="00F82D56">
              <w:rPr>
                <w:lang w:val="en-CA"/>
              </w:rPr>
              <w:t xml:space="preserve"> 3D </w:t>
            </w:r>
          </w:p>
        </w:tc>
        <w:tc>
          <w:tcPr>
            <w:tcW w:w="4557" w:type="dxa"/>
          </w:tcPr>
          <w:p w:rsidR="00F82D56" w:rsidRPr="00F82D56" w:rsidRDefault="00F82D56" w:rsidP="00F82D56">
            <w:pPr>
              <w:rPr>
                <w:lang w:val="en-CA"/>
              </w:rPr>
            </w:pPr>
            <w:r w:rsidRPr="00F82D56">
              <w:rPr>
                <w:lang w:val="en-CA"/>
              </w:rPr>
              <w:t>no 2D positioning acceptable</w:t>
            </w:r>
          </w:p>
        </w:tc>
      </w:tr>
      <w:tr w:rsidR="00F82D56" w:rsidRPr="00F82D56" w:rsidTr="00643639">
        <w:tc>
          <w:tcPr>
            <w:tcW w:w="2144" w:type="dxa"/>
          </w:tcPr>
          <w:p w:rsidR="00F82D56" w:rsidRPr="00F82D56" w:rsidRDefault="00F82D56" w:rsidP="00F82D56">
            <w:pPr>
              <w:rPr>
                <w:lang w:val="en-CA"/>
              </w:rPr>
            </w:pPr>
            <w:r w:rsidRPr="00F82D56">
              <w:rPr>
                <w:lang w:val="en-CA"/>
              </w:rPr>
              <w:t xml:space="preserve">Logging interval </w:t>
            </w:r>
          </w:p>
        </w:tc>
        <w:tc>
          <w:tcPr>
            <w:tcW w:w="2155" w:type="dxa"/>
          </w:tcPr>
          <w:p w:rsidR="00F82D56" w:rsidRPr="00F82D56" w:rsidRDefault="00F82D56" w:rsidP="00F82D56">
            <w:pPr>
              <w:rPr>
                <w:lang w:val="en-CA"/>
              </w:rPr>
            </w:pPr>
            <w:r w:rsidRPr="00F82D56">
              <w:rPr>
                <w:lang w:val="en-CA"/>
              </w:rPr>
              <w:t xml:space="preserve">1 sec. </w:t>
            </w:r>
          </w:p>
        </w:tc>
        <w:tc>
          <w:tcPr>
            <w:tcW w:w="4557" w:type="dxa"/>
          </w:tcPr>
          <w:p w:rsidR="00F82D56" w:rsidRPr="00F82D56" w:rsidRDefault="00F82D56" w:rsidP="00F82D56">
            <w:pPr>
              <w:rPr>
                <w:lang w:val="en-CA"/>
              </w:rPr>
            </w:pPr>
            <w:r w:rsidRPr="00F82D56">
              <w:rPr>
                <w:lang w:val="en-CA"/>
              </w:rPr>
              <w:t xml:space="preserve">maximum allowable is 5 sec under certain  </w:t>
            </w:r>
            <w:proofErr w:type="spellStart"/>
            <w:r w:rsidRPr="00F82D56">
              <w:rPr>
                <w:lang w:val="en-CA"/>
              </w:rPr>
              <w:t>onditions</w:t>
            </w:r>
            <w:proofErr w:type="spellEnd"/>
          </w:p>
        </w:tc>
      </w:tr>
      <w:tr w:rsidR="00F82D56" w:rsidRPr="00F82D56" w:rsidTr="00643639">
        <w:tc>
          <w:tcPr>
            <w:tcW w:w="2144" w:type="dxa"/>
          </w:tcPr>
          <w:p w:rsidR="00F82D56" w:rsidRPr="00F82D56" w:rsidRDefault="00F82D56" w:rsidP="00F82D56">
            <w:pPr>
              <w:rPr>
                <w:lang w:val="en-CA"/>
              </w:rPr>
            </w:pPr>
            <w:r w:rsidRPr="00F82D56">
              <w:rPr>
                <w:lang w:val="en-CA"/>
              </w:rPr>
              <w:t xml:space="preserve">Signal strength </w:t>
            </w:r>
          </w:p>
        </w:tc>
        <w:tc>
          <w:tcPr>
            <w:tcW w:w="2155" w:type="dxa"/>
          </w:tcPr>
          <w:p w:rsidR="00F82D56" w:rsidRPr="00F82D56" w:rsidRDefault="00F82D56" w:rsidP="00F82D56">
            <w:pPr>
              <w:rPr>
                <w:lang w:val="en-CA"/>
              </w:rPr>
            </w:pPr>
            <w:r w:rsidRPr="00F82D56">
              <w:rPr>
                <w:lang w:val="en-CA"/>
              </w:rPr>
              <w:t xml:space="preserve">default </w:t>
            </w:r>
          </w:p>
        </w:tc>
        <w:tc>
          <w:tcPr>
            <w:tcW w:w="4557" w:type="dxa"/>
          </w:tcPr>
          <w:p w:rsidR="00F82D56" w:rsidRPr="00F82D56" w:rsidRDefault="00F82D56" w:rsidP="00F82D56">
            <w:pPr>
              <w:rPr>
                <w:lang w:val="en-CA"/>
              </w:rPr>
            </w:pPr>
            <w:r w:rsidRPr="00F82D56">
              <w:rPr>
                <w:lang w:val="en-CA"/>
              </w:rPr>
              <w:t>minimum threshold to be set at manufacturer’s default value (or higher)</w:t>
            </w:r>
          </w:p>
        </w:tc>
      </w:tr>
      <w:tr w:rsidR="00F82D56" w:rsidRPr="00F82D56" w:rsidTr="00643639">
        <w:tc>
          <w:tcPr>
            <w:tcW w:w="2144" w:type="dxa"/>
          </w:tcPr>
          <w:p w:rsidR="00F82D56" w:rsidRPr="00F82D56" w:rsidRDefault="00F82D56" w:rsidP="00F82D56">
            <w:pPr>
              <w:rPr>
                <w:lang w:val="en-CA"/>
              </w:rPr>
            </w:pPr>
            <w:r w:rsidRPr="00F82D56">
              <w:rPr>
                <w:lang w:val="en-CA"/>
              </w:rPr>
              <w:t xml:space="preserve">Dynamics </w:t>
            </w:r>
          </w:p>
        </w:tc>
        <w:tc>
          <w:tcPr>
            <w:tcW w:w="2155" w:type="dxa"/>
          </w:tcPr>
          <w:p w:rsidR="00F82D56" w:rsidRPr="00F82D56" w:rsidRDefault="00F82D56" w:rsidP="00F82D56">
            <w:pPr>
              <w:rPr>
                <w:lang w:val="en-CA"/>
              </w:rPr>
            </w:pPr>
            <w:r w:rsidRPr="00F82D56">
              <w:rPr>
                <w:lang w:val="en-CA"/>
              </w:rPr>
              <w:t xml:space="preserve">lowest </w:t>
            </w:r>
          </w:p>
        </w:tc>
        <w:tc>
          <w:tcPr>
            <w:tcW w:w="4557" w:type="dxa"/>
          </w:tcPr>
          <w:p w:rsidR="00F82D56" w:rsidRPr="00F82D56" w:rsidRDefault="00F82D56" w:rsidP="00F82D56">
            <w:pPr>
              <w:rPr>
                <w:lang w:val="en-CA"/>
              </w:rPr>
            </w:pPr>
            <w:r w:rsidRPr="00F82D56">
              <w:rPr>
                <w:lang w:val="en-CA"/>
              </w:rPr>
              <w:t>set to lowest value available</w:t>
            </w:r>
          </w:p>
        </w:tc>
      </w:tr>
      <w:tr w:rsidR="00F82D56" w:rsidRPr="00F82D56" w:rsidTr="00643639">
        <w:tc>
          <w:tcPr>
            <w:tcW w:w="2144" w:type="dxa"/>
          </w:tcPr>
          <w:p w:rsidR="00F82D56" w:rsidRPr="00F82D56" w:rsidRDefault="00F82D56" w:rsidP="00F82D56">
            <w:pPr>
              <w:rPr>
                <w:lang w:val="en-CA"/>
              </w:rPr>
            </w:pPr>
            <w:r w:rsidRPr="00F82D56">
              <w:rPr>
                <w:lang w:val="en-CA"/>
              </w:rPr>
              <w:t xml:space="preserve">GPS measurement </w:t>
            </w:r>
          </w:p>
        </w:tc>
        <w:tc>
          <w:tcPr>
            <w:tcW w:w="2155" w:type="dxa"/>
          </w:tcPr>
          <w:p w:rsidR="00F82D56" w:rsidRPr="00F82D56" w:rsidRDefault="00F82D56" w:rsidP="00F82D56">
            <w:pPr>
              <w:rPr>
                <w:lang w:val="en-CA"/>
              </w:rPr>
            </w:pPr>
            <w:r w:rsidRPr="00F82D56">
              <w:rPr>
                <w:lang w:val="en-CA"/>
              </w:rPr>
              <w:t>2 measurements each at minimum 100 fixes</w:t>
            </w:r>
          </w:p>
        </w:tc>
        <w:tc>
          <w:tcPr>
            <w:tcW w:w="4557" w:type="dxa"/>
          </w:tcPr>
          <w:p w:rsidR="00F82D56" w:rsidRPr="00F82D56" w:rsidRDefault="00F82D56" w:rsidP="00F82D56">
            <w:pPr>
              <w:rPr>
                <w:lang w:val="en-CA"/>
              </w:rPr>
            </w:pPr>
            <w:r w:rsidRPr="00F82D56">
              <w:rPr>
                <w:lang w:val="en-CA"/>
              </w:rPr>
              <w:t xml:space="preserve">Two measurements, one at the beginning and one at the completion of field work with minimum one hour interval.  The minimum observation time at each measurement is 300 seconds </w:t>
            </w:r>
            <w:proofErr w:type="gramStart"/>
            <w:r w:rsidRPr="00F82D56">
              <w:rPr>
                <w:lang w:val="en-CA"/>
              </w:rPr>
              <w:t>with  at</w:t>
            </w:r>
            <w:proofErr w:type="gramEnd"/>
            <w:r w:rsidRPr="00F82D56">
              <w:rPr>
                <w:lang w:val="en-CA"/>
              </w:rPr>
              <w:t xml:space="preserve"> least 100 position fixes during that period, or at least 50 position fixes under difficult satellite tracking conditions.</w:t>
            </w:r>
          </w:p>
        </w:tc>
      </w:tr>
      <w:tr w:rsidR="00F82D56" w:rsidRPr="00F82D56" w:rsidTr="00643639">
        <w:tc>
          <w:tcPr>
            <w:tcW w:w="2144" w:type="dxa"/>
          </w:tcPr>
          <w:p w:rsidR="00F82D56" w:rsidRPr="00F82D56" w:rsidRDefault="00F82D56" w:rsidP="00F82D56">
            <w:pPr>
              <w:rPr>
                <w:lang w:val="en-CA"/>
              </w:rPr>
            </w:pPr>
            <w:r w:rsidRPr="00F82D56">
              <w:rPr>
                <w:lang w:val="en-CA"/>
              </w:rPr>
              <w:t>Offset</w:t>
            </w:r>
          </w:p>
        </w:tc>
        <w:tc>
          <w:tcPr>
            <w:tcW w:w="2155" w:type="dxa"/>
          </w:tcPr>
          <w:p w:rsidR="00F82D56" w:rsidRPr="00F82D56" w:rsidRDefault="00F82D56" w:rsidP="00F82D56">
            <w:pPr>
              <w:rPr>
                <w:lang w:val="en-CA"/>
              </w:rPr>
            </w:pPr>
            <w:r w:rsidRPr="00F82D56">
              <w:rPr>
                <w:lang w:val="en-CA"/>
              </w:rPr>
              <w:t>From GPS to plot center with nearest centimetre for distance and nearest degree for angle</w:t>
            </w:r>
          </w:p>
        </w:tc>
        <w:tc>
          <w:tcPr>
            <w:tcW w:w="4557" w:type="dxa"/>
          </w:tcPr>
          <w:p w:rsidR="00F82D56" w:rsidRPr="00F82D56" w:rsidRDefault="00F82D56" w:rsidP="00F82D56">
            <w:pPr>
              <w:rPr>
                <w:lang w:val="en-CA"/>
              </w:rPr>
            </w:pPr>
            <w:r w:rsidRPr="00F82D56">
              <w:rPr>
                <w:lang w:val="en-CA"/>
              </w:rPr>
              <w:t>The maximum distance is 20m.  Record this on the field cards.</w:t>
            </w:r>
          </w:p>
        </w:tc>
      </w:tr>
    </w:tbl>
    <w:p w:rsidR="00F82D56" w:rsidRPr="00F82D56" w:rsidRDefault="00F82D56" w:rsidP="00AB7E2E">
      <w:pPr>
        <w:rPr>
          <w:lang w:val="en-CA"/>
        </w:rPr>
      </w:pPr>
    </w:p>
    <w:p w:rsidR="00F82D56" w:rsidRDefault="00527BE3" w:rsidP="00AB7E2E">
      <w:r w:rsidRPr="00F82D56">
        <w:rPr>
          <w:lang w:val="en-CA"/>
        </w:rPr>
        <w:t xml:space="preserve">The positions of plot centers </w:t>
      </w:r>
      <w:r w:rsidR="00EF7666">
        <w:rPr>
          <w:lang w:val="en-CA"/>
        </w:rPr>
        <w:t>we</w:t>
      </w:r>
      <w:r w:rsidR="00643639">
        <w:rPr>
          <w:lang w:val="en-CA"/>
        </w:rPr>
        <w:t>re</w:t>
      </w:r>
      <w:r w:rsidRPr="00F82D56">
        <w:rPr>
          <w:lang w:val="en-CA"/>
        </w:rPr>
        <w:t xml:space="preserve"> subject to a rigorous QA by FAIB and failure to collect GPS raw data according to the specifications</w:t>
      </w:r>
      <w:r w:rsidR="001B17DC">
        <w:rPr>
          <w:lang w:val="en-CA"/>
        </w:rPr>
        <w:t xml:space="preserve"> </w:t>
      </w:r>
      <w:r w:rsidRPr="00F82D56">
        <w:rPr>
          <w:lang w:val="en-CA"/>
        </w:rPr>
        <w:t>result</w:t>
      </w:r>
      <w:r w:rsidR="00EF7666">
        <w:rPr>
          <w:lang w:val="en-CA"/>
        </w:rPr>
        <w:t>ed</w:t>
      </w:r>
      <w:r w:rsidRPr="00F82D56">
        <w:rPr>
          <w:lang w:val="en-CA"/>
        </w:rPr>
        <w:t xml:space="preserve"> in a complete rejection of the plot data.</w:t>
      </w:r>
    </w:p>
    <w:p w:rsidR="00AB7E2E" w:rsidRDefault="00AB7E2E" w:rsidP="00AB7E2E">
      <w:r>
        <w:t>Ground plot data were compiled at plot level using a customized procedure developed by the FAIB.</w:t>
      </w:r>
      <w:r w:rsidR="000627B6">
        <w:t xml:space="preserve"> Out of all the compiled plot level attributes, the following </w:t>
      </w:r>
      <w:r w:rsidR="00C8000B">
        <w:t xml:space="preserve">predicted variables are defined in </w:t>
      </w:r>
      <w:r w:rsidR="00643639">
        <w:fldChar w:fldCharType="begin"/>
      </w:r>
      <w:r w:rsidR="00643639">
        <w:instrText xml:space="preserve"> REF _Ref449438204 \h </w:instrText>
      </w:r>
      <w:r w:rsidR="00643639">
        <w:fldChar w:fldCharType="separate"/>
      </w:r>
      <w:r w:rsidR="00643639">
        <w:t xml:space="preserve">Table </w:t>
      </w:r>
      <w:r w:rsidR="00643639">
        <w:rPr>
          <w:noProof/>
        </w:rPr>
        <w:t>3</w:t>
      </w:r>
      <w:r w:rsidR="00643639">
        <w:fldChar w:fldCharType="end"/>
      </w:r>
      <w:r w:rsidR="00643639">
        <w:t>.</w:t>
      </w:r>
    </w:p>
    <w:p w:rsidR="00643639" w:rsidRDefault="00643639" w:rsidP="00AB7E2E"/>
    <w:p w:rsidR="000627B6" w:rsidRPr="000627B6" w:rsidRDefault="00643639" w:rsidP="00643639">
      <w:pPr>
        <w:pStyle w:val="NormalWeb"/>
      </w:pPr>
      <w:bookmarkStart w:id="17" w:name="_Ref449438204"/>
      <w:bookmarkStart w:id="18" w:name="_Toc449515868"/>
      <w:r>
        <w:t xml:space="preserve">Table </w:t>
      </w:r>
      <w:r>
        <w:fldChar w:fldCharType="begin"/>
      </w:r>
      <w:r>
        <w:instrText xml:space="preserve"> SEQ Table \* ARABIC </w:instrText>
      </w:r>
      <w:r>
        <w:fldChar w:fldCharType="separate"/>
      </w:r>
      <w:r w:rsidR="00EA6AA2">
        <w:rPr>
          <w:noProof/>
        </w:rPr>
        <w:t>3</w:t>
      </w:r>
      <w:r>
        <w:fldChar w:fldCharType="end"/>
      </w:r>
      <w:bookmarkEnd w:id="17"/>
      <w:r w:rsidRPr="00643639">
        <w:t xml:space="preserve"> </w:t>
      </w:r>
      <w:r>
        <w:t>Definitions of predicted variables</w:t>
      </w:r>
      <w:bookmarkEnd w:id="18"/>
    </w:p>
    <w:tbl>
      <w:tblPr>
        <w:tblStyle w:val="TableGrid1"/>
        <w:tblW w:w="8404" w:type="dxa"/>
        <w:tblLook w:val="04A0" w:firstRow="1" w:lastRow="0" w:firstColumn="1" w:lastColumn="0" w:noHBand="0" w:noVBand="1"/>
      </w:tblPr>
      <w:tblGrid>
        <w:gridCol w:w="1164"/>
        <w:gridCol w:w="864"/>
        <w:gridCol w:w="1048"/>
        <w:gridCol w:w="5328"/>
      </w:tblGrid>
      <w:tr w:rsidR="000627B6" w:rsidRPr="000627B6" w:rsidTr="00FF2F1B">
        <w:trPr>
          <w:tblHeader/>
        </w:trPr>
        <w:tc>
          <w:tcPr>
            <w:tcW w:w="1164" w:type="dxa"/>
          </w:tcPr>
          <w:p w:rsidR="000627B6" w:rsidRPr="000627B6" w:rsidRDefault="000627B6" w:rsidP="000627B6">
            <w:pPr>
              <w:spacing w:before="0"/>
              <w:rPr>
                <w:rFonts w:asciiTheme="minorHAnsi" w:hAnsiTheme="minorHAnsi"/>
              </w:rPr>
            </w:pPr>
            <w:r w:rsidRPr="000627B6">
              <w:rPr>
                <w:rFonts w:asciiTheme="minorHAnsi" w:hAnsiTheme="minorHAnsi"/>
              </w:rPr>
              <w:t>Variable name</w:t>
            </w:r>
          </w:p>
        </w:tc>
        <w:tc>
          <w:tcPr>
            <w:tcW w:w="864" w:type="dxa"/>
          </w:tcPr>
          <w:p w:rsidR="000627B6" w:rsidRPr="000627B6" w:rsidRDefault="000627B6" w:rsidP="000627B6">
            <w:pPr>
              <w:spacing w:before="0"/>
              <w:rPr>
                <w:rFonts w:asciiTheme="minorHAnsi" w:hAnsiTheme="minorHAnsi"/>
              </w:rPr>
            </w:pPr>
            <w:r w:rsidRPr="000627B6">
              <w:rPr>
                <w:rFonts w:asciiTheme="minorHAnsi" w:hAnsiTheme="minorHAnsi"/>
              </w:rPr>
              <w:t>Units</w:t>
            </w:r>
          </w:p>
        </w:tc>
        <w:tc>
          <w:tcPr>
            <w:tcW w:w="1048" w:type="dxa"/>
          </w:tcPr>
          <w:p w:rsidR="000627B6" w:rsidRPr="000627B6" w:rsidRDefault="000627B6" w:rsidP="000627B6">
            <w:pPr>
              <w:spacing w:before="0"/>
              <w:rPr>
                <w:rFonts w:asciiTheme="minorHAnsi" w:hAnsiTheme="minorHAnsi"/>
              </w:rPr>
            </w:pPr>
            <w:r w:rsidRPr="000627B6">
              <w:rPr>
                <w:rFonts w:asciiTheme="minorHAnsi" w:hAnsiTheme="minorHAnsi"/>
              </w:rPr>
              <w:t>Utilization</w:t>
            </w:r>
          </w:p>
        </w:tc>
        <w:tc>
          <w:tcPr>
            <w:tcW w:w="5328" w:type="dxa"/>
          </w:tcPr>
          <w:p w:rsidR="000627B6" w:rsidRPr="000627B6" w:rsidRDefault="000627B6" w:rsidP="000627B6">
            <w:pPr>
              <w:spacing w:before="0"/>
              <w:rPr>
                <w:rFonts w:asciiTheme="minorHAnsi" w:hAnsiTheme="minorHAnsi"/>
              </w:rPr>
            </w:pPr>
            <w:r w:rsidRPr="000627B6">
              <w:rPr>
                <w:rFonts w:asciiTheme="minorHAnsi" w:hAnsiTheme="minorHAnsi"/>
              </w:rPr>
              <w:t>Description</w:t>
            </w:r>
          </w:p>
        </w:tc>
      </w:tr>
      <w:tr w:rsidR="000627B6" w:rsidRPr="000627B6" w:rsidTr="00FF2F1B">
        <w:trPr>
          <w:trHeight w:val="278"/>
        </w:trPr>
        <w:tc>
          <w:tcPr>
            <w:tcW w:w="1164" w:type="dxa"/>
          </w:tcPr>
          <w:p w:rsidR="000627B6" w:rsidRPr="000627B6" w:rsidRDefault="000627B6" w:rsidP="000627B6">
            <w:pPr>
              <w:spacing w:before="0"/>
              <w:rPr>
                <w:rFonts w:asciiTheme="minorHAnsi" w:hAnsiTheme="minorHAnsi"/>
              </w:rPr>
            </w:pPr>
            <w:proofErr w:type="spellStart"/>
            <w:r w:rsidRPr="000627B6">
              <w:rPr>
                <w:rFonts w:asciiTheme="minorHAnsi" w:hAnsiTheme="minorHAnsi"/>
                <w:color w:val="000000"/>
              </w:rPr>
              <w:t>Ba_Ha</w:t>
            </w:r>
            <w:proofErr w:type="spellEnd"/>
            <w:r w:rsidRPr="000627B6">
              <w:rPr>
                <w:rFonts w:asciiTheme="minorHAnsi" w:hAnsiTheme="minorHAnsi"/>
                <w:color w:val="000000"/>
              </w:rPr>
              <w:t xml:space="preserve"> </w:t>
            </w:r>
          </w:p>
        </w:tc>
        <w:tc>
          <w:tcPr>
            <w:tcW w:w="864" w:type="dxa"/>
          </w:tcPr>
          <w:p w:rsidR="000627B6" w:rsidRPr="000627B6" w:rsidRDefault="000627B6" w:rsidP="000627B6">
            <w:pPr>
              <w:spacing w:before="0"/>
              <w:rPr>
                <w:rFonts w:asciiTheme="minorHAnsi" w:hAnsiTheme="minorHAnsi"/>
              </w:rPr>
            </w:pPr>
            <w:r w:rsidRPr="000627B6">
              <w:rPr>
                <w:rFonts w:asciiTheme="minorHAnsi" w:hAnsiTheme="minorHAnsi"/>
                <w:color w:val="000000"/>
              </w:rPr>
              <w:t>m</w:t>
            </w:r>
            <w:r w:rsidRPr="000627B6">
              <w:rPr>
                <w:rFonts w:asciiTheme="minorHAnsi" w:hAnsiTheme="minorHAnsi"/>
                <w:color w:val="000000"/>
                <w:vertAlign w:val="superscript"/>
              </w:rPr>
              <w:t>2</w:t>
            </w:r>
            <w:r w:rsidRPr="000627B6">
              <w:rPr>
                <w:rFonts w:asciiTheme="minorHAnsi" w:hAnsiTheme="minorHAnsi"/>
                <w:color w:val="000000"/>
              </w:rPr>
              <w:t xml:space="preserve">/ha </w:t>
            </w:r>
          </w:p>
        </w:tc>
        <w:tc>
          <w:tcPr>
            <w:tcW w:w="1048" w:type="dxa"/>
          </w:tcPr>
          <w:p w:rsidR="000627B6" w:rsidRPr="000627B6" w:rsidRDefault="000627B6" w:rsidP="000627B6">
            <w:pPr>
              <w:spacing w:before="0"/>
              <w:rPr>
                <w:rFonts w:asciiTheme="minorHAnsi" w:hAnsiTheme="minorHAnsi"/>
                <w:color w:val="000000"/>
              </w:rPr>
            </w:pPr>
            <w:r w:rsidRPr="000627B6">
              <w:rPr>
                <w:rFonts w:asciiTheme="minorHAnsi" w:hAnsiTheme="minorHAnsi"/>
                <w:color w:val="000000"/>
              </w:rPr>
              <w:t>4.0 cm</w:t>
            </w:r>
          </w:p>
        </w:tc>
        <w:tc>
          <w:tcPr>
            <w:tcW w:w="5328" w:type="dxa"/>
          </w:tcPr>
          <w:p w:rsidR="000627B6" w:rsidRPr="000627B6" w:rsidRDefault="000627B6" w:rsidP="000627B6">
            <w:pPr>
              <w:spacing w:before="0"/>
              <w:rPr>
                <w:rFonts w:asciiTheme="minorHAnsi" w:hAnsiTheme="minorHAnsi"/>
              </w:rPr>
            </w:pPr>
            <w:r w:rsidRPr="000627B6">
              <w:rPr>
                <w:rFonts w:asciiTheme="minorHAnsi" w:hAnsiTheme="minorHAnsi"/>
                <w:color w:val="000000"/>
              </w:rPr>
              <w:t>Basal Area/Ha  of live trees</w:t>
            </w:r>
          </w:p>
        </w:tc>
      </w:tr>
      <w:tr w:rsidR="000627B6" w:rsidRPr="000627B6" w:rsidTr="00FF2F1B">
        <w:tc>
          <w:tcPr>
            <w:tcW w:w="1164" w:type="dxa"/>
          </w:tcPr>
          <w:p w:rsidR="000627B6" w:rsidRPr="000627B6" w:rsidRDefault="000627B6" w:rsidP="000627B6">
            <w:pPr>
              <w:spacing w:before="0"/>
              <w:rPr>
                <w:rFonts w:asciiTheme="minorHAnsi" w:hAnsiTheme="minorHAnsi"/>
              </w:rPr>
            </w:pPr>
            <w:r w:rsidRPr="000627B6">
              <w:rPr>
                <w:rFonts w:asciiTheme="minorHAnsi" w:hAnsiTheme="minorHAnsi"/>
                <w:color w:val="000000"/>
              </w:rPr>
              <w:t xml:space="preserve">DQ </w:t>
            </w:r>
          </w:p>
        </w:tc>
        <w:tc>
          <w:tcPr>
            <w:tcW w:w="864" w:type="dxa"/>
          </w:tcPr>
          <w:p w:rsidR="000627B6" w:rsidRPr="000627B6" w:rsidRDefault="000627B6" w:rsidP="000627B6">
            <w:pPr>
              <w:spacing w:before="0"/>
              <w:rPr>
                <w:rFonts w:asciiTheme="minorHAnsi" w:hAnsiTheme="minorHAnsi"/>
              </w:rPr>
            </w:pPr>
            <w:r w:rsidRPr="000627B6">
              <w:rPr>
                <w:rFonts w:asciiTheme="minorHAnsi" w:hAnsiTheme="minorHAnsi"/>
                <w:color w:val="000000"/>
              </w:rPr>
              <w:t xml:space="preserve">cm </w:t>
            </w:r>
          </w:p>
        </w:tc>
        <w:tc>
          <w:tcPr>
            <w:tcW w:w="1048" w:type="dxa"/>
          </w:tcPr>
          <w:p w:rsidR="000627B6" w:rsidRPr="000627B6" w:rsidRDefault="000627B6" w:rsidP="000627B6">
            <w:pPr>
              <w:spacing w:before="0"/>
              <w:rPr>
                <w:rFonts w:asciiTheme="minorHAnsi" w:hAnsiTheme="minorHAnsi"/>
                <w:color w:val="000000"/>
              </w:rPr>
            </w:pPr>
            <w:r w:rsidRPr="000627B6">
              <w:rPr>
                <w:rFonts w:asciiTheme="minorHAnsi" w:hAnsiTheme="minorHAnsi"/>
                <w:color w:val="000000"/>
              </w:rPr>
              <w:t>4.0 cm</w:t>
            </w:r>
          </w:p>
        </w:tc>
        <w:tc>
          <w:tcPr>
            <w:tcW w:w="5328" w:type="dxa"/>
          </w:tcPr>
          <w:p w:rsidR="000627B6" w:rsidRPr="000627B6" w:rsidRDefault="000627B6" w:rsidP="000627B6">
            <w:pPr>
              <w:spacing w:before="0"/>
              <w:rPr>
                <w:rFonts w:asciiTheme="minorHAnsi" w:hAnsiTheme="minorHAnsi"/>
                <w:color w:val="000000"/>
              </w:rPr>
            </w:pPr>
            <w:r w:rsidRPr="000627B6">
              <w:rPr>
                <w:rFonts w:asciiTheme="minorHAnsi" w:hAnsiTheme="minorHAnsi"/>
                <w:color w:val="000000"/>
              </w:rPr>
              <w:t xml:space="preserve">Quadratic mean </w:t>
            </w:r>
            <w:proofErr w:type="spellStart"/>
            <w:r w:rsidRPr="000627B6">
              <w:rPr>
                <w:rFonts w:asciiTheme="minorHAnsi" w:hAnsiTheme="minorHAnsi"/>
                <w:color w:val="000000"/>
              </w:rPr>
              <w:t>Dbh</w:t>
            </w:r>
            <w:proofErr w:type="spellEnd"/>
            <w:r w:rsidRPr="000627B6">
              <w:rPr>
                <w:rFonts w:asciiTheme="minorHAnsi" w:hAnsiTheme="minorHAnsi"/>
                <w:color w:val="000000"/>
              </w:rPr>
              <w:t xml:space="preserve">  of live trees</w:t>
            </w:r>
          </w:p>
          <w:p w:rsidR="000627B6" w:rsidRPr="000627B6" w:rsidRDefault="000627B6" w:rsidP="000627B6">
            <w:pPr>
              <w:spacing w:before="0"/>
              <w:rPr>
                <w:rFonts w:asciiTheme="minorHAnsi" w:hAnsiTheme="minorHAnsi"/>
              </w:rPr>
            </w:pPr>
            <w:r w:rsidRPr="000627B6">
              <w:rPr>
                <w:rFonts w:asciiTheme="minorHAnsi" w:hAnsiTheme="minorHAnsi"/>
                <w:color w:val="000000"/>
              </w:rPr>
              <w:t xml:space="preserve">Calculated as </w:t>
            </w:r>
            <w:proofErr w:type="spellStart"/>
            <w:proofErr w:type="gramStart"/>
            <w:r w:rsidRPr="000627B6">
              <w:rPr>
                <w:rFonts w:asciiTheme="minorHAnsi" w:hAnsiTheme="minorHAnsi"/>
                <w:color w:val="000000"/>
              </w:rPr>
              <w:t>sqrt</w:t>
            </w:r>
            <w:proofErr w:type="spellEnd"/>
            <w:r w:rsidRPr="000627B6">
              <w:rPr>
                <w:rFonts w:asciiTheme="minorHAnsi" w:hAnsiTheme="minorHAnsi"/>
                <w:color w:val="000000"/>
              </w:rPr>
              <w:t>(</w:t>
            </w:r>
            <w:proofErr w:type="gramEnd"/>
            <w:r w:rsidRPr="000627B6">
              <w:rPr>
                <w:rFonts w:asciiTheme="minorHAnsi" w:hAnsiTheme="minorHAnsi"/>
                <w:color w:val="000000"/>
              </w:rPr>
              <w:t>BA/TPH/0.00007854).</w:t>
            </w:r>
          </w:p>
        </w:tc>
      </w:tr>
      <w:tr w:rsidR="000627B6" w:rsidRPr="000627B6" w:rsidTr="00FF2F1B">
        <w:tc>
          <w:tcPr>
            <w:tcW w:w="1164" w:type="dxa"/>
          </w:tcPr>
          <w:p w:rsidR="000627B6" w:rsidRPr="000627B6" w:rsidRDefault="000627B6" w:rsidP="000627B6">
            <w:pPr>
              <w:spacing w:before="0"/>
              <w:rPr>
                <w:rFonts w:asciiTheme="minorHAnsi" w:hAnsiTheme="minorHAnsi"/>
              </w:rPr>
            </w:pPr>
            <w:proofErr w:type="spellStart"/>
            <w:r w:rsidRPr="000627B6">
              <w:rPr>
                <w:rFonts w:asciiTheme="minorHAnsi" w:hAnsiTheme="minorHAnsi"/>
                <w:color w:val="000000"/>
              </w:rPr>
              <w:t>Vht_Wsv</w:t>
            </w:r>
            <w:proofErr w:type="spellEnd"/>
            <w:r w:rsidRPr="000627B6">
              <w:rPr>
                <w:rFonts w:asciiTheme="minorHAnsi" w:hAnsiTheme="minorHAnsi"/>
                <w:color w:val="000000"/>
              </w:rPr>
              <w:t xml:space="preserve"> </w:t>
            </w:r>
          </w:p>
        </w:tc>
        <w:tc>
          <w:tcPr>
            <w:tcW w:w="864" w:type="dxa"/>
          </w:tcPr>
          <w:p w:rsidR="000627B6" w:rsidRPr="000627B6" w:rsidRDefault="000627B6" w:rsidP="000627B6">
            <w:pPr>
              <w:spacing w:before="0"/>
              <w:rPr>
                <w:rFonts w:asciiTheme="minorHAnsi" w:hAnsiTheme="minorHAnsi"/>
              </w:rPr>
            </w:pPr>
            <w:r w:rsidRPr="000627B6">
              <w:rPr>
                <w:rFonts w:asciiTheme="minorHAnsi" w:hAnsiTheme="minorHAnsi"/>
                <w:color w:val="000000"/>
              </w:rPr>
              <w:t>m</w:t>
            </w:r>
            <w:r w:rsidRPr="000627B6">
              <w:rPr>
                <w:rFonts w:asciiTheme="minorHAnsi" w:hAnsiTheme="minorHAnsi"/>
                <w:color w:val="000000"/>
                <w:vertAlign w:val="superscript"/>
              </w:rPr>
              <w:t>2</w:t>
            </w:r>
            <w:r w:rsidRPr="000627B6">
              <w:rPr>
                <w:rFonts w:asciiTheme="minorHAnsi" w:hAnsiTheme="minorHAnsi"/>
                <w:color w:val="000000"/>
              </w:rPr>
              <w:t>/ha</w:t>
            </w:r>
          </w:p>
        </w:tc>
        <w:tc>
          <w:tcPr>
            <w:tcW w:w="1048" w:type="dxa"/>
          </w:tcPr>
          <w:p w:rsidR="000627B6" w:rsidRPr="000627B6" w:rsidRDefault="000627B6" w:rsidP="000627B6">
            <w:pPr>
              <w:spacing w:before="0"/>
              <w:rPr>
                <w:rFonts w:asciiTheme="minorHAnsi" w:hAnsiTheme="minorHAnsi"/>
                <w:color w:val="000000"/>
              </w:rPr>
            </w:pPr>
            <w:r w:rsidRPr="000627B6">
              <w:rPr>
                <w:rFonts w:asciiTheme="minorHAnsi" w:hAnsiTheme="minorHAnsi"/>
                <w:color w:val="000000"/>
              </w:rPr>
              <w:t>4.0 cm</w:t>
            </w:r>
          </w:p>
        </w:tc>
        <w:tc>
          <w:tcPr>
            <w:tcW w:w="5328" w:type="dxa"/>
          </w:tcPr>
          <w:p w:rsidR="000627B6" w:rsidRPr="000627B6" w:rsidRDefault="000627B6" w:rsidP="000627B6">
            <w:pPr>
              <w:spacing w:before="0"/>
              <w:rPr>
                <w:rFonts w:asciiTheme="minorHAnsi" w:hAnsiTheme="minorHAnsi"/>
                <w:color w:val="000000"/>
              </w:rPr>
            </w:pPr>
            <w:r w:rsidRPr="000627B6">
              <w:rPr>
                <w:rFonts w:asciiTheme="minorHAnsi" w:hAnsiTheme="minorHAnsi"/>
                <w:color w:val="000000"/>
              </w:rPr>
              <w:t>Whole stem volume/ha of live trees</w:t>
            </w:r>
          </w:p>
        </w:tc>
      </w:tr>
      <w:tr w:rsidR="000627B6" w:rsidRPr="000627B6" w:rsidTr="00FF2F1B">
        <w:tc>
          <w:tcPr>
            <w:tcW w:w="1164" w:type="dxa"/>
          </w:tcPr>
          <w:p w:rsidR="000627B6" w:rsidRPr="000627B6" w:rsidRDefault="000627B6" w:rsidP="000627B6">
            <w:pPr>
              <w:spacing w:before="0"/>
              <w:rPr>
                <w:rFonts w:asciiTheme="minorHAnsi" w:hAnsiTheme="minorHAnsi"/>
              </w:rPr>
            </w:pPr>
            <w:proofErr w:type="spellStart"/>
            <w:r w:rsidRPr="000627B6">
              <w:rPr>
                <w:rFonts w:asciiTheme="minorHAnsi" w:hAnsiTheme="minorHAnsi"/>
                <w:color w:val="000000"/>
              </w:rPr>
              <w:t>Vha_nwd</w:t>
            </w:r>
            <w:proofErr w:type="spellEnd"/>
            <w:r w:rsidRPr="000627B6">
              <w:rPr>
                <w:rFonts w:asciiTheme="minorHAnsi" w:hAnsiTheme="minorHAnsi"/>
                <w:color w:val="000000"/>
              </w:rPr>
              <w:t xml:space="preserve"> </w:t>
            </w:r>
          </w:p>
        </w:tc>
        <w:tc>
          <w:tcPr>
            <w:tcW w:w="864" w:type="dxa"/>
          </w:tcPr>
          <w:p w:rsidR="000627B6" w:rsidRPr="000627B6" w:rsidRDefault="000627B6" w:rsidP="000627B6">
            <w:pPr>
              <w:spacing w:before="0"/>
            </w:pPr>
            <w:r w:rsidRPr="000627B6">
              <w:rPr>
                <w:rFonts w:asciiTheme="minorHAnsi" w:hAnsiTheme="minorHAnsi"/>
                <w:color w:val="000000"/>
              </w:rPr>
              <w:t>m</w:t>
            </w:r>
            <w:r w:rsidRPr="000627B6">
              <w:rPr>
                <w:rFonts w:asciiTheme="minorHAnsi" w:hAnsiTheme="minorHAnsi"/>
                <w:color w:val="000000"/>
                <w:vertAlign w:val="superscript"/>
              </w:rPr>
              <w:t>2</w:t>
            </w:r>
            <w:r w:rsidRPr="000627B6">
              <w:rPr>
                <w:rFonts w:asciiTheme="minorHAnsi" w:hAnsiTheme="minorHAnsi"/>
                <w:color w:val="000000"/>
              </w:rPr>
              <w:t>/ha</w:t>
            </w:r>
          </w:p>
        </w:tc>
        <w:tc>
          <w:tcPr>
            <w:tcW w:w="1048" w:type="dxa"/>
          </w:tcPr>
          <w:p w:rsidR="000627B6" w:rsidRPr="000627B6" w:rsidRDefault="000627B6" w:rsidP="000627B6">
            <w:pPr>
              <w:spacing w:before="0"/>
              <w:rPr>
                <w:rFonts w:asciiTheme="minorHAnsi" w:hAnsiTheme="minorHAnsi"/>
                <w:color w:val="000000"/>
              </w:rPr>
            </w:pPr>
            <w:r w:rsidRPr="000627B6">
              <w:rPr>
                <w:rFonts w:asciiTheme="minorHAnsi" w:hAnsiTheme="minorHAnsi"/>
                <w:color w:val="000000"/>
              </w:rPr>
              <w:t>4.0 cm</w:t>
            </w:r>
          </w:p>
        </w:tc>
        <w:tc>
          <w:tcPr>
            <w:tcW w:w="5328" w:type="dxa"/>
          </w:tcPr>
          <w:p w:rsidR="000627B6" w:rsidRPr="000627B6" w:rsidRDefault="000627B6" w:rsidP="000627B6">
            <w:pPr>
              <w:spacing w:before="0"/>
              <w:rPr>
                <w:rFonts w:asciiTheme="minorHAnsi" w:hAnsiTheme="minorHAnsi"/>
                <w:color w:val="000000"/>
              </w:rPr>
            </w:pPr>
            <w:r w:rsidRPr="000627B6">
              <w:rPr>
                <w:rFonts w:asciiTheme="minorHAnsi" w:hAnsiTheme="minorHAnsi"/>
                <w:color w:val="000000"/>
              </w:rPr>
              <w:t xml:space="preserve">Whole stem volume/ha of dead trees </w:t>
            </w:r>
          </w:p>
        </w:tc>
      </w:tr>
      <w:tr w:rsidR="000627B6" w:rsidRPr="000627B6" w:rsidTr="00FF2F1B">
        <w:tc>
          <w:tcPr>
            <w:tcW w:w="1164" w:type="dxa"/>
          </w:tcPr>
          <w:p w:rsidR="000627B6" w:rsidRPr="000627B6" w:rsidRDefault="000627B6" w:rsidP="000627B6">
            <w:pPr>
              <w:spacing w:before="0"/>
              <w:rPr>
                <w:rFonts w:asciiTheme="minorHAnsi" w:hAnsiTheme="minorHAnsi"/>
                <w:color w:val="000000"/>
              </w:rPr>
            </w:pPr>
            <w:proofErr w:type="spellStart"/>
            <w:r w:rsidRPr="000627B6">
              <w:rPr>
                <w:rFonts w:asciiTheme="minorHAnsi" w:hAnsiTheme="minorHAnsi"/>
                <w:color w:val="000000"/>
              </w:rPr>
              <w:lastRenderedPageBreak/>
              <w:t>Vol_nwb</w:t>
            </w:r>
            <w:proofErr w:type="spellEnd"/>
          </w:p>
        </w:tc>
        <w:tc>
          <w:tcPr>
            <w:tcW w:w="864" w:type="dxa"/>
          </w:tcPr>
          <w:p w:rsidR="000627B6" w:rsidRPr="000627B6" w:rsidRDefault="000627B6" w:rsidP="000627B6">
            <w:pPr>
              <w:spacing w:before="0"/>
            </w:pPr>
            <w:r w:rsidRPr="000627B6">
              <w:rPr>
                <w:rFonts w:asciiTheme="minorHAnsi" w:hAnsiTheme="minorHAnsi"/>
                <w:color w:val="000000"/>
              </w:rPr>
              <w:t>m</w:t>
            </w:r>
            <w:r w:rsidRPr="000627B6">
              <w:rPr>
                <w:rFonts w:asciiTheme="minorHAnsi" w:hAnsiTheme="minorHAnsi"/>
                <w:color w:val="000000"/>
                <w:vertAlign w:val="superscript"/>
              </w:rPr>
              <w:t>2</w:t>
            </w:r>
            <w:r w:rsidRPr="000627B6">
              <w:rPr>
                <w:rFonts w:asciiTheme="minorHAnsi" w:hAnsiTheme="minorHAnsi"/>
                <w:color w:val="000000"/>
              </w:rPr>
              <w:t>/ha</w:t>
            </w:r>
          </w:p>
        </w:tc>
        <w:tc>
          <w:tcPr>
            <w:tcW w:w="1048" w:type="dxa"/>
          </w:tcPr>
          <w:p w:rsidR="000627B6" w:rsidRPr="000627B6" w:rsidRDefault="000627B6" w:rsidP="000627B6">
            <w:pPr>
              <w:spacing w:before="0"/>
              <w:rPr>
                <w:rFonts w:asciiTheme="minorHAnsi" w:hAnsiTheme="minorHAnsi"/>
                <w:color w:val="000000"/>
              </w:rPr>
            </w:pPr>
            <w:r w:rsidRPr="000627B6">
              <w:rPr>
                <w:rFonts w:asciiTheme="minorHAnsi" w:hAnsiTheme="minorHAnsi"/>
                <w:color w:val="000000"/>
              </w:rPr>
              <w:t>12.5 cm</w:t>
            </w:r>
          </w:p>
        </w:tc>
        <w:tc>
          <w:tcPr>
            <w:tcW w:w="5328" w:type="dxa"/>
          </w:tcPr>
          <w:p w:rsidR="000627B6" w:rsidRPr="000627B6" w:rsidRDefault="000627B6" w:rsidP="000627B6">
            <w:pPr>
              <w:spacing w:before="0"/>
              <w:rPr>
                <w:color w:val="000000"/>
              </w:rPr>
            </w:pPr>
            <w:r w:rsidRPr="000627B6">
              <w:rPr>
                <w:color w:val="000000"/>
              </w:rPr>
              <w:t>Net merchantable stem volume. Whole stem volume net of stump and top, Cruiser Decay, Waste and Breakage</w:t>
            </w:r>
          </w:p>
        </w:tc>
      </w:tr>
      <w:tr w:rsidR="000627B6" w:rsidRPr="000627B6" w:rsidTr="00FF2F1B">
        <w:tc>
          <w:tcPr>
            <w:tcW w:w="1164" w:type="dxa"/>
          </w:tcPr>
          <w:p w:rsidR="000627B6" w:rsidRPr="000627B6" w:rsidRDefault="000627B6" w:rsidP="000627B6">
            <w:pPr>
              <w:spacing w:before="0"/>
              <w:rPr>
                <w:rFonts w:asciiTheme="minorHAnsi" w:hAnsiTheme="minorHAnsi"/>
              </w:rPr>
            </w:pPr>
            <w:proofErr w:type="spellStart"/>
            <w:r w:rsidRPr="000627B6">
              <w:rPr>
                <w:color w:val="000000"/>
              </w:rPr>
              <w:t>ht_lor_l</w:t>
            </w:r>
            <w:proofErr w:type="spellEnd"/>
          </w:p>
        </w:tc>
        <w:tc>
          <w:tcPr>
            <w:tcW w:w="864" w:type="dxa"/>
          </w:tcPr>
          <w:p w:rsidR="000627B6" w:rsidRPr="000627B6" w:rsidRDefault="000627B6" w:rsidP="000627B6">
            <w:pPr>
              <w:spacing w:before="0"/>
              <w:rPr>
                <w:rFonts w:asciiTheme="minorHAnsi" w:hAnsiTheme="minorHAnsi"/>
                <w:color w:val="000000"/>
              </w:rPr>
            </w:pPr>
            <w:r w:rsidRPr="000627B6">
              <w:t>M</w:t>
            </w:r>
          </w:p>
        </w:tc>
        <w:tc>
          <w:tcPr>
            <w:tcW w:w="1048" w:type="dxa"/>
          </w:tcPr>
          <w:p w:rsidR="000627B6" w:rsidRPr="000627B6" w:rsidRDefault="000627B6" w:rsidP="000627B6">
            <w:pPr>
              <w:spacing w:before="0"/>
              <w:rPr>
                <w:rFonts w:asciiTheme="minorHAnsi" w:hAnsiTheme="minorHAnsi"/>
                <w:color w:val="000000"/>
              </w:rPr>
            </w:pPr>
            <w:r w:rsidRPr="000627B6">
              <w:rPr>
                <w:rFonts w:asciiTheme="minorHAnsi" w:hAnsiTheme="minorHAnsi"/>
                <w:color w:val="000000"/>
              </w:rPr>
              <w:t>4.0 cm</w:t>
            </w:r>
          </w:p>
        </w:tc>
        <w:tc>
          <w:tcPr>
            <w:tcW w:w="5328" w:type="dxa"/>
          </w:tcPr>
          <w:p w:rsidR="000627B6" w:rsidRPr="000627B6" w:rsidRDefault="000627B6" w:rsidP="000627B6">
            <w:pPr>
              <w:spacing w:before="0"/>
              <w:rPr>
                <w:color w:val="000000"/>
              </w:rPr>
            </w:pPr>
            <w:proofErr w:type="spellStart"/>
            <w:r w:rsidRPr="000627B6">
              <w:rPr>
                <w:color w:val="000000"/>
              </w:rPr>
              <w:t>lorey</w:t>
            </w:r>
            <w:proofErr w:type="spellEnd"/>
            <w:r w:rsidRPr="000627B6">
              <w:rPr>
                <w:color w:val="000000"/>
              </w:rPr>
              <w:t xml:space="preserve"> height live trees</w:t>
            </w:r>
          </w:p>
          <w:p w:rsidR="000627B6" w:rsidRPr="000627B6" w:rsidRDefault="000627B6" w:rsidP="000627B6">
            <w:pPr>
              <w:spacing w:before="0"/>
              <w:rPr>
                <w:rFonts w:asciiTheme="minorHAnsi" w:hAnsiTheme="minorHAnsi"/>
                <w:color w:val="000000"/>
              </w:rPr>
            </w:pPr>
            <w:r w:rsidRPr="000627B6">
              <w:rPr>
                <w:color w:val="000000"/>
              </w:rPr>
              <w:t>The basal area-weighted average height</w:t>
            </w:r>
          </w:p>
        </w:tc>
      </w:tr>
    </w:tbl>
    <w:p w:rsidR="007B116A" w:rsidRDefault="003605EB" w:rsidP="007B116A">
      <w:pPr>
        <w:pStyle w:val="Heading2"/>
        <w:rPr>
          <w:lang w:val="en-CA"/>
        </w:rPr>
      </w:pPr>
      <w:bookmarkStart w:id="19" w:name="_Toc449596354"/>
      <w:r>
        <w:rPr>
          <w:lang w:val="en-CA"/>
        </w:rPr>
        <w:t xml:space="preserve">LiDAR </w:t>
      </w:r>
      <w:r w:rsidR="00EF5485">
        <w:rPr>
          <w:lang w:val="en-CA"/>
        </w:rPr>
        <w:t xml:space="preserve">Data QA, </w:t>
      </w:r>
      <w:r>
        <w:rPr>
          <w:lang w:val="en-CA"/>
        </w:rPr>
        <w:t>Canopy</w:t>
      </w:r>
      <w:r w:rsidR="000627B6">
        <w:rPr>
          <w:lang w:val="en-CA"/>
        </w:rPr>
        <w:t xml:space="preserve"> </w:t>
      </w:r>
      <w:r w:rsidR="00643639">
        <w:rPr>
          <w:lang w:val="en-CA"/>
        </w:rPr>
        <w:t>Height</w:t>
      </w:r>
      <w:r w:rsidR="001B17DC">
        <w:rPr>
          <w:lang w:val="en-CA"/>
        </w:rPr>
        <w:t xml:space="preserve"> Model</w:t>
      </w:r>
      <w:r w:rsidR="00EF5485">
        <w:rPr>
          <w:lang w:val="en-CA"/>
        </w:rPr>
        <w:t xml:space="preserve"> and Height/</w:t>
      </w:r>
      <w:r w:rsidR="00643639">
        <w:rPr>
          <w:lang w:val="en-CA"/>
        </w:rPr>
        <w:t xml:space="preserve">Density </w:t>
      </w:r>
      <w:r>
        <w:rPr>
          <w:lang w:val="en-CA"/>
        </w:rPr>
        <w:t>Metrics</w:t>
      </w:r>
      <w:bookmarkEnd w:id="19"/>
    </w:p>
    <w:p w:rsidR="00F66E74" w:rsidRDefault="00F66E74" w:rsidP="00F66E74">
      <w:r>
        <w:t xml:space="preserve">LiDAR point clouds are geometrically complex, and rarely, if ever, error free due to the multitude of processing steps (e.g., geometric calibration, geo-referencing, noise removal, feature classification, etc.) imposed on the raw LiDAR points prior to delivery. Post-processing workflows developed by LiDAR data analysts and application specialists to extract other derivative products from the point cloud may unknowingly further expand the breadth and severity of data errors and artifacts, especially if these original errors go undetected. LiDAR point clouds often contain billions of three-dimensional (3-D) points, split among several hundreds or thousands of spatially discrete tiles, and therefore </w:t>
      </w:r>
      <w:r w:rsidR="002C1CB6">
        <w:t xml:space="preserve">are </w:t>
      </w:r>
      <w:r>
        <w:t xml:space="preserve">difficult to screen without expensive specialty software and the help of several experienced analysts. There are, however, several ways to rapidly screen these point clouds using a few </w:t>
      </w:r>
      <w:r w:rsidR="002C1CB6">
        <w:t xml:space="preserve">basic </w:t>
      </w:r>
      <w:r>
        <w:t xml:space="preserve">steps. </w:t>
      </w:r>
    </w:p>
    <w:p w:rsidR="00F66E74" w:rsidRDefault="00F66E74" w:rsidP="00F66E74">
      <w:r>
        <w:t xml:space="preserve">LiDAR point clouds may consist of several billion three-dimensional (3-D) points, along with other associated attribute data, such as backscatter intensity, scan angle, return number, GPS time, etc. Point clouds are also necessarily partitioned into hundreds or thousands of non-overlapping spatially discrete tiles in an effort to ease data handling, data archive, and post-processing workflows. Unless LiDAR datasets are well screened and well documented by the service provider, point clouds may contain nonstandard point classes and other encoded data flags, classification errors, height outliers, duplicate points, and other unusual or unexpected features. Furthermore, tile boundary shapes may be curvilinear rather rectilinear (e.g., British Columbia Geographic System map sheets), and therefore ill-suited to efficient metric extraction and rasterization when specific point inclusion-exclusion logic is required to avoid point duplication or loss, and when tile buffering is needed to eliminate data processing artifacts along tile edges. </w:t>
      </w:r>
    </w:p>
    <w:p w:rsidR="00F66E74" w:rsidRDefault="00F66E74" w:rsidP="00F66E74">
      <w:r>
        <w:t>Airborne LiDAR datasets are increasingly delivered by the service provider in a non-proprietary (public) file format, known as LAS, in an effort to standardize and ease the storage and exchange of 3-D point cloud data between users and across platforms. The LAS format is widely supported</w:t>
      </w:r>
      <w:r w:rsidR="002C1CB6">
        <w:t xml:space="preserve"> and open source</w:t>
      </w:r>
      <w:r w:rsidR="007D3321">
        <w:t xml:space="preserve">. </w:t>
      </w:r>
      <w:r>
        <w:t xml:space="preserve">Several of the major commercial LiDAR data processing software programs (e.g., ENVI LiDAR, </w:t>
      </w:r>
      <w:proofErr w:type="spellStart"/>
      <w:r>
        <w:t>LAStools</w:t>
      </w:r>
      <w:proofErr w:type="spellEnd"/>
      <w:r>
        <w:t xml:space="preserve">, MARS, </w:t>
      </w:r>
      <w:proofErr w:type="spellStart"/>
      <w:r>
        <w:t>Terrasolid</w:t>
      </w:r>
      <w:proofErr w:type="spellEnd"/>
      <w:r>
        <w:t xml:space="preserve">, etc.) support the LAS interchange file format. The LiDAR data processing workflows introduced in the section assume that the 3-D point cloud has been stored in LAS or LAZ (compressed) format. Also, due to the stipulated requirements of the contract, all workflows refer specifically to the use of public and commercial components of </w:t>
      </w:r>
      <w:proofErr w:type="spellStart"/>
      <w:r>
        <w:t>LAStools</w:t>
      </w:r>
      <w:proofErr w:type="spellEnd"/>
      <w:r>
        <w:t>, although these procedural steps and concepts could be easily extended to other software applications.</w:t>
      </w:r>
    </w:p>
    <w:p w:rsidR="00F66E74" w:rsidRDefault="00F66E74" w:rsidP="000C4AE1">
      <w:pPr>
        <w:rPr>
          <w:lang w:val="en-CA"/>
        </w:rPr>
      </w:pPr>
    </w:p>
    <w:p w:rsidR="000C4AE1" w:rsidRDefault="000627B6" w:rsidP="000C4AE1">
      <w:pPr>
        <w:rPr>
          <w:lang w:val="en-CA"/>
        </w:rPr>
      </w:pPr>
      <w:r>
        <w:rPr>
          <w:lang w:val="en-CA"/>
        </w:rPr>
        <w:t xml:space="preserve">After a quality check of the LiDAR point cloud data, a normalized tree canopy was created and a number of metrics were generated for an </w:t>
      </w:r>
      <w:r w:rsidR="009D6760">
        <w:rPr>
          <w:lang w:val="en-CA"/>
        </w:rPr>
        <w:t>grid cell of size 20m by 20m (0.04ha</w:t>
      </w:r>
      <w:r>
        <w:rPr>
          <w:lang w:val="en-CA"/>
        </w:rPr>
        <w:t>)</w:t>
      </w:r>
      <w:r w:rsidR="007D3321">
        <w:rPr>
          <w:lang w:val="en-CA"/>
        </w:rPr>
        <w:t xml:space="preserve"> using </w:t>
      </w:r>
      <w:proofErr w:type="spellStart"/>
      <w:r w:rsidR="007D3321">
        <w:rPr>
          <w:lang w:val="en-CA"/>
        </w:rPr>
        <w:t>LAStools</w:t>
      </w:r>
      <w:proofErr w:type="spellEnd"/>
      <w:r w:rsidR="007D3321">
        <w:rPr>
          <w:lang w:val="en-CA"/>
        </w:rPr>
        <w:t>, R statistical package and ESRI ArcGIS</w:t>
      </w:r>
      <w:r w:rsidR="009D6760">
        <w:rPr>
          <w:lang w:val="en-CA"/>
        </w:rPr>
        <w:t>.</w:t>
      </w:r>
    </w:p>
    <w:p w:rsidR="00C8000B" w:rsidRDefault="00C8000B" w:rsidP="00C8000B">
      <w:r>
        <w:t xml:space="preserve">The predictors derived from the LiDAR </w:t>
      </w:r>
      <w:r w:rsidRPr="000627B6">
        <w:t xml:space="preserve">metrics </w:t>
      </w:r>
      <w:r>
        <w:t>are defined in</w:t>
      </w:r>
      <w:bookmarkStart w:id="20" w:name="_Ref444159436"/>
      <w:bookmarkStart w:id="21" w:name="_Ref445232222"/>
      <w:r w:rsidR="00643639">
        <w:t xml:space="preserve"> </w:t>
      </w:r>
      <w:r w:rsidR="00643639">
        <w:fldChar w:fldCharType="begin"/>
      </w:r>
      <w:r w:rsidR="00643639">
        <w:instrText xml:space="preserve"> REF _Ref449438266 \h </w:instrText>
      </w:r>
      <w:r w:rsidR="00643639">
        <w:fldChar w:fldCharType="separate"/>
      </w:r>
      <w:r w:rsidR="00643639">
        <w:t xml:space="preserve">Table </w:t>
      </w:r>
      <w:r w:rsidR="00643639">
        <w:rPr>
          <w:noProof/>
        </w:rPr>
        <w:t>4</w:t>
      </w:r>
      <w:r w:rsidR="00643639">
        <w:fldChar w:fldCharType="end"/>
      </w:r>
      <w:r w:rsidR="009D6760">
        <w:t xml:space="preserve">. </w:t>
      </w:r>
      <w:r>
        <w:t>T</w:t>
      </w:r>
      <w:r w:rsidRPr="000627B6">
        <w:t>he height cutoff was 2.0 m.</w:t>
      </w:r>
      <w:bookmarkEnd w:id="20"/>
      <w:r w:rsidRPr="000627B6">
        <w:t xml:space="preserve">  The constant term </w:t>
      </w:r>
      <w:r w:rsidR="002C1CB6">
        <w:t>wa</w:t>
      </w:r>
      <w:r w:rsidRPr="000627B6">
        <w:t>s added to the variable value prior to logarithmic transformation.</w:t>
      </w:r>
      <w:bookmarkEnd w:id="21"/>
    </w:p>
    <w:p w:rsidR="00643639" w:rsidRDefault="00643639" w:rsidP="00C8000B"/>
    <w:p w:rsidR="00C8000B" w:rsidRDefault="00643639" w:rsidP="00643639">
      <w:pPr>
        <w:pStyle w:val="NormalWeb"/>
      </w:pPr>
      <w:bookmarkStart w:id="22" w:name="_Ref449438266"/>
      <w:bookmarkStart w:id="23" w:name="_Toc449515869"/>
      <w:r>
        <w:t xml:space="preserve">Table </w:t>
      </w:r>
      <w:r>
        <w:fldChar w:fldCharType="begin"/>
      </w:r>
      <w:r>
        <w:instrText xml:space="preserve"> SEQ Table \* ARABIC </w:instrText>
      </w:r>
      <w:r>
        <w:fldChar w:fldCharType="separate"/>
      </w:r>
      <w:r w:rsidR="00EA6AA2">
        <w:rPr>
          <w:noProof/>
        </w:rPr>
        <w:t>4</w:t>
      </w:r>
      <w:r>
        <w:fldChar w:fldCharType="end"/>
      </w:r>
      <w:bookmarkEnd w:id="22"/>
      <w:r w:rsidRPr="00643639">
        <w:t xml:space="preserve"> </w:t>
      </w:r>
      <w:r>
        <w:t>LiDAR predictors derived from the LiDAR canopy</w:t>
      </w:r>
      <w:bookmarkEnd w:id="23"/>
    </w:p>
    <w:tbl>
      <w:tblPr>
        <w:tblStyle w:val="TableGrid1"/>
        <w:tblW w:w="8034" w:type="dxa"/>
        <w:tblLook w:val="04A0" w:firstRow="1" w:lastRow="0" w:firstColumn="1" w:lastColumn="0" w:noHBand="0" w:noVBand="1"/>
      </w:tblPr>
      <w:tblGrid>
        <w:gridCol w:w="917"/>
        <w:gridCol w:w="6192"/>
        <w:gridCol w:w="925"/>
      </w:tblGrid>
      <w:tr w:rsidR="00C8000B" w:rsidRPr="000627B6" w:rsidTr="00FF2F1B">
        <w:trPr>
          <w:trHeight w:val="144"/>
          <w:tblHeader/>
        </w:trPr>
        <w:tc>
          <w:tcPr>
            <w:tcW w:w="917" w:type="dxa"/>
          </w:tcPr>
          <w:p w:rsidR="00C8000B" w:rsidRPr="000627B6" w:rsidRDefault="00C8000B" w:rsidP="00FF2F1B">
            <w:pPr>
              <w:spacing w:before="0"/>
            </w:pPr>
            <w:r w:rsidRPr="000627B6">
              <w:t>Variable</w:t>
            </w:r>
          </w:p>
        </w:tc>
        <w:tc>
          <w:tcPr>
            <w:tcW w:w="6192" w:type="dxa"/>
          </w:tcPr>
          <w:p w:rsidR="00C8000B" w:rsidRPr="000627B6" w:rsidRDefault="00C8000B" w:rsidP="00FF2F1B">
            <w:pPr>
              <w:spacing w:before="0"/>
            </w:pPr>
            <w:r w:rsidRPr="000627B6">
              <w:t>Definition</w:t>
            </w:r>
          </w:p>
        </w:tc>
        <w:tc>
          <w:tcPr>
            <w:tcW w:w="925" w:type="dxa"/>
          </w:tcPr>
          <w:p w:rsidR="00C8000B" w:rsidRPr="000627B6" w:rsidRDefault="00C8000B" w:rsidP="00FF2F1B">
            <w:pPr>
              <w:spacing w:before="0"/>
              <w:jc w:val="right"/>
            </w:pPr>
            <w:r w:rsidRPr="000627B6">
              <w:t>constant</w:t>
            </w:r>
          </w:p>
        </w:tc>
      </w:tr>
      <w:tr w:rsidR="00C8000B" w:rsidRPr="000627B6" w:rsidTr="00FF2F1B">
        <w:trPr>
          <w:trHeight w:val="144"/>
        </w:trPr>
        <w:tc>
          <w:tcPr>
            <w:tcW w:w="917" w:type="dxa"/>
            <w:vAlign w:val="center"/>
          </w:tcPr>
          <w:p w:rsidR="00C8000B" w:rsidRPr="000627B6" w:rsidRDefault="00C8000B" w:rsidP="00FF2F1B">
            <w:pPr>
              <w:spacing w:before="0"/>
            </w:pPr>
            <w:proofErr w:type="spellStart"/>
            <w:r w:rsidRPr="000627B6">
              <w:rPr>
                <w:color w:val="000000"/>
              </w:rPr>
              <w:t>Avg</w:t>
            </w:r>
            <w:proofErr w:type="spellEnd"/>
          </w:p>
        </w:tc>
        <w:tc>
          <w:tcPr>
            <w:tcW w:w="6192" w:type="dxa"/>
            <w:vAlign w:val="center"/>
          </w:tcPr>
          <w:p w:rsidR="00C8000B" w:rsidRPr="000627B6" w:rsidRDefault="00C8000B" w:rsidP="00FF2F1B">
            <w:pPr>
              <w:spacing w:before="0"/>
            </w:pPr>
            <w:r w:rsidRPr="000627B6">
              <w:rPr>
                <w:color w:val="000000"/>
              </w:rPr>
              <w:t>Mean height (m)</w:t>
            </w:r>
          </w:p>
        </w:tc>
        <w:tc>
          <w:tcPr>
            <w:tcW w:w="925" w:type="dxa"/>
          </w:tcPr>
          <w:p w:rsidR="00C8000B" w:rsidRPr="000627B6" w:rsidRDefault="00C8000B" w:rsidP="00FF2F1B">
            <w:pPr>
              <w:spacing w:before="0"/>
              <w:jc w:val="right"/>
              <w:rPr>
                <w:color w:val="000000"/>
              </w:rPr>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proofErr w:type="spellStart"/>
            <w:r w:rsidRPr="000627B6">
              <w:rPr>
                <w:color w:val="000000"/>
              </w:rPr>
              <w:lastRenderedPageBreak/>
              <w:t>Std</w:t>
            </w:r>
            <w:proofErr w:type="spellEnd"/>
          </w:p>
        </w:tc>
        <w:tc>
          <w:tcPr>
            <w:tcW w:w="6192" w:type="dxa"/>
            <w:vAlign w:val="center"/>
          </w:tcPr>
          <w:p w:rsidR="00C8000B" w:rsidRPr="000627B6" w:rsidRDefault="00C8000B" w:rsidP="00FF2F1B">
            <w:pPr>
              <w:spacing w:before="0"/>
            </w:pPr>
            <w:r w:rsidRPr="000627B6">
              <w:rPr>
                <w:color w:val="000000"/>
              </w:rPr>
              <w:t>Standard Deviation</w:t>
            </w:r>
          </w:p>
        </w:tc>
        <w:tc>
          <w:tcPr>
            <w:tcW w:w="925" w:type="dxa"/>
          </w:tcPr>
          <w:p w:rsidR="00C8000B" w:rsidRPr="000627B6" w:rsidRDefault="00C8000B" w:rsidP="00FF2F1B">
            <w:pPr>
              <w:spacing w:before="0"/>
              <w:jc w:val="right"/>
              <w:rPr>
                <w:color w:val="000000"/>
              </w:rPr>
            </w:pPr>
            <w:r w:rsidRPr="000627B6">
              <w:rPr>
                <w:color w:val="000000"/>
              </w:rPr>
              <w:t>100</w:t>
            </w:r>
          </w:p>
        </w:tc>
      </w:tr>
      <w:tr w:rsidR="00C8000B" w:rsidRPr="000627B6" w:rsidTr="00FF2F1B">
        <w:trPr>
          <w:trHeight w:val="144"/>
        </w:trPr>
        <w:tc>
          <w:tcPr>
            <w:tcW w:w="917" w:type="dxa"/>
            <w:vAlign w:val="center"/>
          </w:tcPr>
          <w:p w:rsidR="00C8000B" w:rsidRPr="000627B6" w:rsidRDefault="00C8000B" w:rsidP="00FF2F1B">
            <w:pPr>
              <w:spacing w:before="0"/>
            </w:pPr>
            <w:proofErr w:type="spellStart"/>
            <w:r w:rsidRPr="000627B6">
              <w:rPr>
                <w:color w:val="000000"/>
              </w:rPr>
              <w:t>Qav</w:t>
            </w:r>
            <w:proofErr w:type="spellEnd"/>
          </w:p>
        </w:tc>
        <w:tc>
          <w:tcPr>
            <w:tcW w:w="6192" w:type="dxa"/>
            <w:vAlign w:val="center"/>
          </w:tcPr>
          <w:p w:rsidR="00C8000B" w:rsidRPr="000627B6" w:rsidRDefault="00C8000B" w:rsidP="00FF2F1B">
            <w:pPr>
              <w:spacing w:before="0"/>
            </w:pPr>
            <w:r w:rsidRPr="000627B6">
              <w:rPr>
                <w:color w:val="000000"/>
              </w:rPr>
              <w:t>Absolute Standard Deviation</w:t>
            </w:r>
          </w:p>
        </w:tc>
        <w:tc>
          <w:tcPr>
            <w:tcW w:w="925" w:type="dxa"/>
          </w:tcPr>
          <w:p w:rsidR="00C8000B" w:rsidRPr="000627B6" w:rsidRDefault="00C8000B" w:rsidP="00FF2F1B">
            <w:pPr>
              <w:spacing w:before="0"/>
              <w:jc w:val="right"/>
              <w:rPr>
                <w:color w:val="000000"/>
              </w:rPr>
            </w:pPr>
            <w:r w:rsidRPr="000627B6">
              <w:rPr>
                <w:color w:val="000000"/>
              </w:rPr>
              <w:t>100</w:t>
            </w:r>
          </w:p>
        </w:tc>
      </w:tr>
      <w:tr w:rsidR="00C8000B" w:rsidRPr="000627B6" w:rsidTr="00FF2F1B">
        <w:trPr>
          <w:trHeight w:val="144"/>
        </w:trPr>
        <w:tc>
          <w:tcPr>
            <w:tcW w:w="917" w:type="dxa"/>
            <w:vAlign w:val="center"/>
          </w:tcPr>
          <w:p w:rsidR="00C8000B" w:rsidRPr="000627B6" w:rsidRDefault="00C8000B" w:rsidP="00FF2F1B">
            <w:pPr>
              <w:spacing w:before="0"/>
            </w:pPr>
            <w:proofErr w:type="spellStart"/>
            <w:r w:rsidRPr="000627B6">
              <w:rPr>
                <w:color w:val="000000"/>
              </w:rPr>
              <w:t>Ske</w:t>
            </w:r>
            <w:proofErr w:type="spellEnd"/>
          </w:p>
        </w:tc>
        <w:tc>
          <w:tcPr>
            <w:tcW w:w="6192" w:type="dxa"/>
            <w:vAlign w:val="center"/>
          </w:tcPr>
          <w:p w:rsidR="00C8000B" w:rsidRPr="000627B6" w:rsidRDefault="00C8000B" w:rsidP="00FF2F1B">
            <w:pPr>
              <w:spacing w:before="0"/>
            </w:pPr>
            <w:r w:rsidRPr="000627B6">
              <w:rPr>
                <w:color w:val="000000"/>
              </w:rPr>
              <w:t>Skewness</w:t>
            </w:r>
          </w:p>
        </w:tc>
        <w:tc>
          <w:tcPr>
            <w:tcW w:w="925" w:type="dxa"/>
          </w:tcPr>
          <w:p w:rsidR="00C8000B" w:rsidRPr="000627B6" w:rsidRDefault="00C8000B" w:rsidP="00FF2F1B">
            <w:pPr>
              <w:spacing w:before="0"/>
              <w:jc w:val="right"/>
              <w:rPr>
                <w:color w:val="000000"/>
              </w:rPr>
            </w:pPr>
            <w:r w:rsidRPr="000627B6">
              <w:rPr>
                <w:color w:val="000000"/>
              </w:rPr>
              <w:t>100</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Kur</w:t>
            </w:r>
          </w:p>
        </w:tc>
        <w:tc>
          <w:tcPr>
            <w:tcW w:w="6192" w:type="dxa"/>
            <w:vAlign w:val="center"/>
          </w:tcPr>
          <w:p w:rsidR="00C8000B" w:rsidRPr="000627B6" w:rsidRDefault="00C8000B" w:rsidP="00FF2F1B">
            <w:pPr>
              <w:spacing w:before="0"/>
            </w:pPr>
            <w:r w:rsidRPr="000627B6">
              <w:rPr>
                <w:color w:val="000000"/>
              </w:rPr>
              <w:t>Kurtosis</w:t>
            </w:r>
          </w:p>
        </w:tc>
        <w:tc>
          <w:tcPr>
            <w:tcW w:w="925" w:type="dxa"/>
          </w:tcPr>
          <w:p w:rsidR="00C8000B" w:rsidRPr="000627B6" w:rsidRDefault="00C8000B" w:rsidP="00FF2F1B">
            <w:pPr>
              <w:spacing w:before="0"/>
              <w:jc w:val="right"/>
              <w:rPr>
                <w:color w:val="000000"/>
              </w:rPr>
            </w:pPr>
            <w:r w:rsidRPr="000627B6">
              <w:rPr>
                <w:color w:val="000000"/>
              </w:rPr>
              <w:t>100</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P10</w:t>
            </w:r>
          </w:p>
        </w:tc>
        <w:tc>
          <w:tcPr>
            <w:tcW w:w="6192" w:type="dxa"/>
            <w:vAlign w:val="center"/>
          </w:tcPr>
          <w:p w:rsidR="00C8000B" w:rsidRPr="000627B6" w:rsidRDefault="00C8000B" w:rsidP="00FF2F1B">
            <w:pPr>
              <w:spacing w:before="0"/>
            </w:pPr>
            <w:r w:rsidRPr="000627B6">
              <w:rPr>
                <w:color w:val="000000"/>
              </w:rPr>
              <w:t>10</w:t>
            </w:r>
            <w:r w:rsidRPr="000627B6">
              <w:rPr>
                <w:color w:val="000000"/>
                <w:vertAlign w:val="superscript"/>
              </w:rPr>
              <w:t>th</w:t>
            </w:r>
            <w:r w:rsidRPr="000627B6">
              <w:rPr>
                <w:color w:val="000000"/>
              </w:rPr>
              <w:t xml:space="preserve"> percentile LiDAR Height (m)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P20</w:t>
            </w:r>
          </w:p>
        </w:tc>
        <w:tc>
          <w:tcPr>
            <w:tcW w:w="6192" w:type="dxa"/>
            <w:vAlign w:val="center"/>
          </w:tcPr>
          <w:p w:rsidR="00C8000B" w:rsidRPr="000627B6" w:rsidRDefault="00C8000B" w:rsidP="00FF2F1B">
            <w:pPr>
              <w:spacing w:before="0"/>
            </w:pPr>
            <w:r w:rsidRPr="000627B6">
              <w:rPr>
                <w:color w:val="000000"/>
              </w:rPr>
              <w:t>20</w:t>
            </w:r>
            <w:r w:rsidRPr="000627B6">
              <w:rPr>
                <w:color w:val="000000"/>
                <w:vertAlign w:val="superscript"/>
              </w:rPr>
              <w:t>th</w:t>
            </w:r>
            <w:r w:rsidRPr="000627B6">
              <w:rPr>
                <w:color w:val="000000"/>
              </w:rPr>
              <w:t xml:space="preserve"> percentile LiDAR Height (m)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rFonts w:ascii="Wingdings 3" w:hAnsi="Wingdings 3"/>
                <w:color w:val="000000"/>
              </w:rPr>
              <w:sym w:font="Wingdings 3" w:char="F036"/>
            </w:r>
          </w:p>
        </w:tc>
        <w:tc>
          <w:tcPr>
            <w:tcW w:w="6192" w:type="dxa"/>
            <w:vAlign w:val="center"/>
          </w:tcPr>
          <w:p w:rsidR="00C8000B" w:rsidRPr="000627B6" w:rsidRDefault="00C8000B" w:rsidP="00FF2F1B">
            <w:pPr>
              <w:spacing w:before="0"/>
            </w:pPr>
          </w:p>
        </w:tc>
        <w:tc>
          <w:tcPr>
            <w:tcW w:w="925" w:type="dxa"/>
          </w:tcPr>
          <w:p w:rsidR="00C8000B" w:rsidRPr="000627B6" w:rsidRDefault="00C8000B" w:rsidP="00FF2F1B">
            <w:pPr>
              <w:spacing w:before="0"/>
              <w:jc w:val="right"/>
            </w:pP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P80</w:t>
            </w:r>
          </w:p>
        </w:tc>
        <w:tc>
          <w:tcPr>
            <w:tcW w:w="6192" w:type="dxa"/>
            <w:vAlign w:val="center"/>
          </w:tcPr>
          <w:p w:rsidR="00C8000B" w:rsidRPr="000627B6" w:rsidRDefault="00C8000B" w:rsidP="00FF2F1B">
            <w:pPr>
              <w:spacing w:before="0"/>
            </w:pPr>
            <w:r w:rsidRPr="000627B6">
              <w:rPr>
                <w:color w:val="000000"/>
              </w:rPr>
              <w:t>80</w:t>
            </w:r>
            <w:r w:rsidRPr="000627B6">
              <w:rPr>
                <w:color w:val="000000"/>
                <w:vertAlign w:val="superscript"/>
              </w:rPr>
              <w:t>th</w:t>
            </w:r>
            <w:r w:rsidRPr="000627B6">
              <w:rPr>
                <w:color w:val="000000"/>
              </w:rPr>
              <w:t xml:space="preserve"> percentile LiDAR Height (m)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P90</w:t>
            </w:r>
          </w:p>
        </w:tc>
        <w:tc>
          <w:tcPr>
            <w:tcW w:w="6192" w:type="dxa"/>
            <w:vAlign w:val="center"/>
          </w:tcPr>
          <w:p w:rsidR="00C8000B" w:rsidRPr="000627B6" w:rsidRDefault="00C8000B" w:rsidP="00FF2F1B">
            <w:pPr>
              <w:spacing w:before="0"/>
            </w:pPr>
            <w:r w:rsidRPr="000627B6">
              <w:rPr>
                <w:color w:val="000000"/>
              </w:rPr>
              <w:t>90</w:t>
            </w:r>
            <w:r w:rsidRPr="000627B6">
              <w:rPr>
                <w:color w:val="000000"/>
                <w:vertAlign w:val="superscript"/>
              </w:rPr>
              <w:t>th</w:t>
            </w:r>
            <w:r w:rsidRPr="000627B6">
              <w:rPr>
                <w:color w:val="000000"/>
              </w:rPr>
              <w:t xml:space="preserve"> percentile LiDAR Height (m)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P95</w:t>
            </w:r>
          </w:p>
        </w:tc>
        <w:tc>
          <w:tcPr>
            <w:tcW w:w="6192" w:type="dxa"/>
            <w:vAlign w:val="center"/>
          </w:tcPr>
          <w:p w:rsidR="00C8000B" w:rsidRPr="000627B6" w:rsidRDefault="00C8000B" w:rsidP="00FF2F1B">
            <w:pPr>
              <w:spacing w:before="0"/>
            </w:pPr>
            <w:r w:rsidRPr="000627B6">
              <w:rPr>
                <w:color w:val="000000"/>
              </w:rPr>
              <w:t>95</w:t>
            </w:r>
            <w:r w:rsidRPr="000627B6">
              <w:rPr>
                <w:color w:val="000000"/>
                <w:vertAlign w:val="superscript"/>
              </w:rPr>
              <w:t>th</w:t>
            </w:r>
            <w:r w:rsidRPr="000627B6">
              <w:rPr>
                <w:color w:val="000000"/>
              </w:rPr>
              <w:t xml:space="preserve"> percentile of LiDAR Height (m)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P99</w:t>
            </w:r>
          </w:p>
        </w:tc>
        <w:tc>
          <w:tcPr>
            <w:tcW w:w="6192" w:type="dxa"/>
            <w:vAlign w:val="center"/>
          </w:tcPr>
          <w:p w:rsidR="00C8000B" w:rsidRPr="000627B6" w:rsidRDefault="00C8000B" w:rsidP="00FF2F1B">
            <w:pPr>
              <w:spacing w:before="0"/>
            </w:pPr>
            <w:r w:rsidRPr="000627B6">
              <w:rPr>
                <w:color w:val="000000"/>
              </w:rPr>
              <w:t>99</w:t>
            </w:r>
            <w:r w:rsidRPr="000627B6">
              <w:rPr>
                <w:color w:val="000000"/>
                <w:vertAlign w:val="superscript"/>
              </w:rPr>
              <w:t>th</w:t>
            </w:r>
            <w:r w:rsidRPr="000627B6">
              <w:rPr>
                <w:color w:val="000000"/>
              </w:rPr>
              <w:t xml:space="preserve"> percentile of LiDAR Height (m)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C00</w:t>
            </w:r>
          </w:p>
        </w:tc>
        <w:tc>
          <w:tcPr>
            <w:tcW w:w="6192" w:type="dxa"/>
            <w:vAlign w:val="center"/>
          </w:tcPr>
          <w:p w:rsidR="00C8000B" w:rsidRPr="000627B6" w:rsidRDefault="00C8000B" w:rsidP="00FF2F1B">
            <w:pPr>
              <w:spacing w:before="0"/>
            </w:pPr>
            <w:r w:rsidRPr="000627B6">
              <w:t>Count of points ≥  2m and &lt;    5m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C01</w:t>
            </w:r>
          </w:p>
        </w:tc>
        <w:tc>
          <w:tcPr>
            <w:tcW w:w="6192" w:type="dxa"/>
            <w:vAlign w:val="center"/>
          </w:tcPr>
          <w:p w:rsidR="00C8000B" w:rsidRPr="000627B6" w:rsidRDefault="00C8000B" w:rsidP="00FF2F1B">
            <w:pPr>
              <w:spacing w:before="0"/>
            </w:pPr>
            <w:r w:rsidRPr="000627B6">
              <w:t>Count of points ≥  5m and &lt;   10m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C02</w:t>
            </w:r>
          </w:p>
        </w:tc>
        <w:tc>
          <w:tcPr>
            <w:tcW w:w="6192" w:type="dxa"/>
          </w:tcPr>
          <w:p w:rsidR="00C8000B" w:rsidRPr="000627B6" w:rsidRDefault="00C8000B" w:rsidP="00FF2F1B">
            <w:pPr>
              <w:spacing w:before="0"/>
            </w:pPr>
            <w:r w:rsidRPr="000627B6">
              <w:t>Count of points ≥ 10m and &lt;  20m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rPr>
                <w:rFonts w:ascii="Wingdings 3" w:hAnsi="Wingdings 3"/>
                <w:color w:val="000000"/>
              </w:rPr>
            </w:pPr>
            <w:r w:rsidRPr="000627B6">
              <w:rPr>
                <w:color w:val="000000"/>
              </w:rPr>
              <w:t>C03</w:t>
            </w:r>
          </w:p>
        </w:tc>
        <w:tc>
          <w:tcPr>
            <w:tcW w:w="6192" w:type="dxa"/>
          </w:tcPr>
          <w:p w:rsidR="00C8000B" w:rsidRPr="000627B6" w:rsidRDefault="00C8000B" w:rsidP="00FF2F1B">
            <w:pPr>
              <w:spacing w:before="0"/>
            </w:pPr>
            <w:r w:rsidRPr="000627B6">
              <w:t>Count of points ≥ 20m and &lt;  30m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rPr>
                <w:rFonts w:ascii="Wingdings 3" w:hAnsi="Wingdings 3"/>
                <w:color w:val="000000"/>
              </w:rPr>
            </w:pPr>
            <w:r w:rsidRPr="000627B6">
              <w:rPr>
                <w:color w:val="000000"/>
              </w:rPr>
              <w:t>C04</w:t>
            </w:r>
          </w:p>
        </w:tc>
        <w:tc>
          <w:tcPr>
            <w:tcW w:w="6192" w:type="dxa"/>
          </w:tcPr>
          <w:p w:rsidR="00C8000B" w:rsidRPr="000627B6" w:rsidRDefault="00C8000B" w:rsidP="00FF2F1B">
            <w:pPr>
              <w:spacing w:before="0"/>
            </w:pPr>
            <w:r w:rsidRPr="000627B6">
              <w:t>Count of points ≥ 30m and &lt;  40m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rPr>
                <w:rFonts w:ascii="Wingdings 3" w:hAnsi="Wingdings 3"/>
                <w:color w:val="000000"/>
              </w:rPr>
            </w:pPr>
            <w:r w:rsidRPr="000627B6">
              <w:rPr>
                <w:color w:val="000000"/>
              </w:rPr>
              <w:t>C05</w:t>
            </w:r>
          </w:p>
        </w:tc>
        <w:tc>
          <w:tcPr>
            <w:tcW w:w="6192" w:type="dxa"/>
          </w:tcPr>
          <w:p w:rsidR="00C8000B" w:rsidRPr="000627B6" w:rsidRDefault="00C8000B" w:rsidP="00FF2F1B">
            <w:pPr>
              <w:spacing w:before="0"/>
            </w:pPr>
            <w:r w:rsidRPr="000627B6">
              <w:t>Count of points ≥ 40m and &lt;  50m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C06</w:t>
            </w:r>
          </w:p>
        </w:tc>
        <w:tc>
          <w:tcPr>
            <w:tcW w:w="6192" w:type="dxa"/>
          </w:tcPr>
          <w:p w:rsidR="00C8000B" w:rsidRPr="000627B6" w:rsidRDefault="00C8000B" w:rsidP="00FF2F1B">
            <w:pPr>
              <w:spacing w:before="0"/>
            </w:pPr>
            <w:r w:rsidRPr="000627B6">
              <w:t>Count of points ≥ 50m and &lt;  60m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rPr>
                <w:color w:val="000000"/>
              </w:rPr>
            </w:pPr>
            <w:r w:rsidRPr="000627B6">
              <w:rPr>
                <w:color w:val="000000"/>
              </w:rPr>
              <w:t>C07</w:t>
            </w:r>
          </w:p>
        </w:tc>
        <w:tc>
          <w:tcPr>
            <w:tcW w:w="6192" w:type="dxa"/>
          </w:tcPr>
          <w:p w:rsidR="00C8000B" w:rsidRPr="000627B6" w:rsidRDefault="00C8000B" w:rsidP="00FF2F1B">
            <w:pPr>
              <w:spacing w:before="0"/>
            </w:pPr>
            <w:r w:rsidRPr="000627B6">
              <w:t>Count of points ≥ 60m and &lt;  70m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rPr>
                <w:color w:val="000000"/>
              </w:rPr>
            </w:pPr>
            <w:r w:rsidRPr="000627B6">
              <w:rPr>
                <w:color w:val="000000"/>
              </w:rPr>
              <w:t>C08</w:t>
            </w:r>
          </w:p>
        </w:tc>
        <w:tc>
          <w:tcPr>
            <w:tcW w:w="6192" w:type="dxa"/>
          </w:tcPr>
          <w:p w:rsidR="00C8000B" w:rsidRPr="000627B6" w:rsidRDefault="00C8000B" w:rsidP="00FF2F1B">
            <w:pPr>
              <w:spacing w:before="0"/>
            </w:pPr>
            <w:r w:rsidRPr="000627B6">
              <w:t>Count of points ≥ 70m and &lt;  80m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rPr>
                <w:color w:val="000000"/>
              </w:rPr>
            </w:pPr>
            <w:r w:rsidRPr="000627B6">
              <w:rPr>
                <w:color w:val="000000"/>
              </w:rPr>
              <w:t>C09</w:t>
            </w:r>
          </w:p>
        </w:tc>
        <w:tc>
          <w:tcPr>
            <w:tcW w:w="6192" w:type="dxa"/>
          </w:tcPr>
          <w:p w:rsidR="00C8000B" w:rsidRPr="000627B6" w:rsidRDefault="00C8000B" w:rsidP="00FF2F1B">
            <w:pPr>
              <w:spacing w:before="0"/>
            </w:pPr>
            <w:r w:rsidRPr="000627B6">
              <w:t>Count of points ≥ 80m and &lt;  90m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rPr>
                <w:color w:val="000000"/>
              </w:rPr>
            </w:pPr>
            <w:r w:rsidRPr="000627B6">
              <w:rPr>
                <w:color w:val="000000"/>
              </w:rPr>
              <w:t>C10</w:t>
            </w:r>
          </w:p>
        </w:tc>
        <w:tc>
          <w:tcPr>
            <w:tcW w:w="6192" w:type="dxa"/>
          </w:tcPr>
          <w:p w:rsidR="00C8000B" w:rsidRPr="000627B6" w:rsidRDefault="00C8000B" w:rsidP="00FF2F1B">
            <w:pPr>
              <w:spacing w:before="0"/>
            </w:pPr>
            <w:r w:rsidRPr="000627B6">
              <w:t>Count of points ≥ 90m and &lt; 100m</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D00</w:t>
            </w:r>
          </w:p>
        </w:tc>
        <w:tc>
          <w:tcPr>
            <w:tcW w:w="6192" w:type="dxa"/>
            <w:vAlign w:val="center"/>
          </w:tcPr>
          <w:p w:rsidR="00C8000B" w:rsidRPr="000627B6" w:rsidRDefault="00C8000B" w:rsidP="00FF2F1B">
            <w:pPr>
              <w:spacing w:before="0"/>
            </w:pPr>
            <w:r w:rsidRPr="000627B6">
              <w:t>C00 divided by total returns, expressed as a percentage</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color w:val="000000"/>
              </w:rPr>
              <w:t>D01</w:t>
            </w:r>
          </w:p>
        </w:tc>
        <w:tc>
          <w:tcPr>
            <w:tcW w:w="6192" w:type="dxa"/>
            <w:vAlign w:val="center"/>
          </w:tcPr>
          <w:p w:rsidR="00C8000B" w:rsidRPr="000627B6" w:rsidRDefault="00C8000B" w:rsidP="00FF2F1B">
            <w:pPr>
              <w:spacing w:before="0"/>
            </w:pPr>
            <w:r w:rsidRPr="000627B6">
              <w:t>C01 divided by total returns, expressed as a percentage</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pPr>
            <w:r w:rsidRPr="000627B6">
              <w:rPr>
                <w:rFonts w:ascii="Wingdings 3" w:hAnsi="Wingdings 3"/>
                <w:color w:val="000000"/>
              </w:rPr>
              <w:sym w:font="Wingdings 3" w:char="F036"/>
            </w:r>
          </w:p>
        </w:tc>
        <w:tc>
          <w:tcPr>
            <w:tcW w:w="6192" w:type="dxa"/>
            <w:vAlign w:val="center"/>
          </w:tcPr>
          <w:p w:rsidR="00C8000B" w:rsidRPr="000627B6" w:rsidRDefault="00C8000B" w:rsidP="00FF2F1B">
            <w:pPr>
              <w:spacing w:before="0"/>
            </w:pPr>
          </w:p>
        </w:tc>
        <w:tc>
          <w:tcPr>
            <w:tcW w:w="925" w:type="dxa"/>
          </w:tcPr>
          <w:p w:rsidR="00C8000B" w:rsidRPr="000627B6" w:rsidRDefault="00C8000B" w:rsidP="00FF2F1B">
            <w:pPr>
              <w:spacing w:before="0"/>
              <w:jc w:val="right"/>
            </w:pPr>
          </w:p>
        </w:tc>
      </w:tr>
      <w:tr w:rsidR="00C8000B" w:rsidRPr="000627B6" w:rsidTr="00FF2F1B">
        <w:trPr>
          <w:trHeight w:val="144"/>
        </w:trPr>
        <w:tc>
          <w:tcPr>
            <w:tcW w:w="917" w:type="dxa"/>
            <w:vAlign w:val="center"/>
          </w:tcPr>
          <w:p w:rsidR="00C8000B" w:rsidRPr="000627B6" w:rsidRDefault="00C8000B" w:rsidP="00FF2F1B">
            <w:pPr>
              <w:spacing w:before="0"/>
              <w:rPr>
                <w:color w:val="000000"/>
              </w:rPr>
            </w:pPr>
            <w:r w:rsidRPr="000627B6">
              <w:rPr>
                <w:color w:val="000000"/>
              </w:rPr>
              <w:t>D010</w:t>
            </w:r>
          </w:p>
        </w:tc>
        <w:tc>
          <w:tcPr>
            <w:tcW w:w="6192" w:type="dxa"/>
            <w:vAlign w:val="center"/>
          </w:tcPr>
          <w:p w:rsidR="00C8000B" w:rsidRPr="000627B6" w:rsidRDefault="00C8000B" w:rsidP="00FF2F1B">
            <w:pPr>
              <w:spacing w:before="0"/>
              <w:rPr>
                <w:color w:val="000000"/>
              </w:rPr>
            </w:pPr>
            <w:r w:rsidRPr="000627B6">
              <w:t>C10 divided by total returns, expressed as a percentage</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rPr>
                <w:color w:val="000000"/>
              </w:rPr>
            </w:pPr>
            <w:proofErr w:type="spellStart"/>
            <w:r w:rsidRPr="000627B6">
              <w:rPr>
                <w:color w:val="000000"/>
              </w:rPr>
              <w:t>Cov_gap</w:t>
            </w:r>
            <w:proofErr w:type="spellEnd"/>
          </w:p>
        </w:tc>
        <w:tc>
          <w:tcPr>
            <w:tcW w:w="6192" w:type="dxa"/>
            <w:vAlign w:val="center"/>
          </w:tcPr>
          <w:p w:rsidR="00C8000B" w:rsidRPr="000627B6" w:rsidRDefault="00C8000B" w:rsidP="00FF2F1B">
            <w:pPr>
              <w:spacing w:before="0"/>
              <w:rPr>
                <w:color w:val="000000"/>
              </w:rPr>
            </w:pPr>
            <w:r w:rsidRPr="000627B6">
              <w:rPr>
                <w:color w:val="000000"/>
              </w:rPr>
              <w:t>Number of first returns above cover cutoff divided by all first returns (%)</w:t>
            </w:r>
          </w:p>
        </w:tc>
        <w:tc>
          <w:tcPr>
            <w:tcW w:w="925" w:type="dxa"/>
          </w:tcPr>
          <w:p w:rsidR="00C8000B" w:rsidRPr="000627B6" w:rsidRDefault="00C8000B" w:rsidP="00FF2F1B">
            <w:pPr>
              <w:spacing w:before="0"/>
              <w:jc w:val="right"/>
            </w:pPr>
            <w:r w:rsidRPr="000627B6">
              <w:rPr>
                <w:color w:val="000000"/>
              </w:rPr>
              <w:t>0.001</w:t>
            </w:r>
          </w:p>
        </w:tc>
      </w:tr>
      <w:tr w:rsidR="00C8000B" w:rsidRPr="000627B6" w:rsidTr="00FF2F1B">
        <w:trPr>
          <w:trHeight w:val="144"/>
        </w:trPr>
        <w:tc>
          <w:tcPr>
            <w:tcW w:w="917" w:type="dxa"/>
            <w:vAlign w:val="center"/>
          </w:tcPr>
          <w:p w:rsidR="00C8000B" w:rsidRPr="000627B6" w:rsidRDefault="00C8000B" w:rsidP="00FF2F1B">
            <w:pPr>
              <w:spacing w:before="0"/>
              <w:rPr>
                <w:color w:val="000000"/>
              </w:rPr>
            </w:pPr>
            <w:proofErr w:type="spellStart"/>
            <w:r w:rsidRPr="000627B6">
              <w:rPr>
                <w:color w:val="000000"/>
              </w:rPr>
              <w:t>Dns_gap</w:t>
            </w:r>
            <w:proofErr w:type="spellEnd"/>
          </w:p>
        </w:tc>
        <w:tc>
          <w:tcPr>
            <w:tcW w:w="6192" w:type="dxa"/>
            <w:vAlign w:val="center"/>
          </w:tcPr>
          <w:p w:rsidR="00C8000B" w:rsidRPr="000627B6" w:rsidRDefault="00C8000B" w:rsidP="00FF2F1B">
            <w:pPr>
              <w:spacing w:before="0"/>
              <w:rPr>
                <w:color w:val="000000"/>
              </w:rPr>
            </w:pPr>
            <w:r w:rsidRPr="000627B6">
              <w:rPr>
                <w:color w:val="000000"/>
              </w:rPr>
              <w:t>Number of all returns above cover cutoff divided by all returns (%)</w:t>
            </w:r>
          </w:p>
        </w:tc>
        <w:tc>
          <w:tcPr>
            <w:tcW w:w="925" w:type="dxa"/>
          </w:tcPr>
          <w:p w:rsidR="00C8000B" w:rsidRPr="000627B6" w:rsidRDefault="00C8000B" w:rsidP="00FF2F1B">
            <w:pPr>
              <w:spacing w:before="0"/>
              <w:jc w:val="right"/>
            </w:pPr>
            <w:r w:rsidRPr="000627B6">
              <w:rPr>
                <w:color w:val="000000"/>
              </w:rPr>
              <w:t>0.001</w:t>
            </w:r>
          </w:p>
        </w:tc>
      </w:tr>
    </w:tbl>
    <w:p w:rsidR="00C8000B" w:rsidRPr="000C4AE1" w:rsidRDefault="00C8000B" w:rsidP="000C4AE1">
      <w:pPr>
        <w:rPr>
          <w:lang w:val="en-CA"/>
        </w:rPr>
      </w:pPr>
    </w:p>
    <w:p w:rsidR="00001BE6" w:rsidRDefault="003605EB" w:rsidP="00001BE6">
      <w:pPr>
        <w:pStyle w:val="Heading2"/>
      </w:pPr>
      <w:bookmarkStart w:id="24" w:name="_Toc449596355"/>
      <w:r>
        <w:t>Parametric Predictive Modeling</w:t>
      </w:r>
      <w:bookmarkEnd w:id="24"/>
    </w:p>
    <w:p w:rsidR="009D6760" w:rsidRPr="009D6760" w:rsidRDefault="009D6760" w:rsidP="009D6760">
      <w:r w:rsidRPr="009D6760">
        <w:t>A logarithmic transformation was applied to all dependent (</w:t>
      </w:r>
      <w:r w:rsidRPr="009D6760">
        <w:rPr>
          <w:i/>
        </w:rPr>
        <w:t>Y</w:t>
      </w:r>
      <w:r w:rsidRPr="009D6760">
        <w:t xml:space="preserve">) variables except ratios.  Since zero is a permissible value for most attributes but does not have a logarithm, “0.001” was added to </w:t>
      </w:r>
      <w:r w:rsidRPr="009D6760">
        <w:rPr>
          <w:i/>
        </w:rPr>
        <w:t>Y</w:t>
      </w:r>
      <w:r w:rsidRPr="009D6760">
        <w:t xml:space="preserve"> prior to transformation.  The exceptions were measures </w:t>
      </w:r>
      <w:r w:rsidR="002C1CB6">
        <w:t xml:space="preserve">of </w:t>
      </w:r>
      <w:r w:rsidRPr="009D6760">
        <w:t>spread such as standard deviation, which can take on negative values; “100” was added to these attributes prior to transformation (</w:t>
      </w:r>
      <w:r w:rsidRPr="009D6760">
        <w:fldChar w:fldCharType="begin"/>
      </w:r>
      <w:r w:rsidRPr="009D6760">
        <w:instrText xml:space="preserve"> REF _Ref445232222 \r \h </w:instrText>
      </w:r>
      <w:r w:rsidRPr="009D6760">
        <w:fldChar w:fldCharType="separate"/>
      </w:r>
      <w:r w:rsidRPr="009D6760">
        <w:t>Table 2</w:t>
      </w:r>
      <w:r w:rsidRPr="009D6760">
        <w:fldChar w:fldCharType="end"/>
      </w:r>
      <w:r w:rsidRPr="009D6760">
        <w:t xml:space="preserve">).  Stepwise, multiple linear </w:t>
      </w:r>
      <w:proofErr w:type="gramStart"/>
      <w:r w:rsidRPr="009D6760">
        <w:t>regression</w:t>
      </w:r>
      <w:proofErr w:type="gramEnd"/>
      <w:r w:rsidRPr="009D6760">
        <w:t xml:space="preserve"> was used with up to five independent variables:</w:t>
      </w:r>
    </w:p>
    <w:bookmarkStart w:id="25" w:name="_Ref442347159"/>
    <w:bookmarkEnd w:id="25"/>
    <w:p w:rsidR="009D6760" w:rsidRPr="009D6760" w:rsidRDefault="009D6760" w:rsidP="008E63C7">
      <w:pPr>
        <w:numPr>
          <w:ilvl w:val="0"/>
          <w:numId w:val="10"/>
        </w:numPr>
        <w:spacing w:before="0" w:line="480" w:lineRule="auto"/>
        <w:rPr>
          <w:rFonts w:asciiTheme="minorHAnsi" w:eastAsia="SimSun" w:hAnsiTheme="minorHAnsi"/>
          <w:szCs w:val="24"/>
          <w:lang w:val="en-CA" w:eastAsia="zh-CN"/>
        </w:rPr>
      </w:pPr>
      <w:r w:rsidRPr="009D6760">
        <w:rPr>
          <w:rFonts w:asciiTheme="minorHAnsi" w:eastAsia="SimSun" w:hAnsiTheme="minorHAnsi"/>
          <w:position w:val="-10"/>
          <w:szCs w:val="24"/>
          <w:lang w:val="en-CA" w:eastAsia="zh-CN"/>
        </w:rPr>
        <w:object w:dxaOrig="366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35pt;height:16.85pt" o:ole="">
            <v:imagedata r:id="rId23" o:title=""/>
          </v:shape>
          <o:OLEObject Type="Embed" ProgID="Equation.3" ShapeID="_x0000_i1025" DrawAspect="Content" ObjectID="_1571222009" r:id="rId24"/>
        </w:object>
      </w:r>
    </w:p>
    <w:p w:rsidR="009D6760" w:rsidRPr="009D6760" w:rsidRDefault="009D6760" w:rsidP="009D6760">
      <w:proofErr w:type="gramStart"/>
      <w:r w:rsidRPr="009D6760">
        <w:t>where</w:t>
      </w:r>
      <w:proofErr w:type="gramEnd"/>
      <w:r w:rsidRPr="009D6760">
        <w:t xml:space="preserve"> </w:t>
      </w:r>
      <w:r w:rsidRPr="009D6760">
        <w:rPr>
          <w:i/>
          <w:position w:val="-4"/>
        </w:rPr>
        <w:object w:dxaOrig="180" w:dyaOrig="279">
          <v:shape id="_x0000_i1026" type="#_x0000_t75" style="width:8.4pt;height:14.05pt" o:ole="">
            <v:imagedata r:id="rId25" o:title=""/>
          </v:shape>
          <o:OLEObject Type="Embed" ProgID="Equation.3" ShapeID="_x0000_i1026" DrawAspect="Content" ObjectID="_1571222010" r:id="rId26"/>
        </w:object>
      </w:r>
      <w:r w:rsidRPr="009D6760">
        <w:t xml:space="preserve"> is the predicted value of a dependent variable and </w:t>
      </w:r>
      <w:r w:rsidRPr="009D6760">
        <w:rPr>
          <w:i/>
        </w:rPr>
        <w:t>X</w:t>
      </w:r>
      <w:r w:rsidRPr="009D6760">
        <w:rPr>
          <w:vertAlign w:val="subscript"/>
        </w:rPr>
        <w:t>1</w:t>
      </w:r>
      <w:r w:rsidRPr="009D6760">
        <w:t>…</w:t>
      </w:r>
      <w:r w:rsidRPr="009D6760">
        <w:rPr>
          <w:i/>
        </w:rPr>
        <w:t>X</w:t>
      </w:r>
      <w:r w:rsidRPr="009D6760">
        <w:rPr>
          <w:vertAlign w:val="subscript"/>
        </w:rPr>
        <w:t>5</w:t>
      </w:r>
      <w:r w:rsidRPr="009D6760">
        <w:t xml:space="preserve"> are independent variables (</w:t>
      </w:r>
      <w:r w:rsidRPr="009D6760">
        <w:fldChar w:fldCharType="begin"/>
      </w:r>
      <w:r w:rsidRPr="009D6760">
        <w:instrText xml:space="preserve"> REF _Ref445232222 \r \h </w:instrText>
      </w:r>
      <w:r w:rsidRPr="009D6760">
        <w:fldChar w:fldCharType="separate"/>
      </w:r>
      <w:r w:rsidRPr="009D6760">
        <w:t>Table 2</w:t>
      </w:r>
      <w:r w:rsidRPr="009D6760">
        <w:fldChar w:fldCharType="end"/>
      </w:r>
      <w:r w:rsidRPr="009D6760">
        <w:t xml:space="preserve">).  For the preliminary models, the dependent variables were fit independently, by forest type and attribute.  </w:t>
      </w:r>
    </w:p>
    <w:p w:rsidR="009D6760" w:rsidRPr="009D6760" w:rsidRDefault="009D6760" w:rsidP="009D6760">
      <w:pPr>
        <w:tabs>
          <w:tab w:val="left" w:pos="1395"/>
        </w:tabs>
      </w:pPr>
      <w:r w:rsidRPr="009D6760">
        <w:t xml:space="preserve">In untransformed form, equation </w:t>
      </w:r>
      <w:r w:rsidRPr="009D6760">
        <w:fldChar w:fldCharType="begin"/>
      </w:r>
      <w:r w:rsidRPr="009D6760">
        <w:instrText xml:space="preserve"> REF _Ref442347159 \r \h </w:instrText>
      </w:r>
      <w:r w:rsidRPr="009D6760">
        <w:fldChar w:fldCharType="separate"/>
      </w:r>
      <w:r w:rsidRPr="009D6760">
        <w:t>(1)</w:t>
      </w:r>
      <w:r w:rsidRPr="009D6760">
        <w:fldChar w:fldCharType="end"/>
      </w:r>
      <w:r w:rsidRPr="009D6760">
        <w:t xml:space="preserve"> becomes the following.</w:t>
      </w:r>
    </w:p>
    <w:bookmarkStart w:id="26" w:name="_Ref358103995"/>
    <w:bookmarkEnd w:id="26"/>
    <w:p w:rsidR="009D6760" w:rsidRPr="009D6760" w:rsidRDefault="009D6760" w:rsidP="008E63C7">
      <w:pPr>
        <w:numPr>
          <w:ilvl w:val="0"/>
          <w:numId w:val="9"/>
        </w:numPr>
        <w:spacing w:line="480" w:lineRule="auto"/>
      </w:pPr>
      <w:r w:rsidRPr="009D6760">
        <w:rPr>
          <w:position w:val="-34"/>
        </w:rPr>
        <w:object w:dxaOrig="3920" w:dyaOrig="780">
          <v:shape id="_x0000_i1027" type="#_x0000_t75" style="width:195.45pt;height:38.35pt" o:ole="">
            <v:imagedata r:id="rId27" o:title=""/>
          </v:shape>
          <o:OLEObject Type="Embed" ProgID="Equation.3" ShapeID="_x0000_i1027" DrawAspect="Content" ObjectID="_1571222011" r:id="rId28"/>
        </w:object>
      </w:r>
    </w:p>
    <w:p w:rsidR="009D6760" w:rsidRPr="009D6760" w:rsidRDefault="009D6760" w:rsidP="009D6760">
      <w:r w:rsidRPr="009D6760">
        <w:t xml:space="preserve">This equation form ensures that the predicted value is always non-negative. </w:t>
      </w:r>
    </w:p>
    <w:p w:rsidR="009D6760" w:rsidRPr="009D6760" w:rsidRDefault="009D6760" w:rsidP="009D6760">
      <w:r w:rsidRPr="009D6760">
        <w:lastRenderedPageBreak/>
        <w:t xml:space="preserve">Net merchantable volume at 12.5 cm utilization was estimated as a fraction of whole stem volume at 4.0 cm using the following equation:   </w:t>
      </w:r>
    </w:p>
    <w:p w:rsidR="009D6760" w:rsidRPr="009D6760" w:rsidRDefault="009D6760" w:rsidP="008E63C7">
      <w:pPr>
        <w:numPr>
          <w:ilvl w:val="0"/>
          <w:numId w:val="9"/>
        </w:numPr>
        <w:spacing w:line="480" w:lineRule="auto"/>
      </w:pPr>
      <w:r w:rsidRPr="009D6760">
        <w:rPr>
          <w:position w:val="-28"/>
        </w:rPr>
        <w:object w:dxaOrig="4720" w:dyaOrig="660">
          <v:shape id="_x0000_i1028" type="#_x0000_t75" style="width:236.55pt;height:33.65pt" o:ole="">
            <v:imagedata r:id="rId29" o:title=""/>
          </v:shape>
          <o:OLEObject Type="Embed" ProgID="Equation.3" ShapeID="_x0000_i1028" DrawAspect="Content" ObjectID="_1571222012" r:id="rId30"/>
        </w:object>
      </w:r>
    </w:p>
    <w:p w:rsidR="009D6760" w:rsidRPr="009D6760" w:rsidRDefault="009D6760" w:rsidP="009D6760">
      <w:pPr>
        <w:rPr>
          <w:lang w:val="en-CA"/>
        </w:rPr>
      </w:pPr>
      <w:r w:rsidRPr="009D6760">
        <w:t xml:space="preserve">This model form ensures that the predicted fraction falls between zero and 1. </w:t>
      </w:r>
      <w:r w:rsidRPr="009D6760">
        <w:rPr>
          <w:lang w:val="en-CA"/>
        </w:rPr>
        <w:t xml:space="preserve">In untransformed form, the GMV equation becomes the following: </w:t>
      </w:r>
    </w:p>
    <w:bookmarkStart w:id="27" w:name="_Ref358103999"/>
    <w:bookmarkEnd w:id="27"/>
    <w:p w:rsidR="009D6760" w:rsidRPr="009D6760" w:rsidRDefault="009D6760" w:rsidP="008E63C7">
      <w:pPr>
        <w:numPr>
          <w:ilvl w:val="0"/>
          <w:numId w:val="9"/>
        </w:numPr>
        <w:spacing w:line="480" w:lineRule="auto"/>
      </w:pPr>
      <w:r w:rsidRPr="009D6760">
        <w:rPr>
          <w:position w:val="-40"/>
        </w:rPr>
        <w:object w:dxaOrig="6720" w:dyaOrig="900">
          <v:shape id="_x0000_i1029" type="#_x0000_t75" style="width:336.6pt;height:44.9pt" o:ole="">
            <v:imagedata r:id="rId31" o:title=""/>
          </v:shape>
          <o:OLEObject Type="Embed" ProgID="Equation.3" ShapeID="_x0000_i1029" DrawAspect="Content" ObjectID="_1571222013" r:id="rId32"/>
        </w:object>
      </w:r>
    </w:p>
    <w:p w:rsidR="009D6760" w:rsidRPr="009D6760" w:rsidRDefault="009D6760" w:rsidP="009D6760">
      <w:r w:rsidRPr="009D6760">
        <w:t xml:space="preserve">After the preliminary selection of predictor variables, the equation forms </w:t>
      </w:r>
      <w:r w:rsidRPr="009D6760">
        <w:fldChar w:fldCharType="begin"/>
      </w:r>
      <w:r w:rsidRPr="009D6760">
        <w:instrText xml:space="preserve"> REF _Ref358103995 \r \h </w:instrText>
      </w:r>
      <w:r w:rsidRPr="009D6760">
        <w:fldChar w:fldCharType="separate"/>
      </w:r>
      <w:r w:rsidRPr="009D6760">
        <w:t>(2)</w:t>
      </w:r>
      <w:r w:rsidRPr="009D6760">
        <w:fldChar w:fldCharType="end"/>
      </w:r>
      <w:r w:rsidRPr="009D6760">
        <w:t xml:space="preserve"> and </w:t>
      </w:r>
      <w:r w:rsidRPr="009D6760">
        <w:fldChar w:fldCharType="begin"/>
      </w:r>
      <w:r w:rsidRPr="009D6760">
        <w:instrText xml:space="preserve"> REF _Ref358103999 \r \h </w:instrText>
      </w:r>
      <w:r w:rsidRPr="009D6760">
        <w:fldChar w:fldCharType="separate"/>
      </w:r>
      <w:r w:rsidRPr="009D6760">
        <w:t>(4)</w:t>
      </w:r>
      <w:r w:rsidRPr="009D6760">
        <w:fldChar w:fldCharType="end"/>
      </w:r>
      <w:r w:rsidRPr="009D6760">
        <w:t xml:space="preserve"> were fit as a nonlinear system of equations (SUR- Seemingly Unrelated Regression, Greene 1993).  During this process, some of the original coefficients became statistically insignificant. When this occurred, the least statistically significant predictor was successively removed until all the remaining predictors were considered significant (α ≤ 0.05). </w:t>
      </w:r>
    </w:p>
    <w:p w:rsidR="009D6760" w:rsidRPr="009D6760" w:rsidRDefault="009D6760" w:rsidP="009D6760">
      <w:r w:rsidRPr="009D6760">
        <w:t>The resulting system of equations for the all strata combined, as an example, is given below:</w:t>
      </w:r>
    </w:p>
    <w:p w:rsidR="009D6760" w:rsidRPr="009D6760" w:rsidRDefault="009D6760" w:rsidP="008E63C7">
      <w:pPr>
        <w:numPr>
          <w:ilvl w:val="0"/>
          <w:numId w:val="9"/>
        </w:numPr>
        <w:spacing w:before="0"/>
        <w:rPr>
          <w:rFonts w:asciiTheme="minorHAnsi" w:eastAsia="SimSun" w:hAnsiTheme="minorHAnsi" w:cs="Arial"/>
          <w:szCs w:val="24"/>
          <w:lang w:val="en-CA" w:eastAsia="zh-CN"/>
        </w:rPr>
      </w:pPr>
      <w:r w:rsidRPr="009D6760">
        <w:rPr>
          <w:rFonts w:asciiTheme="minorHAnsi" w:eastAsia="SimSun" w:hAnsiTheme="minorHAnsi"/>
          <w:position w:val="-98"/>
          <w:szCs w:val="24"/>
          <w:lang w:val="en-CA" w:eastAsia="zh-CN"/>
        </w:rPr>
        <w:object w:dxaOrig="7780" w:dyaOrig="2060">
          <v:shape id="_x0000_i1030" type="#_x0000_t75" style="width:389pt;height:102.85pt" o:ole="">
            <v:imagedata r:id="rId33" o:title=""/>
          </v:shape>
          <o:OLEObject Type="Embed" ProgID="Equation.3" ShapeID="_x0000_i1030" DrawAspect="Content" ObjectID="_1571222014" r:id="rId34"/>
        </w:object>
      </w:r>
    </w:p>
    <w:p w:rsidR="003605EB" w:rsidRDefault="009D6760" w:rsidP="009D6760">
      <w:r w:rsidRPr="009D6760">
        <w:t>The SUR models were run using all the data (100%) using all the data (Combined) or by strata (Strata).  As well, the All models were run using 70% of the data (70%) or 50% of the data (50%).  The calibration data were selected by assigning each plot a random number between 0 and 1, by strata, and sorting by random number.  The first 70% and the first 50% of the data by strata were used for calibration.  The 50% data is a subset of the 70% data</w:t>
      </w:r>
    </w:p>
    <w:p w:rsidR="003605EB" w:rsidRDefault="003605EB" w:rsidP="003605EB">
      <w:pPr>
        <w:pStyle w:val="Heading2"/>
      </w:pPr>
      <w:bookmarkStart w:id="28" w:name="_Toc449596356"/>
      <w:r>
        <w:t>Non-</w:t>
      </w:r>
      <w:r w:rsidRPr="003605EB">
        <w:t>Parametric Predictive Modeling</w:t>
      </w:r>
      <w:bookmarkEnd w:id="28"/>
    </w:p>
    <w:p w:rsidR="009D6760" w:rsidRDefault="009D6760" w:rsidP="009D6760">
      <w:r>
        <w:t>Random Forest (RF) was run in unsupervised mode with the default of 500 trees.  The same LiDAR predictors were used (Table 4).  Essentially, RF finds the reference observation that is closest to the target observation in terms of the LiDAR Metrics.  This reference observation is then used to impute all the dependent variables (Table 3) to the target observation.  This ensures the predictions are plausible (no extrapolation) and compatible with one another.  Predictions are not made for reference observations.</w:t>
      </w:r>
    </w:p>
    <w:p w:rsidR="003605EB" w:rsidRDefault="009D6760" w:rsidP="009D6760">
      <w:r>
        <w:t xml:space="preserve">The same 70% of the calibration data used for the parametric approach were used for the nonparametric approach and the remaining plots reserved.  These are the target observations (also referred to as validation data).  </w:t>
      </w:r>
    </w:p>
    <w:p w:rsidR="00F66E74" w:rsidRDefault="00F66E74" w:rsidP="009D6760"/>
    <w:p w:rsidR="00F66E74" w:rsidRDefault="00F66E74" w:rsidP="00F66E74">
      <w:pPr>
        <w:pStyle w:val="Heading2"/>
      </w:pPr>
      <w:bookmarkStart w:id="29" w:name="_Toc449596357"/>
      <w:r>
        <w:t>Summary of Major LEFI Steps and Components</w:t>
      </w:r>
      <w:bookmarkEnd w:id="29"/>
    </w:p>
    <w:p w:rsidR="00F66E74" w:rsidRDefault="00F66E74" w:rsidP="009D6760">
      <w:r>
        <w:t xml:space="preserve">The major components and steps with the linkages for the LEFI project </w:t>
      </w:r>
      <w:proofErr w:type="gramStart"/>
      <w:r>
        <w:t>is</w:t>
      </w:r>
      <w:proofErr w:type="gramEnd"/>
      <w:r>
        <w:t xml:space="preserve"> shown in </w:t>
      </w:r>
      <w:r>
        <w:fldChar w:fldCharType="begin"/>
      </w:r>
      <w:r>
        <w:instrText xml:space="preserve"> REF _Ref449443359 \h </w:instrText>
      </w:r>
      <w:r>
        <w:fldChar w:fldCharType="separate"/>
      </w:r>
      <w:r>
        <w:t xml:space="preserve">Figure </w:t>
      </w:r>
      <w:r>
        <w:rPr>
          <w:noProof/>
        </w:rPr>
        <w:t>3</w:t>
      </w:r>
      <w:r>
        <w:fldChar w:fldCharType="end"/>
      </w:r>
      <w:r>
        <w:t>.</w:t>
      </w:r>
    </w:p>
    <w:p w:rsidR="00F66E74" w:rsidRDefault="00F66E74" w:rsidP="00F66E74">
      <w:pPr>
        <w:pStyle w:val="Caption"/>
      </w:pPr>
    </w:p>
    <w:p w:rsidR="00F66E74" w:rsidRDefault="00F66E74" w:rsidP="00F66E74">
      <w:pPr>
        <w:pStyle w:val="Caption"/>
      </w:pPr>
    </w:p>
    <w:p w:rsidR="00F66E74" w:rsidRDefault="00F66E74" w:rsidP="00F66E74">
      <w:pPr>
        <w:pStyle w:val="Caption"/>
      </w:pPr>
      <w:r>
        <w:t xml:space="preserve">  </w:t>
      </w:r>
      <w:r w:rsidR="00416FFC">
        <w:rPr>
          <w:noProof/>
        </w:rPr>
        <w:drawing>
          <wp:inline distT="0" distB="0" distL="0" distR="0" wp14:anchorId="68185392" wp14:editId="084B06F9">
            <wp:extent cx="5486400" cy="3837940"/>
            <wp:effectExtent l="19050" t="19050" r="19050" b="1016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CA544.tmp"/>
                    <pic:cNvPicPr/>
                  </pic:nvPicPr>
                  <pic:blipFill>
                    <a:blip r:embed="rId35">
                      <a:extLst>
                        <a:ext uri="{28A0092B-C50C-407E-A947-70E740481C1C}">
                          <a14:useLocalDpi xmlns:a14="http://schemas.microsoft.com/office/drawing/2010/main" val="0"/>
                        </a:ext>
                      </a:extLst>
                    </a:blip>
                    <a:stretch>
                      <a:fillRect/>
                    </a:stretch>
                  </pic:blipFill>
                  <pic:spPr>
                    <a:xfrm>
                      <a:off x="0" y="0"/>
                      <a:ext cx="5486400" cy="3837940"/>
                    </a:xfrm>
                    <a:prstGeom prst="rect">
                      <a:avLst/>
                    </a:prstGeom>
                    <a:ln>
                      <a:solidFill>
                        <a:schemeClr val="accent1"/>
                      </a:solidFill>
                    </a:ln>
                  </pic:spPr>
                </pic:pic>
              </a:graphicData>
            </a:graphic>
          </wp:inline>
        </w:drawing>
      </w:r>
    </w:p>
    <w:p w:rsidR="00F66E74" w:rsidRPr="00F66E74" w:rsidRDefault="00F66E74" w:rsidP="00F66E74">
      <w:pPr>
        <w:pStyle w:val="Caption"/>
      </w:pPr>
      <w:bookmarkStart w:id="30" w:name="_Ref449443359"/>
      <w:bookmarkStart w:id="31" w:name="_Toc449515877"/>
      <w:r>
        <w:t xml:space="preserve">Figure </w:t>
      </w:r>
      <w:r w:rsidR="008E0E5D">
        <w:fldChar w:fldCharType="begin"/>
      </w:r>
      <w:r w:rsidR="008E0E5D">
        <w:instrText xml:space="preserve"> SEQ Figure \* ARABIC </w:instrText>
      </w:r>
      <w:r w:rsidR="008E0E5D">
        <w:fldChar w:fldCharType="separate"/>
      </w:r>
      <w:r w:rsidR="00173AD0">
        <w:rPr>
          <w:noProof/>
        </w:rPr>
        <w:t>3</w:t>
      </w:r>
      <w:r w:rsidR="008E0E5D">
        <w:rPr>
          <w:noProof/>
        </w:rPr>
        <w:fldChar w:fldCharType="end"/>
      </w:r>
      <w:bookmarkEnd w:id="30"/>
      <w:r>
        <w:t xml:space="preserve">  Flowchart of LEFI components and processing steps.</w:t>
      </w:r>
      <w:bookmarkEnd w:id="31"/>
    </w:p>
    <w:p w:rsidR="00001BE6" w:rsidRDefault="00001BE6" w:rsidP="00001BE6">
      <w:pPr>
        <w:pStyle w:val="Heading1"/>
      </w:pPr>
      <w:bookmarkStart w:id="32" w:name="_Toc449596358"/>
      <w:r>
        <w:t>Results</w:t>
      </w:r>
      <w:bookmarkEnd w:id="32"/>
    </w:p>
    <w:p w:rsidR="007C220F" w:rsidRDefault="00C63465" w:rsidP="007C220F">
      <w:pPr>
        <w:pStyle w:val="Heading2"/>
        <w:rPr>
          <w:lang w:val="en-CA"/>
        </w:rPr>
      </w:pPr>
      <w:bookmarkStart w:id="33" w:name="_Toc449596359"/>
      <w:r>
        <w:rPr>
          <w:lang w:val="en-CA"/>
        </w:rPr>
        <w:t>VRI 2014 and Stratification</w:t>
      </w:r>
      <w:bookmarkEnd w:id="33"/>
    </w:p>
    <w:p w:rsidR="00B666C3" w:rsidRDefault="001B17DC" w:rsidP="00FF2F1B">
      <w:pPr>
        <w:rPr>
          <w:lang w:val="en-CA"/>
        </w:rPr>
      </w:pPr>
      <w:r>
        <w:rPr>
          <w:lang w:val="en-CA"/>
        </w:rPr>
        <w:fldChar w:fldCharType="begin"/>
      </w:r>
      <w:r>
        <w:rPr>
          <w:lang w:val="en-CA"/>
        </w:rPr>
        <w:instrText xml:space="preserve"> REF _Ref449438543 \h </w:instrText>
      </w:r>
      <w:r>
        <w:rPr>
          <w:lang w:val="en-CA"/>
        </w:rPr>
      </w:r>
      <w:r>
        <w:rPr>
          <w:lang w:val="en-CA"/>
        </w:rPr>
        <w:fldChar w:fldCharType="separate"/>
      </w:r>
      <w:r>
        <w:t xml:space="preserve">Figure </w:t>
      </w:r>
      <w:r>
        <w:rPr>
          <w:noProof/>
        </w:rPr>
        <w:t>4</w:t>
      </w:r>
      <w:r>
        <w:rPr>
          <w:lang w:val="en-CA"/>
        </w:rPr>
        <w:fldChar w:fldCharType="end"/>
      </w:r>
      <w:r>
        <w:rPr>
          <w:lang w:val="en-CA"/>
        </w:rPr>
        <w:t xml:space="preserve"> </w:t>
      </w:r>
      <w:r w:rsidR="00FF2F1B">
        <w:rPr>
          <w:lang w:val="en-CA"/>
        </w:rPr>
        <w:t xml:space="preserve">shows area distributions by several inventory parameters for the </w:t>
      </w:r>
      <w:r w:rsidR="00B666C3">
        <w:rPr>
          <w:lang w:val="en-CA"/>
        </w:rPr>
        <w:t>entire LiDAR</w:t>
      </w:r>
      <w:r w:rsidR="00FF2F1B">
        <w:rPr>
          <w:lang w:val="en-CA"/>
        </w:rPr>
        <w:t xml:space="preserve"> area.  </w:t>
      </w:r>
      <w:r w:rsidR="00B666C3">
        <w:rPr>
          <w:lang w:val="en-CA"/>
        </w:rPr>
        <w:t>It is noted that more than half of the area are inventoried by F (FIP/FC1, inventory methods used prior to year 2000) and about 1/3 of the area by V standard (VRI standard after year 2000).  The “I” standard is mostly update of cut blocks.  This is consistent with the inventory data age (reference year – the year of ph</w:t>
      </w:r>
      <w:r w:rsidR="00A34D0D">
        <w:rPr>
          <w:lang w:val="en-CA"/>
        </w:rPr>
        <w:t xml:space="preserve">otography/inventory was done). </w:t>
      </w:r>
      <w:r w:rsidR="00B666C3">
        <w:rPr>
          <w:lang w:val="en-CA"/>
        </w:rPr>
        <w:t>Forest in the area is dominated by 2 BEC zones (ICH and ESSF) and 4 species (</w:t>
      </w:r>
      <w:r w:rsidR="00F4381B">
        <w:rPr>
          <w:lang w:val="en-CA"/>
        </w:rPr>
        <w:t xml:space="preserve">B, FD, PL, </w:t>
      </w:r>
      <w:proofErr w:type="gramStart"/>
      <w:r w:rsidR="00F4381B">
        <w:rPr>
          <w:lang w:val="en-CA"/>
        </w:rPr>
        <w:t>SW</w:t>
      </w:r>
      <w:proofErr w:type="gramEnd"/>
      <w:r w:rsidR="00F4381B">
        <w:rPr>
          <w:lang w:val="en-CA"/>
        </w:rPr>
        <w:t>) (True/Subalpine Fir</w:t>
      </w:r>
      <w:r w:rsidR="00A47F3B">
        <w:rPr>
          <w:lang w:val="en-CA"/>
        </w:rPr>
        <w:t xml:space="preserve">, </w:t>
      </w:r>
      <w:r w:rsidR="00D74A4E">
        <w:rPr>
          <w:lang w:val="en-CA"/>
        </w:rPr>
        <w:t xml:space="preserve">Douglas </w:t>
      </w:r>
      <w:r w:rsidR="00A47F3B">
        <w:rPr>
          <w:lang w:val="en-CA"/>
        </w:rPr>
        <w:t xml:space="preserve">Fir, </w:t>
      </w:r>
      <w:proofErr w:type="spellStart"/>
      <w:r w:rsidR="00D74A4E">
        <w:rPr>
          <w:lang w:val="en-CA"/>
        </w:rPr>
        <w:t>Lodg</w:t>
      </w:r>
      <w:r w:rsidR="00A47F3B">
        <w:rPr>
          <w:lang w:val="en-CA"/>
        </w:rPr>
        <w:t>e</w:t>
      </w:r>
      <w:r w:rsidR="00D74A4E">
        <w:rPr>
          <w:lang w:val="en-CA"/>
        </w:rPr>
        <w:t>p</w:t>
      </w:r>
      <w:r w:rsidR="00A47F3B">
        <w:rPr>
          <w:lang w:val="en-CA"/>
        </w:rPr>
        <w:t>ole</w:t>
      </w:r>
      <w:proofErr w:type="spellEnd"/>
      <w:r w:rsidR="00A47F3B">
        <w:rPr>
          <w:lang w:val="en-CA"/>
        </w:rPr>
        <w:t xml:space="preserve"> Pine, and </w:t>
      </w:r>
      <w:r w:rsidR="00F4381B">
        <w:rPr>
          <w:lang w:val="en-CA"/>
        </w:rPr>
        <w:t xml:space="preserve">White/Engelmann </w:t>
      </w:r>
      <w:r w:rsidR="00A47F3B">
        <w:rPr>
          <w:lang w:val="en-CA"/>
        </w:rPr>
        <w:t>Spruce)</w:t>
      </w:r>
      <w:r w:rsidR="00A34D0D">
        <w:rPr>
          <w:lang w:val="en-CA"/>
        </w:rPr>
        <w:t>.</w:t>
      </w:r>
    </w:p>
    <w:p w:rsidR="00A34D0D" w:rsidRDefault="00A34D0D" w:rsidP="00FF2F1B">
      <w:pPr>
        <w:rPr>
          <w:lang w:val="en-CA"/>
        </w:rPr>
      </w:pPr>
    </w:p>
    <w:p w:rsidR="009D6760" w:rsidRDefault="00C63465" w:rsidP="009D6760">
      <w:pPr>
        <w:rPr>
          <w:lang w:val="en-CA"/>
        </w:rPr>
      </w:pPr>
      <w:r w:rsidRPr="00F76C13">
        <w:rPr>
          <w:noProof/>
          <w:lang w:val="en-CA" w:eastAsia="zh-CN"/>
        </w:rPr>
        <w:lastRenderedPageBreak/>
        <w:drawing>
          <wp:inline distT="0" distB="0" distL="0" distR="0" wp14:anchorId="05E6143A" wp14:editId="66A2B74E">
            <wp:extent cx="2727960" cy="2049780"/>
            <wp:effectExtent l="0" t="0" r="15240" b="2667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F76C13">
        <w:rPr>
          <w:noProof/>
          <w:lang w:val="en-CA" w:eastAsia="zh-CN"/>
        </w:rPr>
        <w:drawing>
          <wp:inline distT="0" distB="0" distL="0" distR="0" wp14:anchorId="0B5F1B0F" wp14:editId="5A9DBB41">
            <wp:extent cx="2727960" cy="2049780"/>
            <wp:effectExtent l="0" t="0" r="15240" b="2667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63465" w:rsidRPr="00DA440E" w:rsidRDefault="00DA440E" w:rsidP="008E63C7">
      <w:pPr>
        <w:numPr>
          <w:ilvl w:val="0"/>
          <w:numId w:val="11"/>
        </w:numPr>
        <w:tabs>
          <w:tab w:val="left" w:pos="1418"/>
          <w:tab w:val="left" w:pos="5670"/>
        </w:tabs>
        <w:ind w:left="851" w:firstLine="0"/>
      </w:pPr>
      <w:r>
        <w:t>by inventory standards</w:t>
      </w:r>
      <w:r>
        <w:tab/>
        <w:t>(b) by reference year</w:t>
      </w:r>
    </w:p>
    <w:p w:rsidR="00C63465" w:rsidRDefault="00C63465" w:rsidP="009D6760">
      <w:pPr>
        <w:rPr>
          <w:lang w:val="en-CA"/>
        </w:rPr>
      </w:pPr>
      <w:r w:rsidRPr="00AB73A6">
        <w:rPr>
          <w:noProof/>
          <w:lang w:val="en-CA" w:eastAsia="zh-CN"/>
        </w:rPr>
        <w:drawing>
          <wp:inline distT="0" distB="0" distL="0" distR="0" wp14:anchorId="70259E47" wp14:editId="6E35F8AF">
            <wp:extent cx="2697480" cy="2080260"/>
            <wp:effectExtent l="0" t="0" r="26670" b="1524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F76C13">
        <w:rPr>
          <w:noProof/>
          <w:lang w:val="en-CA" w:eastAsia="zh-CN"/>
        </w:rPr>
        <w:drawing>
          <wp:inline distT="0" distB="0" distL="0" distR="0" wp14:anchorId="27924B2F" wp14:editId="325B1C6C">
            <wp:extent cx="2743200" cy="2080260"/>
            <wp:effectExtent l="0" t="0" r="19050" b="15240"/>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DA440E" w:rsidRPr="00DA440E" w:rsidRDefault="00DA440E" w:rsidP="00DA440E">
      <w:pPr>
        <w:tabs>
          <w:tab w:val="left" w:pos="1418"/>
          <w:tab w:val="left" w:pos="5670"/>
        </w:tabs>
        <w:ind w:left="851"/>
        <w:rPr>
          <w:lang w:val="en-CA"/>
        </w:rPr>
      </w:pPr>
      <w:r>
        <w:t xml:space="preserve">(c) </w:t>
      </w:r>
      <w:r>
        <w:tab/>
      </w:r>
      <w:proofErr w:type="gramStart"/>
      <w:r>
        <w:t>by</w:t>
      </w:r>
      <w:proofErr w:type="gramEnd"/>
      <w:r>
        <w:t xml:space="preserve"> leading species</w:t>
      </w:r>
      <w:r>
        <w:tab/>
        <w:t xml:space="preserve">(d) by </w:t>
      </w:r>
      <w:r w:rsidR="00B666C3">
        <w:t>age class</w:t>
      </w:r>
    </w:p>
    <w:p w:rsidR="00C63465" w:rsidRPr="009D6760" w:rsidRDefault="00C63465" w:rsidP="009D6760">
      <w:pPr>
        <w:rPr>
          <w:lang w:val="en-CA"/>
        </w:rPr>
      </w:pPr>
      <w:r w:rsidRPr="00F76C13">
        <w:rPr>
          <w:noProof/>
          <w:lang w:val="en-CA" w:eastAsia="zh-CN"/>
        </w:rPr>
        <w:drawing>
          <wp:inline distT="0" distB="0" distL="0" distR="0" wp14:anchorId="6C5E269C" wp14:editId="72FC2488">
            <wp:extent cx="2697480" cy="2072640"/>
            <wp:effectExtent l="0" t="0" r="26670" b="22860"/>
            <wp:docPr id="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Pr="00F76C13">
        <w:rPr>
          <w:noProof/>
          <w:lang w:val="en-CA" w:eastAsia="zh-CN"/>
        </w:rPr>
        <w:drawing>
          <wp:inline distT="0" distB="0" distL="0" distR="0" wp14:anchorId="4E126AF8" wp14:editId="339E85C9">
            <wp:extent cx="2705100" cy="2072640"/>
            <wp:effectExtent l="0" t="0" r="19050" b="2286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7C220F" w:rsidRDefault="00DA440E" w:rsidP="00DA440E">
      <w:pPr>
        <w:tabs>
          <w:tab w:val="left" w:pos="1418"/>
          <w:tab w:val="left" w:pos="5670"/>
        </w:tabs>
        <w:ind w:left="851"/>
      </w:pPr>
      <w:r>
        <w:t>(e)</w:t>
      </w:r>
      <w:r w:rsidR="00B666C3">
        <w:tab/>
      </w:r>
      <w:proofErr w:type="gramStart"/>
      <w:r w:rsidR="00B666C3">
        <w:t>by</w:t>
      </w:r>
      <w:proofErr w:type="gramEnd"/>
      <w:r w:rsidR="00B666C3">
        <w:t xml:space="preserve"> h</w:t>
      </w:r>
      <w:r>
        <w:t>eight class</w:t>
      </w:r>
      <w:r>
        <w:tab/>
        <w:t>(f) by BEC zone</w:t>
      </w:r>
    </w:p>
    <w:p w:rsidR="00643639" w:rsidRDefault="00A34D0D" w:rsidP="00A34D0D">
      <w:pPr>
        <w:pStyle w:val="NormalWeb"/>
      </w:pPr>
      <w:bookmarkStart w:id="34" w:name="_Ref449438543"/>
      <w:bookmarkStart w:id="35" w:name="_Toc449515878"/>
      <w:r>
        <w:t xml:space="preserve">Figure </w:t>
      </w:r>
      <w:r>
        <w:fldChar w:fldCharType="begin"/>
      </w:r>
      <w:r>
        <w:instrText xml:space="preserve"> SEQ Figure \* ARABIC </w:instrText>
      </w:r>
      <w:r>
        <w:fldChar w:fldCharType="separate"/>
      </w:r>
      <w:r w:rsidR="00173AD0">
        <w:rPr>
          <w:noProof/>
        </w:rPr>
        <w:t>4</w:t>
      </w:r>
      <w:r>
        <w:fldChar w:fldCharType="end"/>
      </w:r>
      <w:bookmarkEnd w:id="34"/>
      <w:r w:rsidRPr="00A34D0D">
        <w:t xml:space="preserve"> </w:t>
      </w:r>
      <w:r>
        <w:t>Area distributions as summarized from the 2014 VRI.</w:t>
      </w:r>
      <w:bookmarkEnd w:id="35"/>
      <w:r>
        <w:t xml:space="preserve">  </w:t>
      </w:r>
    </w:p>
    <w:p w:rsidR="00DA440E" w:rsidRDefault="00C5594E" w:rsidP="00C5594E">
      <w:pPr>
        <w:pStyle w:val="Heading2"/>
      </w:pPr>
      <w:bookmarkStart w:id="36" w:name="_Toc449596360"/>
      <w:r>
        <w:t>LiDAR Data QA</w:t>
      </w:r>
      <w:r w:rsidR="00EA6AA2">
        <w:t xml:space="preserve"> and Pre-Processing</w:t>
      </w:r>
      <w:bookmarkEnd w:id="36"/>
    </w:p>
    <w:p w:rsidR="00EA6AA2" w:rsidRDefault="00EA6AA2" w:rsidP="00C5594E">
      <w:r>
        <w:t>One of the project area</w:t>
      </w:r>
      <w:r w:rsidR="00D9707D">
        <w:t>s</w:t>
      </w:r>
      <w:r>
        <w:t xml:space="preserve"> in Okanagan TSA) was selected for detail quality assurance check of LiDAR data as delivered from the provider.  </w:t>
      </w:r>
    </w:p>
    <w:p w:rsidR="007578ED" w:rsidRDefault="00EA6AA2" w:rsidP="00C5594E">
      <w:r>
        <w:lastRenderedPageBreak/>
        <w:fldChar w:fldCharType="begin"/>
      </w:r>
      <w:r>
        <w:instrText xml:space="preserve"> REF _Ref449509636 \h </w:instrText>
      </w:r>
      <w:r>
        <w:fldChar w:fldCharType="separate"/>
      </w:r>
      <w:r>
        <w:t xml:space="preserve">Table </w:t>
      </w:r>
      <w:r>
        <w:rPr>
          <w:noProof/>
        </w:rPr>
        <w:t>5</w:t>
      </w:r>
      <w:r>
        <w:fldChar w:fldCharType="end"/>
      </w:r>
      <w:r>
        <w:t xml:space="preserve"> provides a summary of laser points by return class, while </w:t>
      </w:r>
      <w:r>
        <w:fldChar w:fldCharType="begin"/>
      </w:r>
      <w:r>
        <w:instrText xml:space="preserve"> REF _Ref449509891 \h </w:instrText>
      </w:r>
      <w:r>
        <w:fldChar w:fldCharType="separate"/>
      </w:r>
      <w:r>
        <w:t xml:space="preserve">Figure </w:t>
      </w:r>
      <w:r>
        <w:rPr>
          <w:noProof/>
        </w:rPr>
        <w:t>5</w:t>
      </w:r>
      <w:r>
        <w:fldChar w:fldCharType="end"/>
      </w:r>
      <w:r>
        <w:t xml:space="preserve"> shows </w:t>
      </w:r>
      <w:r w:rsidR="007578ED">
        <w:t xml:space="preserve">hill shaded </w:t>
      </w:r>
      <w:r>
        <w:t xml:space="preserve">bare earth DEM with the original BCGS 1:2,500 Grid System.  </w:t>
      </w:r>
    </w:p>
    <w:p w:rsidR="00EA6AA2" w:rsidRDefault="007578ED" w:rsidP="00C5594E">
      <w:r>
        <w:t xml:space="preserve">Points with above canopy reflections (due to the presence of atmospheric moisture, particulates, and other airborne obstructions such as birds, insects, </w:t>
      </w:r>
      <w:proofErr w:type="spellStart"/>
      <w:r>
        <w:t>etc</w:t>
      </w:r>
      <w:proofErr w:type="spellEnd"/>
      <w:r>
        <w:t xml:space="preserve">,) as well other forms of sensor noise were removed or filtered prior to metric extraction. Other non-vegetation classes such as buildings and other anthropogenic structures, withheld, and duplicates were also filtered out.  </w:t>
      </w:r>
    </w:p>
    <w:p w:rsidR="00EA6AA2" w:rsidRDefault="00EA6AA2" w:rsidP="00C5594E"/>
    <w:p w:rsidR="00EA6AA2" w:rsidRDefault="00EA6AA2" w:rsidP="00EA6AA2">
      <w:pPr>
        <w:pStyle w:val="Caption"/>
      </w:pPr>
      <w:bookmarkStart w:id="37" w:name="_Ref449509636"/>
      <w:bookmarkStart w:id="38" w:name="_Toc449515870"/>
      <w:r>
        <w:t xml:space="preserve">Table </w:t>
      </w:r>
      <w:r w:rsidR="008E0E5D">
        <w:fldChar w:fldCharType="begin"/>
      </w:r>
      <w:r w:rsidR="008E0E5D">
        <w:instrText xml:space="preserve"> SEQ </w:instrText>
      </w:r>
      <w:r w:rsidR="008E0E5D">
        <w:instrText xml:space="preserve">Table \* ARABIC </w:instrText>
      </w:r>
      <w:r w:rsidR="008E0E5D">
        <w:fldChar w:fldCharType="separate"/>
      </w:r>
      <w:r>
        <w:rPr>
          <w:noProof/>
        </w:rPr>
        <w:t>5</w:t>
      </w:r>
      <w:r w:rsidR="008E0E5D">
        <w:rPr>
          <w:noProof/>
        </w:rPr>
        <w:fldChar w:fldCharType="end"/>
      </w:r>
      <w:bookmarkEnd w:id="37"/>
      <w:r>
        <w:t xml:space="preserve">  Total number of laser points in by return class. Statistics derived from the original Okanagan dataset delivered by LiDAR data provider.</w:t>
      </w:r>
      <w:bookmarkEnd w:id="38"/>
    </w:p>
    <w:p w:rsidR="00EA6AA2" w:rsidRDefault="00EA6AA2" w:rsidP="00EA6AA2">
      <w:pPr>
        <w:pStyle w:val="Table"/>
        <w:numPr>
          <w:ilvl w:val="0"/>
          <w:numId w:val="0"/>
        </w:numPr>
        <w:ind w:left="360" w:hanging="360"/>
      </w:pPr>
    </w:p>
    <w:tbl>
      <w:tblPr>
        <w:tblStyle w:val="LightShading-Accent1"/>
        <w:tblW w:w="4140" w:type="dxa"/>
        <w:tblLook w:val="04A0" w:firstRow="1" w:lastRow="0" w:firstColumn="1" w:lastColumn="0" w:noHBand="0" w:noVBand="1"/>
      </w:tblPr>
      <w:tblGrid>
        <w:gridCol w:w="1540"/>
        <w:gridCol w:w="1640"/>
        <w:gridCol w:w="960"/>
      </w:tblGrid>
      <w:tr w:rsidR="00EA6AA2" w:rsidRPr="006A40B6" w:rsidTr="00864BD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Return Type</w:t>
            </w:r>
          </w:p>
        </w:tc>
        <w:tc>
          <w:tcPr>
            <w:tcW w:w="1640" w:type="dxa"/>
            <w:noWrap/>
            <w:hideMark/>
          </w:tcPr>
          <w:p w:rsidR="00EA6AA2" w:rsidRPr="006A40B6" w:rsidRDefault="00EA6AA2" w:rsidP="00864BDC">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Count</w:t>
            </w:r>
          </w:p>
        </w:tc>
        <w:tc>
          <w:tcPr>
            <w:tcW w:w="960" w:type="dxa"/>
            <w:noWrap/>
            <w:hideMark/>
          </w:tcPr>
          <w:p w:rsidR="00EA6AA2" w:rsidRPr="006A40B6" w:rsidRDefault="00EA6AA2" w:rsidP="00864BDC">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w:t>
            </w:r>
          </w:p>
        </w:tc>
      </w:tr>
      <w:tr w:rsidR="00EA6AA2" w:rsidRPr="006A40B6" w:rsidTr="00864B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First</w:t>
            </w:r>
          </w:p>
        </w:tc>
        <w:tc>
          <w:tcPr>
            <w:tcW w:w="164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2,979,857,828</w:t>
            </w:r>
          </w:p>
        </w:tc>
        <w:tc>
          <w:tcPr>
            <w:tcW w:w="96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85.94</w:t>
            </w:r>
          </w:p>
        </w:tc>
      </w:tr>
      <w:tr w:rsidR="00EA6AA2" w:rsidRPr="006A40B6" w:rsidTr="00864BDC">
        <w:trPr>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Second</w:t>
            </w:r>
          </w:p>
        </w:tc>
        <w:tc>
          <w:tcPr>
            <w:tcW w:w="164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390,773,074</w:t>
            </w:r>
          </w:p>
        </w:tc>
        <w:tc>
          <w:tcPr>
            <w:tcW w:w="96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11.27</w:t>
            </w:r>
          </w:p>
        </w:tc>
      </w:tr>
      <w:tr w:rsidR="00EA6AA2" w:rsidRPr="006A40B6" w:rsidTr="00864B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Third</w:t>
            </w:r>
          </w:p>
        </w:tc>
        <w:tc>
          <w:tcPr>
            <w:tcW w:w="164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80,394,573</w:t>
            </w:r>
          </w:p>
        </w:tc>
        <w:tc>
          <w:tcPr>
            <w:tcW w:w="96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2.32</w:t>
            </w:r>
          </w:p>
        </w:tc>
      </w:tr>
      <w:tr w:rsidR="00EA6AA2" w:rsidRPr="006A40B6" w:rsidTr="00864BDC">
        <w:trPr>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Fourth</w:t>
            </w:r>
          </w:p>
        </w:tc>
        <w:tc>
          <w:tcPr>
            <w:tcW w:w="164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14,838,345</w:t>
            </w:r>
          </w:p>
        </w:tc>
        <w:tc>
          <w:tcPr>
            <w:tcW w:w="96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0.43</w:t>
            </w:r>
          </w:p>
        </w:tc>
      </w:tr>
      <w:tr w:rsidR="00EA6AA2" w:rsidRPr="006A40B6" w:rsidTr="00864B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Fifth</w:t>
            </w:r>
          </w:p>
        </w:tc>
        <w:tc>
          <w:tcPr>
            <w:tcW w:w="164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1,605,609</w:t>
            </w:r>
          </w:p>
        </w:tc>
        <w:tc>
          <w:tcPr>
            <w:tcW w:w="96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0.05</w:t>
            </w:r>
          </w:p>
        </w:tc>
      </w:tr>
      <w:tr w:rsidR="00EA6AA2" w:rsidRPr="006A40B6" w:rsidTr="00864BDC">
        <w:trPr>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Intermediate</w:t>
            </w:r>
          </w:p>
        </w:tc>
        <w:tc>
          <w:tcPr>
            <w:tcW w:w="164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96,893,631</w:t>
            </w:r>
          </w:p>
        </w:tc>
        <w:tc>
          <w:tcPr>
            <w:tcW w:w="96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2.79</w:t>
            </w:r>
          </w:p>
        </w:tc>
      </w:tr>
      <w:tr w:rsidR="00EA6AA2" w:rsidRPr="006A40B6" w:rsidTr="00864B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Last</w:t>
            </w:r>
          </w:p>
        </w:tc>
        <w:tc>
          <w:tcPr>
            <w:tcW w:w="164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2,978,512,598</w:t>
            </w:r>
          </w:p>
        </w:tc>
        <w:tc>
          <w:tcPr>
            <w:tcW w:w="96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85.90</w:t>
            </w:r>
          </w:p>
        </w:tc>
      </w:tr>
      <w:tr w:rsidR="00EA6AA2" w:rsidRPr="006A40B6" w:rsidTr="00864BDC">
        <w:trPr>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Single</w:t>
            </w:r>
          </w:p>
        </w:tc>
        <w:tc>
          <w:tcPr>
            <w:tcW w:w="164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2,587,794,628</w:t>
            </w:r>
          </w:p>
        </w:tc>
        <w:tc>
          <w:tcPr>
            <w:tcW w:w="96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74.63</w:t>
            </w:r>
          </w:p>
        </w:tc>
      </w:tr>
      <w:tr w:rsidR="00EA6AA2" w:rsidRPr="006A40B6" w:rsidTr="00864B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Ground (2)</w:t>
            </w:r>
          </w:p>
        </w:tc>
        <w:tc>
          <w:tcPr>
            <w:tcW w:w="164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617,618,782</w:t>
            </w:r>
          </w:p>
        </w:tc>
        <w:tc>
          <w:tcPr>
            <w:tcW w:w="96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17.81</w:t>
            </w:r>
          </w:p>
        </w:tc>
      </w:tr>
      <w:tr w:rsidR="00EA6AA2" w:rsidRPr="006A40B6" w:rsidTr="00864BDC">
        <w:trPr>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Low Veg (3)</w:t>
            </w:r>
          </w:p>
        </w:tc>
        <w:tc>
          <w:tcPr>
            <w:tcW w:w="164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451,694,586</w:t>
            </w:r>
          </w:p>
        </w:tc>
        <w:tc>
          <w:tcPr>
            <w:tcW w:w="96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13.03</w:t>
            </w:r>
          </w:p>
        </w:tc>
      </w:tr>
      <w:tr w:rsidR="00EA6AA2" w:rsidRPr="006A40B6" w:rsidTr="00864B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Med. Veg (4)</w:t>
            </w:r>
          </w:p>
        </w:tc>
        <w:tc>
          <w:tcPr>
            <w:tcW w:w="164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116,075,290</w:t>
            </w:r>
          </w:p>
        </w:tc>
        <w:tc>
          <w:tcPr>
            <w:tcW w:w="96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3.35</w:t>
            </w:r>
          </w:p>
        </w:tc>
      </w:tr>
      <w:tr w:rsidR="00EA6AA2" w:rsidRPr="006A40B6" w:rsidTr="00864BDC">
        <w:trPr>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High Veg. (5)</w:t>
            </w:r>
          </w:p>
        </w:tc>
        <w:tc>
          <w:tcPr>
            <w:tcW w:w="164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2,282,075,702</w:t>
            </w:r>
          </w:p>
        </w:tc>
        <w:tc>
          <w:tcPr>
            <w:tcW w:w="96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65.81</w:t>
            </w:r>
          </w:p>
        </w:tc>
      </w:tr>
      <w:tr w:rsidR="00EA6AA2" w:rsidRPr="006A40B6" w:rsidTr="00864B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Noise (7)</w:t>
            </w:r>
          </w:p>
        </w:tc>
        <w:tc>
          <w:tcPr>
            <w:tcW w:w="164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5,069</w:t>
            </w:r>
          </w:p>
        </w:tc>
        <w:tc>
          <w:tcPr>
            <w:tcW w:w="960" w:type="dxa"/>
            <w:noWrap/>
            <w:hideMark/>
          </w:tcPr>
          <w:p w:rsidR="00EA6AA2" w:rsidRPr="006A40B6" w:rsidRDefault="00EA6AA2" w:rsidP="00864BDC">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0.00</w:t>
            </w:r>
          </w:p>
        </w:tc>
      </w:tr>
      <w:tr w:rsidR="00EA6AA2" w:rsidRPr="006A40B6" w:rsidTr="00864BDC">
        <w:trPr>
          <w:trHeight w:val="300"/>
        </w:trPr>
        <w:tc>
          <w:tcPr>
            <w:cnfStyle w:val="001000000000" w:firstRow="0" w:lastRow="0" w:firstColumn="1" w:lastColumn="0" w:oddVBand="0" w:evenVBand="0" w:oddHBand="0" w:evenHBand="0" w:firstRowFirstColumn="0" w:firstRowLastColumn="0" w:lastRowFirstColumn="0" w:lastRowLastColumn="0"/>
            <w:tcW w:w="1540" w:type="dxa"/>
            <w:noWrap/>
            <w:hideMark/>
          </w:tcPr>
          <w:p w:rsidR="00EA6AA2" w:rsidRPr="006A40B6" w:rsidRDefault="00EA6AA2" w:rsidP="00864BDC">
            <w:pPr>
              <w:rPr>
                <w:rFonts w:eastAsia="Times New Roman" w:cs="Times New Roman"/>
                <w:color w:val="000000"/>
                <w:lang w:eastAsia="en-CA"/>
              </w:rPr>
            </w:pPr>
            <w:r w:rsidRPr="006A40B6">
              <w:rPr>
                <w:rFonts w:eastAsia="Times New Roman" w:cs="Times New Roman"/>
                <w:color w:val="000000"/>
                <w:lang w:eastAsia="en-CA"/>
              </w:rPr>
              <w:t>All</w:t>
            </w:r>
          </w:p>
        </w:tc>
        <w:tc>
          <w:tcPr>
            <w:tcW w:w="164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3,467,469,429</w:t>
            </w:r>
          </w:p>
        </w:tc>
        <w:tc>
          <w:tcPr>
            <w:tcW w:w="960" w:type="dxa"/>
            <w:noWrap/>
            <w:hideMark/>
          </w:tcPr>
          <w:p w:rsidR="00EA6AA2" w:rsidRPr="006A40B6" w:rsidRDefault="00EA6AA2" w:rsidP="00864BD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n-CA"/>
              </w:rPr>
            </w:pPr>
            <w:r w:rsidRPr="006A40B6">
              <w:rPr>
                <w:rFonts w:eastAsia="Times New Roman" w:cs="Times New Roman"/>
                <w:color w:val="000000"/>
                <w:lang w:eastAsia="en-CA"/>
              </w:rPr>
              <w:t>100.00</w:t>
            </w:r>
          </w:p>
        </w:tc>
      </w:tr>
    </w:tbl>
    <w:p w:rsidR="00C5594E" w:rsidRDefault="00EA6AA2" w:rsidP="00C5594E">
      <w:r>
        <w:t xml:space="preserve"> </w:t>
      </w:r>
    </w:p>
    <w:p w:rsidR="00EA6AA2" w:rsidRDefault="00EA6AA2" w:rsidP="00C5594E"/>
    <w:p w:rsidR="00EA6AA2" w:rsidRDefault="00EA6AA2" w:rsidP="00C5594E"/>
    <w:p w:rsidR="00EA6AA2" w:rsidRDefault="00EA6AA2" w:rsidP="00C5594E">
      <w:r>
        <w:rPr>
          <w:noProof/>
          <w:lang w:val="en-CA" w:eastAsia="zh-CN"/>
        </w:rPr>
        <w:lastRenderedPageBreak/>
        <w:drawing>
          <wp:inline distT="0" distB="0" distL="0" distR="0" wp14:anchorId="1D60E316" wp14:editId="28F47A97">
            <wp:extent cx="3635730" cy="352425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int_cloud_outline.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637935" cy="3526388"/>
                    </a:xfrm>
                    <a:prstGeom prst="rect">
                      <a:avLst/>
                    </a:prstGeom>
                  </pic:spPr>
                </pic:pic>
              </a:graphicData>
            </a:graphic>
          </wp:inline>
        </w:drawing>
      </w:r>
      <w:r w:rsidR="00593644">
        <w:t xml:space="preserve">   </w:t>
      </w:r>
      <w:r>
        <w:rPr>
          <w:noProof/>
          <w:lang w:val="en-CA" w:eastAsia="zh-CN"/>
        </w:rPr>
        <w:drawing>
          <wp:inline distT="0" distB="0" distL="0" distR="0" wp14:anchorId="232193F7" wp14:editId="5A3621F4">
            <wp:extent cx="1684828" cy="2049517"/>
            <wp:effectExtent l="0" t="0" r="0" b="8255"/>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an_dem_bcgs_legend.png"/>
                    <pic:cNvPicPr/>
                  </pic:nvPicPr>
                  <pic:blipFill rotWithShape="1">
                    <a:blip r:embed="rId43">
                      <a:extLst>
                        <a:ext uri="{28A0092B-C50C-407E-A947-70E740481C1C}">
                          <a14:useLocalDpi xmlns:a14="http://schemas.microsoft.com/office/drawing/2010/main" val="0"/>
                        </a:ext>
                      </a:extLst>
                    </a:blip>
                    <a:srcRect t="14508" b="46891"/>
                    <a:stretch/>
                  </pic:blipFill>
                  <pic:spPr bwMode="auto">
                    <a:xfrm>
                      <a:off x="0" y="0"/>
                      <a:ext cx="1701553" cy="2069863"/>
                    </a:xfrm>
                    <a:prstGeom prst="rect">
                      <a:avLst/>
                    </a:prstGeom>
                    <a:ln>
                      <a:noFill/>
                    </a:ln>
                    <a:extLst>
                      <a:ext uri="{53640926-AAD7-44D8-BBD7-CCE9431645EC}">
                        <a14:shadowObscured xmlns:a14="http://schemas.microsoft.com/office/drawing/2010/main"/>
                      </a:ext>
                    </a:extLst>
                  </pic:spPr>
                </pic:pic>
              </a:graphicData>
            </a:graphic>
          </wp:inline>
        </w:drawing>
      </w:r>
    </w:p>
    <w:p w:rsidR="00EA6AA2" w:rsidRDefault="00EA6AA2" w:rsidP="00EA6AA2">
      <w:pPr>
        <w:pStyle w:val="Caption"/>
      </w:pPr>
      <w:bookmarkStart w:id="39" w:name="_Ref449509891"/>
      <w:bookmarkStart w:id="40" w:name="_Toc449515879"/>
      <w:r>
        <w:t xml:space="preserve">Figure </w:t>
      </w:r>
      <w:r w:rsidR="008E0E5D">
        <w:fldChar w:fldCharType="begin"/>
      </w:r>
      <w:r w:rsidR="008E0E5D">
        <w:instrText xml:space="preserve"> SEQ Figure \* ARABIC </w:instrText>
      </w:r>
      <w:r w:rsidR="008E0E5D">
        <w:fldChar w:fldCharType="separate"/>
      </w:r>
      <w:r w:rsidR="00173AD0">
        <w:rPr>
          <w:noProof/>
        </w:rPr>
        <w:t>5</w:t>
      </w:r>
      <w:r w:rsidR="008E0E5D">
        <w:rPr>
          <w:noProof/>
        </w:rPr>
        <w:fldChar w:fldCharType="end"/>
      </w:r>
      <w:bookmarkEnd w:id="39"/>
      <w:r>
        <w:t xml:space="preserve">  Bare earth DEM with the original BCGS 1:2,500 Grid System.</w:t>
      </w:r>
      <w:bookmarkEnd w:id="40"/>
    </w:p>
    <w:p w:rsidR="00EA6AA2" w:rsidRDefault="007578ED" w:rsidP="007578ED">
      <w:r>
        <w:t xml:space="preserve">The original tiled </w:t>
      </w:r>
      <w:r w:rsidR="003047D9">
        <w:t xml:space="preserve">maps from the data provider are useful for view and GIS applications, but </w:t>
      </w:r>
      <w:r>
        <w:t xml:space="preserve">difficult for </w:t>
      </w:r>
      <w:r w:rsidR="003047D9">
        <w:t xml:space="preserve">inventory analysis and </w:t>
      </w:r>
      <w:r>
        <w:t>processing</w:t>
      </w:r>
      <w:r w:rsidR="003047D9">
        <w:t>.  Therefore, the original LiDAR point cloud data was r</w:t>
      </w:r>
      <w:r>
        <w:t>e-block</w:t>
      </w:r>
      <w:r w:rsidR="003047D9">
        <w:t xml:space="preserve">ed (retitled) to a square shape map of 1000m by 1000m with a 25m buffer between tiled maps.  The re-blocking </w:t>
      </w:r>
      <w:r>
        <w:t>allow</w:t>
      </w:r>
      <w:r w:rsidR="00D9707D">
        <w:t>ed</w:t>
      </w:r>
      <w:r>
        <w:t xml:space="preserve"> the analyst to eliminate or spot several problems that might arise from processing errors inadvertently created by the data provider, such as inclusion of boundary points, duplicate points, and data corruption.</w:t>
      </w:r>
      <w:r w:rsidR="003047D9">
        <w:t xml:space="preserve"> The s</w:t>
      </w:r>
      <w:r>
        <w:t xml:space="preserve">quare tiles allow for fast and efficient tile buffering, data clipping, gridding, and image mosaicking. </w:t>
      </w:r>
      <w:r w:rsidR="003047D9">
        <w:t xml:space="preserve">The </w:t>
      </w:r>
      <w:r>
        <w:t>outside buffer (</w:t>
      </w:r>
      <w:r w:rsidR="003047D9">
        <w:t>25</w:t>
      </w:r>
      <w:r>
        <w:t xml:space="preserve"> m)</w:t>
      </w:r>
      <w:r w:rsidR="00D9707D">
        <w:t xml:space="preserve"> was used</w:t>
      </w:r>
      <w:r>
        <w:t xml:space="preserve"> to eliminate unwanted boundary artifacts associated with other downstream processes, such as ground finding, DEM extraction, height normalization, etc.</w:t>
      </w:r>
    </w:p>
    <w:p w:rsidR="003047D9" w:rsidRDefault="003047D9" w:rsidP="007578ED">
      <w:r>
        <w:fldChar w:fldCharType="begin"/>
      </w:r>
      <w:r>
        <w:instrText xml:space="preserve"> REF _Ref449511126 \h </w:instrText>
      </w:r>
      <w:r>
        <w:fldChar w:fldCharType="separate"/>
      </w:r>
      <w:r>
        <w:t xml:space="preserve">Figure </w:t>
      </w:r>
      <w:r>
        <w:rPr>
          <w:noProof/>
        </w:rPr>
        <w:t>6</w:t>
      </w:r>
      <w:r>
        <w:fldChar w:fldCharType="end"/>
      </w:r>
      <w:r>
        <w:t xml:space="preserve"> shows the square maps after the re-tiling.</w:t>
      </w:r>
    </w:p>
    <w:p w:rsidR="003047D9" w:rsidRDefault="003047D9" w:rsidP="007578ED"/>
    <w:p w:rsidR="003047D9" w:rsidRDefault="003047D9" w:rsidP="007578ED">
      <w:r>
        <w:rPr>
          <w:noProof/>
          <w:lang w:val="en-CA" w:eastAsia="zh-CN"/>
        </w:rPr>
        <w:lastRenderedPageBreak/>
        <w:drawing>
          <wp:inline distT="0" distB="0" distL="0" distR="0" wp14:anchorId="224B75A2" wp14:editId="43EC9241">
            <wp:extent cx="5486400" cy="531817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an_dem_retiled.png"/>
                    <pic:cNvPicPr/>
                  </pic:nvPicPr>
                  <pic:blipFill>
                    <a:blip r:embed="rId44">
                      <a:extLst>
                        <a:ext uri="{28A0092B-C50C-407E-A947-70E740481C1C}">
                          <a14:useLocalDpi xmlns:a14="http://schemas.microsoft.com/office/drawing/2010/main" val="0"/>
                        </a:ext>
                      </a:extLst>
                    </a:blip>
                    <a:stretch>
                      <a:fillRect/>
                    </a:stretch>
                  </pic:blipFill>
                  <pic:spPr>
                    <a:xfrm>
                      <a:off x="0" y="0"/>
                      <a:ext cx="5486400" cy="5318174"/>
                    </a:xfrm>
                    <a:prstGeom prst="rect">
                      <a:avLst/>
                    </a:prstGeom>
                  </pic:spPr>
                </pic:pic>
              </a:graphicData>
            </a:graphic>
          </wp:inline>
        </w:drawing>
      </w:r>
    </w:p>
    <w:p w:rsidR="003047D9" w:rsidRDefault="003047D9" w:rsidP="003047D9">
      <w:pPr>
        <w:pStyle w:val="Caption"/>
      </w:pPr>
      <w:bookmarkStart w:id="41" w:name="_Ref449511126"/>
      <w:bookmarkStart w:id="42" w:name="_Toc449515880"/>
      <w:r>
        <w:t xml:space="preserve">Figure </w:t>
      </w:r>
      <w:r w:rsidR="008E0E5D">
        <w:fldChar w:fldCharType="begin"/>
      </w:r>
      <w:r w:rsidR="008E0E5D">
        <w:instrText xml:space="preserve"> SEQ Figure \* ARABIC </w:instrText>
      </w:r>
      <w:r w:rsidR="008E0E5D">
        <w:fldChar w:fldCharType="separate"/>
      </w:r>
      <w:r w:rsidR="00173AD0">
        <w:rPr>
          <w:noProof/>
        </w:rPr>
        <w:t>6</w:t>
      </w:r>
      <w:r w:rsidR="008E0E5D">
        <w:rPr>
          <w:noProof/>
        </w:rPr>
        <w:fldChar w:fldCharType="end"/>
      </w:r>
      <w:bookmarkEnd w:id="41"/>
      <w:r>
        <w:t xml:space="preserve">  Retiled 1000m x 1000m LiDAR dataset (bare earth DEM).</w:t>
      </w:r>
      <w:bookmarkEnd w:id="42"/>
    </w:p>
    <w:p w:rsidR="003047D9" w:rsidRDefault="003047D9" w:rsidP="007578ED"/>
    <w:p w:rsidR="003047D9" w:rsidRDefault="00247801" w:rsidP="00247801">
      <w:pPr>
        <w:pStyle w:val="Heading2"/>
      </w:pPr>
      <w:bookmarkStart w:id="43" w:name="_Toc449596361"/>
      <w:r>
        <w:t>Normalized Canopy Height Model (CHM)</w:t>
      </w:r>
      <w:bookmarkEnd w:id="43"/>
    </w:p>
    <w:p w:rsidR="00247801" w:rsidRDefault="0087199A" w:rsidP="0087199A">
      <w:pPr>
        <w:spacing w:after="200" w:line="276" w:lineRule="auto"/>
      </w:pPr>
      <w:r>
        <w:t>Each point in the dataset has to be</w:t>
      </w:r>
      <w:r w:rsidR="00247801">
        <w:t xml:space="preserve"> converted from a height above mean sea level (or some other geodetic datum) to a </w:t>
      </w:r>
      <w:r>
        <w:t xml:space="preserve">height above the ground surface.  </w:t>
      </w:r>
      <w:r w:rsidR="00247801">
        <w:t>Height normalization of the point cloud is required for area-based, vegetation metric extraction. It also makes it easier for an analyst to find and remove low or high vertical outliers, misclassified points, and other spurious laser returns</w:t>
      </w:r>
      <w:r>
        <w:t xml:space="preserve"> as shown in </w:t>
      </w:r>
      <w:r>
        <w:fldChar w:fldCharType="begin"/>
      </w:r>
      <w:r>
        <w:instrText xml:space="preserve"> REF _Ref449512009 \h </w:instrText>
      </w:r>
      <w:r>
        <w:fldChar w:fldCharType="separate"/>
      </w:r>
      <w:r>
        <w:t xml:space="preserve">Figure </w:t>
      </w:r>
      <w:r>
        <w:rPr>
          <w:noProof/>
        </w:rPr>
        <w:t>7</w:t>
      </w:r>
      <w:r>
        <w:fldChar w:fldCharType="end"/>
      </w:r>
      <w:r w:rsidR="00247801">
        <w:t>.</w:t>
      </w:r>
      <w:r>
        <w:t xml:space="preserve">  </w:t>
      </w:r>
    </w:p>
    <w:p w:rsidR="00247801" w:rsidRDefault="00247801" w:rsidP="00247801">
      <w:pPr>
        <w:pStyle w:val="ListParagraph"/>
        <w:ind w:left="0"/>
        <w:rPr>
          <w:noProof/>
          <w:lang w:eastAsia="en-CA"/>
        </w:rPr>
      </w:pPr>
    </w:p>
    <w:p w:rsidR="00247801" w:rsidRDefault="00247801" w:rsidP="00247801">
      <w:pPr>
        <w:pStyle w:val="ListParagraph"/>
        <w:ind w:left="0"/>
      </w:pPr>
      <w:r>
        <w:rPr>
          <w:noProof/>
        </w:rPr>
        <w:lastRenderedPageBreak/>
        <w:drawing>
          <wp:inline distT="0" distB="0" distL="0" distR="0" wp14:anchorId="65B3AF9D" wp14:editId="3964F85F">
            <wp:extent cx="5947200" cy="4197986"/>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ight_normalization.PNG"/>
                    <pic:cNvPicPr/>
                  </pic:nvPicPr>
                  <pic:blipFill>
                    <a:blip r:embed="rId45">
                      <a:extLst>
                        <a:ext uri="{28A0092B-C50C-407E-A947-70E740481C1C}">
                          <a14:useLocalDpi xmlns:a14="http://schemas.microsoft.com/office/drawing/2010/main" val="0"/>
                        </a:ext>
                      </a:extLst>
                    </a:blip>
                    <a:stretch>
                      <a:fillRect/>
                    </a:stretch>
                  </pic:blipFill>
                  <pic:spPr>
                    <a:xfrm>
                      <a:off x="0" y="0"/>
                      <a:ext cx="5944147" cy="4195831"/>
                    </a:xfrm>
                    <a:prstGeom prst="rect">
                      <a:avLst/>
                    </a:prstGeom>
                  </pic:spPr>
                </pic:pic>
              </a:graphicData>
            </a:graphic>
          </wp:inline>
        </w:drawing>
      </w:r>
    </w:p>
    <w:p w:rsidR="00247801" w:rsidRDefault="00247801" w:rsidP="00247801">
      <w:pPr>
        <w:pStyle w:val="ListParagraph"/>
        <w:ind w:left="0"/>
      </w:pPr>
    </w:p>
    <w:p w:rsidR="00247801" w:rsidRDefault="0087199A" w:rsidP="0087199A">
      <w:pPr>
        <w:pStyle w:val="Caption"/>
      </w:pPr>
      <w:bookmarkStart w:id="44" w:name="_Ref449512009"/>
      <w:bookmarkStart w:id="45" w:name="_Toc449515881"/>
      <w:r>
        <w:t xml:space="preserve">Figure </w:t>
      </w:r>
      <w:r w:rsidR="008E0E5D">
        <w:fldChar w:fldCharType="begin"/>
      </w:r>
      <w:r w:rsidR="008E0E5D">
        <w:instrText xml:space="preserve"> SEQ Figure</w:instrText>
      </w:r>
      <w:r w:rsidR="008E0E5D">
        <w:instrText xml:space="preserve"> \* ARABIC </w:instrText>
      </w:r>
      <w:r w:rsidR="008E0E5D">
        <w:fldChar w:fldCharType="separate"/>
      </w:r>
      <w:r w:rsidR="00173AD0">
        <w:rPr>
          <w:noProof/>
        </w:rPr>
        <w:t>7</w:t>
      </w:r>
      <w:r w:rsidR="008E0E5D">
        <w:rPr>
          <w:noProof/>
        </w:rPr>
        <w:fldChar w:fldCharType="end"/>
      </w:r>
      <w:bookmarkEnd w:id="44"/>
      <w:r>
        <w:t xml:space="preserve">  </w:t>
      </w:r>
      <w:r w:rsidR="00247801">
        <w:t>Convert each point from an elevation above mean sea level to height above the ground surface</w:t>
      </w:r>
      <w:r>
        <w:t>.</w:t>
      </w:r>
      <w:bookmarkEnd w:id="45"/>
    </w:p>
    <w:p w:rsidR="0087199A" w:rsidRPr="0087199A" w:rsidRDefault="0087199A" w:rsidP="0087199A">
      <w:pPr>
        <w:rPr>
          <w:lang w:val="en-CA" w:eastAsia="zh-CN"/>
        </w:rPr>
      </w:pPr>
      <w:r w:rsidRPr="0087199A">
        <w:rPr>
          <w:lang w:val="en-CA" w:eastAsia="zh-CN"/>
        </w:rPr>
        <w:t xml:space="preserve">Most data providers will construct a CHM by differencing a rasterized DSM </w:t>
      </w:r>
      <w:r>
        <w:rPr>
          <w:lang w:val="en-CA" w:eastAsia="zh-CN"/>
        </w:rPr>
        <w:t xml:space="preserve">(Digital Surface Model) </w:t>
      </w:r>
      <w:r w:rsidRPr="0087199A">
        <w:rPr>
          <w:lang w:val="en-CA" w:eastAsia="zh-CN"/>
        </w:rPr>
        <w:t xml:space="preserve">and bare-earth DEM (DTM). This is the least accurate way to create a CHM because height will depend on how the DSM and DEM surfaces were interpolated. Also, the most accurate height maximum is determined by the largest height difference between a non-ground return (1) and its interpolated elevation on the ground surface directly below not by the elevation difference between two </w:t>
      </w:r>
      <w:proofErr w:type="gramStart"/>
      <w:r w:rsidRPr="0087199A">
        <w:rPr>
          <w:lang w:val="en-CA" w:eastAsia="zh-CN"/>
        </w:rPr>
        <w:t>pixel</w:t>
      </w:r>
      <w:proofErr w:type="gramEnd"/>
      <w:r w:rsidRPr="0087199A">
        <w:rPr>
          <w:lang w:val="en-CA" w:eastAsia="zh-CN"/>
        </w:rPr>
        <w:t xml:space="preserve"> centroids. This is especially apparent on steep slopes.</w:t>
      </w:r>
    </w:p>
    <w:p w:rsidR="0087199A" w:rsidRPr="0087199A" w:rsidRDefault="0087199A" w:rsidP="0087199A">
      <w:pPr>
        <w:rPr>
          <w:lang w:val="en-CA" w:eastAsia="zh-CN"/>
        </w:rPr>
      </w:pPr>
      <w:r w:rsidRPr="0087199A">
        <w:rPr>
          <w:lang w:val="en-CA" w:eastAsia="zh-CN"/>
        </w:rPr>
        <w:t xml:space="preserve">The spatial resolution (i.e., grid cell size) of the CHM should reflect the natural spacing of the laser returns. </w:t>
      </w:r>
      <w:r>
        <w:rPr>
          <w:lang w:val="en-CA" w:eastAsia="zh-CN"/>
        </w:rPr>
        <w:t xml:space="preserve">Too small </w:t>
      </w:r>
      <w:r w:rsidRPr="0087199A">
        <w:rPr>
          <w:lang w:val="en-CA" w:eastAsia="zh-CN"/>
        </w:rPr>
        <w:t xml:space="preserve">grid size </w:t>
      </w:r>
      <w:r>
        <w:rPr>
          <w:lang w:val="en-CA" w:eastAsia="zh-CN"/>
        </w:rPr>
        <w:t xml:space="preserve">could result in </w:t>
      </w:r>
      <w:r w:rsidRPr="0087199A">
        <w:rPr>
          <w:lang w:val="en-CA" w:eastAsia="zh-CN"/>
        </w:rPr>
        <w:t>a preponderance of data voids (pits).</w:t>
      </w:r>
    </w:p>
    <w:p w:rsidR="0087199A" w:rsidRDefault="0087199A" w:rsidP="0087199A">
      <w:pPr>
        <w:rPr>
          <w:lang w:val="en-CA" w:eastAsia="zh-CN"/>
        </w:rPr>
      </w:pPr>
      <w:r w:rsidRPr="0087199A">
        <w:rPr>
          <w:lang w:val="en-CA" w:eastAsia="zh-CN"/>
        </w:rPr>
        <w:t>There are a number of ways that data voids or pits can be eliminated: (i) fill each data void with some average measure of height taken from the surrounding neighbourhood of pixel values; (ii) replace each laser point with a small disk that approximates the footprint of the laser pulse (referred to as “splatting”</w:t>
      </w:r>
      <w:r>
        <w:rPr>
          <w:lang w:val="en-CA" w:eastAsia="zh-CN"/>
        </w:rPr>
        <w:t>)</w:t>
      </w:r>
      <w:r w:rsidRPr="0087199A">
        <w:rPr>
          <w:lang w:val="en-CA" w:eastAsia="zh-CN"/>
        </w:rPr>
        <w:t xml:space="preserve">; (iii) implement other more complex algorithms specifically designed </w:t>
      </w:r>
      <w:r>
        <w:rPr>
          <w:lang w:val="en-CA" w:eastAsia="zh-CN"/>
        </w:rPr>
        <w:t>for eliminating CHM pits</w:t>
      </w:r>
      <w:r w:rsidRPr="0087199A">
        <w:rPr>
          <w:lang w:val="en-CA" w:eastAsia="zh-CN"/>
        </w:rPr>
        <w:t>; (iv) choose a grid-cell resolution closer to the natural spacing of the ground returns.</w:t>
      </w:r>
    </w:p>
    <w:p w:rsidR="001326D8" w:rsidRDefault="001326D8" w:rsidP="001326D8">
      <w:pPr>
        <w:rPr>
          <w:lang w:val="en-CA" w:eastAsia="zh-CN"/>
        </w:rPr>
      </w:pPr>
      <w:r>
        <w:rPr>
          <w:lang w:val="en-CA" w:eastAsia="zh-CN"/>
        </w:rPr>
        <w:t xml:space="preserve">A 1-m CHM raster with 0.5m splatting was created and the resulted image mosaic was used for further </w:t>
      </w:r>
      <w:r w:rsidRPr="001326D8">
        <w:rPr>
          <w:lang w:val="en-CA" w:eastAsia="zh-CN"/>
        </w:rPr>
        <w:t>review and screening</w:t>
      </w:r>
      <w:r>
        <w:rPr>
          <w:lang w:val="en-CA" w:eastAsia="zh-CN"/>
        </w:rPr>
        <w:t xml:space="preserve">/checking </w:t>
      </w:r>
      <w:r w:rsidRPr="001326D8">
        <w:rPr>
          <w:lang w:val="en-CA" w:eastAsia="zh-CN"/>
        </w:rPr>
        <w:t xml:space="preserve">of </w:t>
      </w:r>
      <w:r>
        <w:rPr>
          <w:lang w:val="en-CA" w:eastAsia="zh-CN"/>
        </w:rPr>
        <w:t xml:space="preserve">data quality.  The </w:t>
      </w:r>
      <w:r w:rsidRPr="001326D8">
        <w:rPr>
          <w:lang w:val="en-CA" w:eastAsia="zh-CN"/>
        </w:rPr>
        <w:t>high spatial resolution DEM and CHM will allow the analyst to rapidly find errors related to poor flight-line integration and geometric calibration, point classification, atmospheric noise, sensor ti</w:t>
      </w:r>
      <w:r>
        <w:rPr>
          <w:lang w:val="en-CA" w:eastAsia="zh-CN"/>
        </w:rPr>
        <w:t>ming and filtering errors, etc.</w:t>
      </w:r>
    </w:p>
    <w:p w:rsidR="00173AD0" w:rsidRDefault="00173AD0" w:rsidP="001326D8">
      <w:pPr>
        <w:rPr>
          <w:lang w:val="en-CA" w:eastAsia="zh-CN"/>
        </w:rPr>
      </w:pPr>
      <w:r>
        <w:rPr>
          <w:lang w:val="en-CA" w:eastAsia="zh-CN"/>
        </w:rPr>
        <w:t xml:space="preserve">The 1m CHM is shown in </w:t>
      </w:r>
      <w:r>
        <w:rPr>
          <w:lang w:val="en-CA" w:eastAsia="zh-CN"/>
        </w:rPr>
        <w:fldChar w:fldCharType="begin"/>
      </w:r>
      <w:r>
        <w:rPr>
          <w:lang w:val="en-CA" w:eastAsia="zh-CN"/>
        </w:rPr>
        <w:instrText xml:space="preserve"> REF _Ref449513152 \h </w:instrText>
      </w:r>
      <w:r>
        <w:rPr>
          <w:lang w:val="en-CA" w:eastAsia="zh-CN"/>
        </w:rPr>
      </w:r>
      <w:r>
        <w:rPr>
          <w:lang w:val="en-CA" w:eastAsia="zh-CN"/>
        </w:rPr>
        <w:fldChar w:fldCharType="separate"/>
      </w:r>
      <w:r>
        <w:t xml:space="preserve">Figure </w:t>
      </w:r>
      <w:r>
        <w:rPr>
          <w:noProof/>
        </w:rPr>
        <w:t>8</w:t>
      </w:r>
      <w:r>
        <w:rPr>
          <w:lang w:val="en-CA" w:eastAsia="zh-CN"/>
        </w:rPr>
        <w:fldChar w:fldCharType="end"/>
      </w:r>
      <w:r>
        <w:rPr>
          <w:lang w:val="en-CA" w:eastAsia="zh-CN"/>
        </w:rPr>
        <w:t>.</w:t>
      </w:r>
    </w:p>
    <w:p w:rsidR="00173AD0" w:rsidRPr="001326D8" w:rsidRDefault="00173AD0" w:rsidP="001326D8">
      <w:pPr>
        <w:rPr>
          <w:lang w:val="en-CA" w:eastAsia="zh-CN"/>
        </w:rPr>
      </w:pPr>
    </w:p>
    <w:p w:rsidR="0087199A" w:rsidRDefault="001326D8" w:rsidP="001326D8">
      <w:pPr>
        <w:rPr>
          <w:noProof/>
          <w:lang w:eastAsia="en-CA"/>
        </w:rPr>
      </w:pPr>
      <w:r w:rsidRPr="001326D8">
        <w:rPr>
          <w:lang w:val="en-CA" w:eastAsia="zh-CN"/>
        </w:rPr>
        <w:lastRenderedPageBreak/>
        <w:t>.</w:t>
      </w:r>
      <w:r w:rsidR="00173AD0" w:rsidRPr="00173AD0">
        <w:rPr>
          <w:noProof/>
          <w:lang w:eastAsia="en-CA"/>
        </w:rPr>
        <w:t xml:space="preserve"> </w:t>
      </w:r>
      <w:r w:rsidR="00173AD0">
        <w:rPr>
          <w:noProof/>
          <w:lang w:val="en-CA" w:eastAsia="zh-CN"/>
        </w:rPr>
        <w:drawing>
          <wp:inline distT="0" distB="0" distL="0" distR="0" wp14:anchorId="71992249" wp14:editId="1AC53931">
            <wp:extent cx="3962400" cy="3575897"/>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an_chm.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67780" cy="3580752"/>
                    </a:xfrm>
                    <a:prstGeom prst="rect">
                      <a:avLst/>
                    </a:prstGeom>
                  </pic:spPr>
                </pic:pic>
              </a:graphicData>
            </a:graphic>
          </wp:inline>
        </w:drawing>
      </w:r>
      <w:r w:rsidR="00173AD0">
        <w:rPr>
          <w:noProof/>
          <w:lang w:val="en-CA" w:eastAsia="zh-CN"/>
        </w:rPr>
        <w:drawing>
          <wp:inline distT="0" distB="0" distL="0" distR="0" wp14:anchorId="1B2FCB38" wp14:editId="1393E296">
            <wp:extent cx="917013" cy="1485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an_chm_legend.png"/>
                    <pic:cNvPicPr/>
                  </pic:nvPicPr>
                  <pic:blipFill rotWithShape="1">
                    <a:blip r:embed="rId47">
                      <a:extLst>
                        <a:ext uri="{28A0092B-C50C-407E-A947-70E740481C1C}">
                          <a14:useLocalDpi xmlns:a14="http://schemas.microsoft.com/office/drawing/2010/main" val="0"/>
                        </a:ext>
                      </a:extLst>
                    </a:blip>
                    <a:srcRect b="46629"/>
                    <a:stretch/>
                  </pic:blipFill>
                  <pic:spPr bwMode="auto">
                    <a:xfrm>
                      <a:off x="0" y="0"/>
                      <a:ext cx="917041" cy="1485946"/>
                    </a:xfrm>
                    <a:prstGeom prst="rect">
                      <a:avLst/>
                    </a:prstGeom>
                    <a:ln>
                      <a:noFill/>
                    </a:ln>
                    <a:extLst>
                      <a:ext uri="{53640926-AAD7-44D8-BBD7-CCE9431645EC}">
                        <a14:shadowObscured xmlns:a14="http://schemas.microsoft.com/office/drawing/2010/main"/>
                      </a:ext>
                    </a:extLst>
                  </pic:spPr>
                </pic:pic>
              </a:graphicData>
            </a:graphic>
          </wp:inline>
        </w:drawing>
      </w:r>
    </w:p>
    <w:p w:rsidR="00173AD0" w:rsidRDefault="00173AD0" w:rsidP="00173AD0">
      <w:pPr>
        <w:pStyle w:val="Caption"/>
        <w:rPr>
          <w:noProof/>
          <w:lang w:eastAsia="en-CA"/>
        </w:rPr>
      </w:pPr>
      <w:bookmarkStart w:id="46" w:name="_Ref449513152"/>
      <w:bookmarkStart w:id="47" w:name="_Toc449515882"/>
      <w:r>
        <w:t xml:space="preserve">Figure </w:t>
      </w:r>
      <w:r w:rsidR="008E0E5D">
        <w:fldChar w:fldCharType="begin"/>
      </w:r>
      <w:r w:rsidR="008E0E5D">
        <w:instrText xml:space="preserve"> SEQ Figure \* ARABIC </w:instrText>
      </w:r>
      <w:r w:rsidR="008E0E5D">
        <w:fldChar w:fldCharType="separate"/>
      </w:r>
      <w:r>
        <w:rPr>
          <w:noProof/>
        </w:rPr>
        <w:t>8</w:t>
      </w:r>
      <w:r w:rsidR="008E0E5D">
        <w:rPr>
          <w:noProof/>
        </w:rPr>
        <w:fldChar w:fldCharType="end"/>
      </w:r>
      <w:bookmarkEnd w:id="46"/>
      <w:r>
        <w:t xml:space="preserve">  Canopy Height Model</w:t>
      </w:r>
      <w:bookmarkEnd w:id="47"/>
    </w:p>
    <w:p w:rsidR="00AC5D77" w:rsidRDefault="00AC5D77" w:rsidP="00AC5D77">
      <w:pPr>
        <w:pStyle w:val="Heading2"/>
        <w:rPr>
          <w:lang w:val="en-CA" w:eastAsia="zh-CN"/>
        </w:rPr>
      </w:pPr>
      <w:bookmarkStart w:id="48" w:name="_Toc449596362"/>
      <w:r>
        <w:rPr>
          <w:lang w:val="en-CA" w:eastAsia="zh-CN"/>
        </w:rPr>
        <w:t>LiDAR CHM Metrics and Raster Predictions</w:t>
      </w:r>
      <w:bookmarkEnd w:id="48"/>
    </w:p>
    <w:p w:rsidR="00AC5D77" w:rsidRDefault="00EF4D17" w:rsidP="00AC5D77">
      <w:pPr>
        <w:rPr>
          <w:lang w:val="en-CA" w:eastAsia="zh-CN"/>
        </w:rPr>
      </w:pPr>
      <w:r>
        <w:rPr>
          <w:lang w:val="en-CA" w:eastAsia="zh-CN"/>
        </w:rPr>
        <w:t xml:space="preserve">All the LiDAR </w:t>
      </w:r>
      <w:r w:rsidR="00AC5D77">
        <w:rPr>
          <w:lang w:val="en-CA" w:eastAsia="zh-CN"/>
        </w:rPr>
        <w:t xml:space="preserve">metrics as defined in </w:t>
      </w:r>
      <w:r w:rsidR="00AC5D77">
        <w:rPr>
          <w:lang w:val="en-CA" w:eastAsia="zh-CN"/>
        </w:rPr>
        <w:fldChar w:fldCharType="begin"/>
      </w:r>
      <w:r w:rsidR="00AC5D77">
        <w:rPr>
          <w:lang w:val="en-CA" w:eastAsia="zh-CN"/>
        </w:rPr>
        <w:instrText xml:space="preserve"> REF _Ref449438266 \h </w:instrText>
      </w:r>
      <w:r w:rsidR="00AC5D77">
        <w:rPr>
          <w:lang w:val="en-CA" w:eastAsia="zh-CN"/>
        </w:rPr>
      </w:r>
      <w:r w:rsidR="00AC5D77">
        <w:rPr>
          <w:lang w:val="en-CA" w:eastAsia="zh-CN"/>
        </w:rPr>
        <w:fldChar w:fldCharType="separate"/>
      </w:r>
      <w:r w:rsidR="00AC5D77">
        <w:t xml:space="preserve">Table </w:t>
      </w:r>
      <w:r w:rsidR="00AC5D77">
        <w:rPr>
          <w:noProof/>
        </w:rPr>
        <w:t>4</w:t>
      </w:r>
      <w:r w:rsidR="00AC5D77">
        <w:rPr>
          <w:lang w:val="en-CA" w:eastAsia="zh-CN"/>
        </w:rPr>
        <w:fldChar w:fldCharType="end"/>
      </w:r>
      <w:r>
        <w:rPr>
          <w:lang w:val="en-CA" w:eastAsia="zh-CN"/>
        </w:rPr>
        <w:t xml:space="preserve"> were generated from the normalized CHM for all the </w:t>
      </w:r>
      <w:r w:rsidR="00AC5D77">
        <w:rPr>
          <w:lang w:val="en-CA" w:eastAsia="zh-CN"/>
        </w:rPr>
        <w:t>0.04h circular ground plots</w:t>
      </w:r>
      <w:r>
        <w:rPr>
          <w:lang w:val="en-CA" w:eastAsia="zh-CN"/>
        </w:rPr>
        <w:t xml:space="preserve">.  This dataset together with the ground measurements was used for further statistical analysis and modeling. </w:t>
      </w:r>
    </w:p>
    <w:p w:rsidR="00EF4D17" w:rsidRDefault="00EF4D17" w:rsidP="00AC5D77">
      <w:pPr>
        <w:rPr>
          <w:lang w:val="en-CA" w:eastAsia="zh-CN"/>
        </w:rPr>
      </w:pPr>
      <w:r>
        <w:rPr>
          <w:lang w:val="en-CA" w:eastAsia="zh-CN"/>
        </w:rPr>
        <w:t>The normalized CHM was gridded into a 20m by 20m raster and all the predictions were made for every pixel using the predictive models (both parametric and non-parametric approaches).</w:t>
      </w:r>
    </w:p>
    <w:p w:rsidR="00AC5D77" w:rsidRPr="00AC5D77" w:rsidRDefault="00AC5D77" w:rsidP="00AC5D77">
      <w:pPr>
        <w:rPr>
          <w:lang w:val="en-CA" w:eastAsia="zh-CN"/>
        </w:rPr>
      </w:pPr>
    </w:p>
    <w:p w:rsidR="0097679E" w:rsidRDefault="0097679E" w:rsidP="0097679E">
      <w:pPr>
        <w:pStyle w:val="Heading2"/>
        <w:rPr>
          <w:lang w:val="en-CA"/>
        </w:rPr>
      </w:pPr>
      <w:bookmarkStart w:id="49" w:name="_Toc449596363"/>
      <w:r>
        <w:rPr>
          <w:lang w:val="en-CA"/>
        </w:rPr>
        <w:t>Ground Data Collection</w:t>
      </w:r>
      <w:r w:rsidR="00E55516">
        <w:rPr>
          <w:lang w:val="en-CA"/>
        </w:rPr>
        <w:t xml:space="preserve"> and Initial Statistical Analysis</w:t>
      </w:r>
      <w:bookmarkEnd w:id="49"/>
    </w:p>
    <w:p w:rsidR="0097679E" w:rsidRDefault="0097679E" w:rsidP="0097679E">
      <w:r>
        <w:t xml:space="preserve">Out of the total 233 targeted ground plots, two plots were dropped due to the access problem.  Plots 80, 104, 147, 270 and 282 were </w:t>
      </w:r>
      <w:r w:rsidR="005121A1">
        <w:t xml:space="preserve">harvested </w:t>
      </w:r>
      <w:r>
        <w:t xml:space="preserve">between the time of LiDAR acquisition and field measurement.  Plot 170 was outside the LiDAR area.  Plot 122 had one live tree. These were dropped from further analysis.  Plot 218 fell in a relatively open area in a regenerating block and the LiDAR returns include the crowns of some trees outside the plot.  It was also dropped. The final number of ground plots for the further statistical analysis </w:t>
      </w:r>
      <w:r w:rsidR="005121A1">
        <w:t>wa</w:t>
      </w:r>
      <w:r>
        <w:t>s 223.</w:t>
      </w:r>
    </w:p>
    <w:p w:rsidR="00A34D0D" w:rsidRDefault="00A34D0D" w:rsidP="00552CED">
      <w:r w:rsidRPr="00A34D0D">
        <w:t>Strata 1 and 2 (BEC = ICH/IDF) have higher volumes than strata 3 and 4 (BEC = ESSF/MS).</w:t>
      </w:r>
      <w:r w:rsidR="00552CED">
        <w:t xml:space="preserve"> </w:t>
      </w:r>
      <w:r w:rsidRPr="00A34D0D">
        <w:t>The field plots are summarized</w:t>
      </w:r>
      <w:r w:rsidR="00552CED">
        <w:t xml:space="preserve"> in </w:t>
      </w:r>
      <w:r w:rsidR="00552CED">
        <w:fldChar w:fldCharType="begin"/>
      </w:r>
      <w:r w:rsidR="00552CED">
        <w:instrText xml:space="preserve"> REF _Ref449439352 \h </w:instrText>
      </w:r>
      <w:r w:rsidR="00552CED">
        <w:fldChar w:fldCharType="separate"/>
      </w:r>
      <w:r w:rsidR="00552CED">
        <w:t xml:space="preserve">Table </w:t>
      </w:r>
      <w:r w:rsidR="00552CED">
        <w:rPr>
          <w:noProof/>
        </w:rPr>
        <w:t>6</w:t>
      </w:r>
      <w:r w:rsidR="00552CED">
        <w:fldChar w:fldCharType="end"/>
      </w:r>
      <w:r w:rsidRPr="00A34D0D">
        <w:t>.</w:t>
      </w:r>
    </w:p>
    <w:p w:rsidR="00552CED" w:rsidRDefault="00552CED" w:rsidP="00552CED"/>
    <w:p w:rsidR="00552CED" w:rsidRPr="00A34D0D" w:rsidRDefault="00552CED" w:rsidP="00552CED">
      <w:pPr>
        <w:pStyle w:val="Caption"/>
      </w:pPr>
      <w:bookmarkStart w:id="50" w:name="_Ref449439352"/>
      <w:bookmarkStart w:id="51" w:name="_Toc449515871"/>
      <w:r>
        <w:t xml:space="preserve">Table </w:t>
      </w:r>
      <w:r w:rsidR="008E0E5D">
        <w:fldChar w:fldCharType="begin"/>
      </w:r>
      <w:r w:rsidR="008E0E5D">
        <w:instrText xml:space="preserve"> SEQ Table \* ARABIC </w:instrText>
      </w:r>
      <w:r w:rsidR="008E0E5D">
        <w:fldChar w:fldCharType="separate"/>
      </w:r>
      <w:r w:rsidR="00EA6AA2">
        <w:rPr>
          <w:noProof/>
        </w:rPr>
        <w:t>6</w:t>
      </w:r>
      <w:r w:rsidR="008E0E5D">
        <w:rPr>
          <w:noProof/>
        </w:rPr>
        <w:fldChar w:fldCharType="end"/>
      </w:r>
      <w:bookmarkEnd w:id="50"/>
      <w:r>
        <w:t xml:space="preserve">  Statistical estimates of selected tree attributes with the change ranges</w:t>
      </w:r>
      <w:bookmarkEnd w:id="51"/>
    </w:p>
    <w:tbl>
      <w:tblPr>
        <w:tblW w:w="9580" w:type="dxa"/>
        <w:tblLook w:val="04A0" w:firstRow="1" w:lastRow="0" w:firstColumn="1" w:lastColumn="0" w:noHBand="0" w:noVBand="1"/>
      </w:tblPr>
      <w:tblGrid>
        <w:gridCol w:w="704"/>
        <w:gridCol w:w="440"/>
        <w:gridCol w:w="1728"/>
        <w:gridCol w:w="1728"/>
        <w:gridCol w:w="1584"/>
        <w:gridCol w:w="1584"/>
        <w:gridCol w:w="228"/>
        <w:gridCol w:w="1584"/>
      </w:tblGrid>
      <w:tr w:rsidR="00A34D0D" w:rsidRPr="00A34D0D" w:rsidTr="00A34D0D">
        <w:trPr>
          <w:trHeight w:val="144"/>
          <w:tblHeader/>
        </w:trPr>
        <w:tc>
          <w:tcPr>
            <w:tcW w:w="704"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 xml:space="preserve"> </w:t>
            </w:r>
          </w:p>
        </w:tc>
        <w:tc>
          <w:tcPr>
            <w:tcW w:w="440"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 xml:space="preserve"> </w:t>
            </w:r>
          </w:p>
        </w:tc>
        <w:tc>
          <w:tcPr>
            <w:tcW w:w="1728"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 xml:space="preserve"> </w:t>
            </w:r>
          </w:p>
        </w:tc>
        <w:tc>
          <w:tcPr>
            <w:tcW w:w="1728"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 xml:space="preserve"> Live</w:t>
            </w:r>
          </w:p>
        </w:tc>
        <w:tc>
          <w:tcPr>
            <w:tcW w:w="1584"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 xml:space="preserve"> </w:t>
            </w:r>
          </w:p>
        </w:tc>
        <w:tc>
          <w:tcPr>
            <w:tcW w:w="1584"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 xml:space="preserve"> </w:t>
            </w:r>
          </w:p>
        </w:tc>
        <w:tc>
          <w:tcPr>
            <w:tcW w:w="228"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p>
        </w:tc>
        <w:tc>
          <w:tcPr>
            <w:tcW w:w="1584"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Dead</w:t>
            </w:r>
          </w:p>
        </w:tc>
      </w:tr>
      <w:tr w:rsidR="00A34D0D" w:rsidRPr="00A34D0D" w:rsidTr="00A34D0D">
        <w:trPr>
          <w:trHeight w:val="144"/>
          <w:tblHeader/>
        </w:trPr>
        <w:tc>
          <w:tcPr>
            <w:tcW w:w="704"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Strata</w:t>
            </w:r>
          </w:p>
        </w:tc>
        <w:tc>
          <w:tcPr>
            <w:tcW w:w="440"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N</w:t>
            </w:r>
          </w:p>
        </w:tc>
        <w:tc>
          <w:tcPr>
            <w:tcW w:w="1728"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Basal area</w:t>
            </w:r>
          </w:p>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(m</w:t>
            </w:r>
            <w:r w:rsidRPr="00A34D0D">
              <w:rPr>
                <w:rFonts w:asciiTheme="minorHAnsi" w:hAnsiTheme="minorHAnsi"/>
                <w:color w:val="000000"/>
                <w:vertAlign w:val="superscript"/>
              </w:rPr>
              <w:t>2</w:t>
            </w:r>
            <w:r w:rsidRPr="00A34D0D">
              <w:rPr>
                <w:rFonts w:asciiTheme="minorHAnsi" w:hAnsiTheme="minorHAnsi"/>
                <w:color w:val="000000"/>
              </w:rPr>
              <w:t>/ha)</w:t>
            </w:r>
          </w:p>
        </w:tc>
        <w:tc>
          <w:tcPr>
            <w:tcW w:w="1728"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Stems/ha</w:t>
            </w:r>
          </w:p>
        </w:tc>
        <w:tc>
          <w:tcPr>
            <w:tcW w:w="1584"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proofErr w:type="spellStart"/>
            <w:r w:rsidRPr="00A34D0D">
              <w:rPr>
                <w:rFonts w:asciiTheme="minorHAnsi" w:hAnsiTheme="minorHAnsi"/>
                <w:color w:val="000000"/>
              </w:rPr>
              <w:t>Lorey</w:t>
            </w:r>
            <w:proofErr w:type="spellEnd"/>
            <w:r w:rsidRPr="00A34D0D">
              <w:rPr>
                <w:rFonts w:asciiTheme="minorHAnsi" w:hAnsiTheme="minorHAnsi"/>
                <w:color w:val="000000"/>
              </w:rPr>
              <w:t xml:space="preserve"> height</w:t>
            </w:r>
          </w:p>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(m)</w:t>
            </w:r>
          </w:p>
        </w:tc>
        <w:tc>
          <w:tcPr>
            <w:tcW w:w="1584"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Whole stem volume (m</w:t>
            </w:r>
            <w:r w:rsidRPr="00A34D0D">
              <w:rPr>
                <w:rFonts w:asciiTheme="minorHAnsi" w:hAnsiTheme="minorHAnsi"/>
                <w:color w:val="000000"/>
                <w:vertAlign w:val="superscript"/>
              </w:rPr>
              <w:t>3</w:t>
            </w:r>
            <w:r w:rsidRPr="00A34D0D">
              <w:rPr>
                <w:rFonts w:asciiTheme="minorHAnsi" w:hAnsiTheme="minorHAnsi"/>
                <w:color w:val="000000"/>
              </w:rPr>
              <w:t>/ha)</w:t>
            </w:r>
          </w:p>
        </w:tc>
        <w:tc>
          <w:tcPr>
            <w:tcW w:w="228" w:type="dxa"/>
            <w:tcBorders>
              <w:top w:val="nil"/>
              <w:left w:val="nil"/>
              <w:bottom w:val="single" w:sz="4" w:space="0" w:color="auto"/>
              <w:right w:val="nil"/>
            </w:tcBorders>
          </w:tcPr>
          <w:p w:rsidR="00A34D0D" w:rsidRPr="00A34D0D" w:rsidRDefault="00A34D0D" w:rsidP="00A34D0D">
            <w:pPr>
              <w:spacing w:before="0"/>
              <w:jc w:val="center"/>
              <w:rPr>
                <w:rFonts w:asciiTheme="minorHAnsi" w:hAnsiTheme="minorHAnsi"/>
                <w:color w:val="000000"/>
              </w:rPr>
            </w:pPr>
          </w:p>
        </w:tc>
        <w:tc>
          <w:tcPr>
            <w:tcW w:w="1584"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Whole stem volume (m</w:t>
            </w:r>
            <w:r w:rsidRPr="00A34D0D">
              <w:rPr>
                <w:rFonts w:asciiTheme="minorHAnsi" w:hAnsiTheme="minorHAnsi"/>
                <w:color w:val="000000"/>
                <w:vertAlign w:val="superscript"/>
              </w:rPr>
              <w:t>3</w:t>
            </w:r>
            <w:r w:rsidRPr="00A34D0D">
              <w:rPr>
                <w:rFonts w:asciiTheme="minorHAnsi" w:hAnsiTheme="minorHAnsi"/>
                <w:color w:val="000000"/>
              </w:rPr>
              <w:t>/ha)</w:t>
            </w:r>
          </w:p>
        </w:tc>
      </w:tr>
      <w:tr w:rsidR="00A34D0D" w:rsidRPr="00A34D0D" w:rsidTr="00A34D0D">
        <w:trPr>
          <w:trHeight w:val="144"/>
        </w:trPr>
        <w:tc>
          <w:tcPr>
            <w:tcW w:w="704"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440"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color w:val="000000"/>
                <w:szCs w:val="22"/>
              </w:rPr>
            </w:pPr>
            <w:r w:rsidRPr="00A34D0D">
              <w:rPr>
                <w:color w:val="000000"/>
                <w:szCs w:val="22"/>
              </w:rPr>
              <w:t>60</w:t>
            </w:r>
          </w:p>
        </w:tc>
        <w:tc>
          <w:tcPr>
            <w:tcW w:w="1728"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43.5 (0.6 - 127.8)</w:t>
            </w:r>
          </w:p>
        </w:tc>
        <w:tc>
          <w:tcPr>
            <w:tcW w:w="1728"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1175 (25 - 3702)</w:t>
            </w:r>
          </w:p>
        </w:tc>
        <w:tc>
          <w:tcPr>
            <w:tcW w:w="1584"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22.6 (8.1 - 36)</w:t>
            </w:r>
          </w:p>
        </w:tc>
        <w:tc>
          <w:tcPr>
            <w:tcW w:w="1584"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393 (2 - 1512)</w:t>
            </w:r>
          </w:p>
        </w:tc>
        <w:tc>
          <w:tcPr>
            <w:tcW w:w="228"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584"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47 (0 - 177)</w:t>
            </w:r>
          </w:p>
        </w:tc>
      </w:tr>
      <w:tr w:rsidR="00A34D0D" w:rsidRPr="00A34D0D" w:rsidTr="00A34D0D">
        <w:trPr>
          <w:trHeight w:val="144"/>
        </w:trPr>
        <w:tc>
          <w:tcPr>
            <w:tcW w:w="704"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lastRenderedPageBreak/>
              <w:t>2</w:t>
            </w:r>
          </w:p>
        </w:tc>
        <w:tc>
          <w:tcPr>
            <w:tcW w:w="44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color w:val="000000"/>
                <w:szCs w:val="22"/>
              </w:rPr>
            </w:pPr>
            <w:r w:rsidRPr="00A34D0D">
              <w:rPr>
                <w:color w:val="000000"/>
                <w:szCs w:val="22"/>
              </w:rPr>
              <w:t>63</w:t>
            </w:r>
          </w:p>
        </w:tc>
        <w:tc>
          <w:tcPr>
            <w:tcW w:w="1728"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47.7 (0.9 - 123)</w:t>
            </w:r>
          </w:p>
        </w:tc>
        <w:tc>
          <w:tcPr>
            <w:tcW w:w="1728"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1039 (100 - 3277)</w:t>
            </w:r>
          </w:p>
        </w:tc>
        <w:tc>
          <w:tcPr>
            <w:tcW w:w="1584"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22.5 (6 - 40.7)</w:t>
            </w:r>
          </w:p>
        </w:tc>
        <w:tc>
          <w:tcPr>
            <w:tcW w:w="1584"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417 (2 - 1287)</w:t>
            </w:r>
          </w:p>
        </w:tc>
        <w:tc>
          <w:tcPr>
            <w:tcW w:w="228"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584"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54 (0 - 295)</w:t>
            </w:r>
          </w:p>
        </w:tc>
      </w:tr>
      <w:tr w:rsidR="00A34D0D" w:rsidRPr="00A34D0D" w:rsidTr="00A34D0D">
        <w:trPr>
          <w:trHeight w:val="144"/>
        </w:trPr>
        <w:tc>
          <w:tcPr>
            <w:tcW w:w="704"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440" w:type="dxa"/>
            <w:tcBorders>
              <w:top w:val="nil"/>
              <w:left w:val="nil"/>
              <w:right w:val="nil"/>
            </w:tcBorders>
            <w:shd w:val="clear" w:color="auto" w:fill="auto"/>
            <w:noWrap/>
            <w:vAlign w:val="bottom"/>
            <w:hideMark/>
          </w:tcPr>
          <w:p w:rsidR="00A34D0D" w:rsidRPr="00A34D0D" w:rsidRDefault="00A34D0D" w:rsidP="00A34D0D">
            <w:pPr>
              <w:spacing w:before="0"/>
              <w:jc w:val="right"/>
              <w:rPr>
                <w:color w:val="000000"/>
                <w:szCs w:val="22"/>
              </w:rPr>
            </w:pPr>
            <w:r w:rsidRPr="00A34D0D">
              <w:rPr>
                <w:color w:val="000000"/>
                <w:szCs w:val="22"/>
              </w:rPr>
              <w:t>40</w:t>
            </w:r>
          </w:p>
        </w:tc>
        <w:tc>
          <w:tcPr>
            <w:tcW w:w="1728" w:type="dxa"/>
            <w:tcBorders>
              <w:top w:val="nil"/>
              <w:left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29.4 (5.8 - 52.4)</w:t>
            </w:r>
          </w:p>
        </w:tc>
        <w:tc>
          <w:tcPr>
            <w:tcW w:w="1728" w:type="dxa"/>
            <w:tcBorders>
              <w:top w:val="nil"/>
              <w:left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1028 (200 - 3828)</w:t>
            </w:r>
          </w:p>
        </w:tc>
        <w:tc>
          <w:tcPr>
            <w:tcW w:w="1584" w:type="dxa"/>
            <w:tcBorders>
              <w:top w:val="nil"/>
              <w:left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18.5 (8.7 - 30.7)</w:t>
            </w:r>
          </w:p>
        </w:tc>
        <w:tc>
          <w:tcPr>
            <w:tcW w:w="1584" w:type="dxa"/>
            <w:tcBorders>
              <w:top w:val="nil"/>
              <w:left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231 (22 - 525)</w:t>
            </w:r>
          </w:p>
        </w:tc>
        <w:tc>
          <w:tcPr>
            <w:tcW w:w="228" w:type="dxa"/>
            <w:tcBorders>
              <w:top w:val="nil"/>
              <w:left w:val="nil"/>
              <w:right w:val="nil"/>
            </w:tcBorders>
          </w:tcPr>
          <w:p w:rsidR="00A34D0D" w:rsidRPr="00A34D0D" w:rsidRDefault="00A34D0D" w:rsidP="00A34D0D">
            <w:pPr>
              <w:spacing w:before="0"/>
              <w:jc w:val="right"/>
              <w:rPr>
                <w:rFonts w:asciiTheme="minorHAnsi" w:hAnsiTheme="minorHAnsi"/>
                <w:color w:val="000000"/>
              </w:rPr>
            </w:pPr>
          </w:p>
        </w:tc>
        <w:tc>
          <w:tcPr>
            <w:tcW w:w="1584" w:type="dxa"/>
            <w:tcBorders>
              <w:top w:val="nil"/>
              <w:left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68 (0 - 297)</w:t>
            </w:r>
          </w:p>
        </w:tc>
      </w:tr>
      <w:tr w:rsidR="00A34D0D" w:rsidRPr="00A34D0D" w:rsidTr="00A34D0D">
        <w:trPr>
          <w:trHeight w:val="144"/>
        </w:trPr>
        <w:tc>
          <w:tcPr>
            <w:tcW w:w="704"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440"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color w:val="000000"/>
                <w:szCs w:val="22"/>
              </w:rPr>
            </w:pPr>
            <w:r w:rsidRPr="00A34D0D">
              <w:rPr>
                <w:color w:val="000000"/>
                <w:szCs w:val="22"/>
              </w:rPr>
              <w:t>56</w:t>
            </w:r>
          </w:p>
        </w:tc>
        <w:tc>
          <w:tcPr>
            <w:tcW w:w="1728"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31.1 (1 - 81.8)</w:t>
            </w:r>
          </w:p>
        </w:tc>
        <w:tc>
          <w:tcPr>
            <w:tcW w:w="1728"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885 (200 - 1826)</w:t>
            </w:r>
          </w:p>
        </w:tc>
        <w:tc>
          <w:tcPr>
            <w:tcW w:w="1584"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20 (5.8 - 34.6)</w:t>
            </w:r>
          </w:p>
        </w:tc>
        <w:tc>
          <w:tcPr>
            <w:tcW w:w="1584"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272 (3 - 835)</w:t>
            </w:r>
          </w:p>
        </w:tc>
        <w:tc>
          <w:tcPr>
            <w:tcW w:w="228"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p>
        </w:tc>
        <w:tc>
          <w:tcPr>
            <w:tcW w:w="1584"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53 (0 - 386)</w:t>
            </w:r>
          </w:p>
        </w:tc>
      </w:tr>
    </w:tbl>
    <w:p w:rsidR="001B17DC" w:rsidRDefault="001B17DC" w:rsidP="00A34D0D"/>
    <w:p w:rsidR="00A34D0D" w:rsidRDefault="00A34D0D" w:rsidP="00A34D0D">
      <w:r w:rsidRPr="00A34D0D">
        <w:t xml:space="preserve">P90 had the highest simple correlation coefficient with live </w:t>
      </w:r>
      <w:proofErr w:type="spellStart"/>
      <w:r w:rsidRPr="00A34D0D">
        <w:t>lorey</w:t>
      </w:r>
      <w:proofErr w:type="spellEnd"/>
      <w:r w:rsidRPr="00A34D0D">
        <w:t xml:space="preserve"> height for all strata (</w:t>
      </w:r>
      <w:r w:rsidR="001B17DC">
        <w:fldChar w:fldCharType="begin"/>
      </w:r>
      <w:r w:rsidR="001B17DC">
        <w:instrText xml:space="preserve"> REF _Ref449439467 \h </w:instrText>
      </w:r>
      <w:r w:rsidR="001B17DC">
        <w:fldChar w:fldCharType="separate"/>
      </w:r>
      <w:r w:rsidR="001B17DC">
        <w:t xml:space="preserve">Figure </w:t>
      </w:r>
      <w:r w:rsidR="001B17DC">
        <w:rPr>
          <w:noProof/>
        </w:rPr>
        <w:t>9</w:t>
      </w:r>
      <w:r w:rsidR="001B17DC">
        <w:fldChar w:fldCharType="end"/>
      </w:r>
      <w:r w:rsidRPr="00A34D0D">
        <w:t xml:space="preserve">).  The relationship between </w:t>
      </w:r>
      <w:proofErr w:type="spellStart"/>
      <w:r w:rsidRPr="00A34D0D">
        <w:t>lorey</w:t>
      </w:r>
      <w:proofErr w:type="spellEnd"/>
      <w:r w:rsidRPr="00A34D0D">
        <w:t xml:space="preserve"> height and p90 appears relatively insensitive to strata.</w:t>
      </w:r>
    </w:p>
    <w:p w:rsidR="001B17DC" w:rsidRPr="00A34D0D" w:rsidRDefault="001B17DC" w:rsidP="00A34D0D"/>
    <w:p w:rsidR="00A34D0D" w:rsidRPr="00A34D0D" w:rsidRDefault="00A34D0D" w:rsidP="00A34D0D">
      <w:pPr>
        <w:ind w:left="-720"/>
      </w:pPr>
      <w:r w:rsidRPr="00A34D0D">
        <w:rPr>
          <w:noProof/>
          <w:lang w:val="en-CA" w:eastAsia="zh-CN"/>
        </w:rPr>
        <w:drawing>
          <wp:inline distT="0" distB="0" distL="0" distR="0" wp14:anchorId="61C6A027" wp14:editId="1BFAF05B">
            <wp:extent cx="6400800" cy="3783512"/>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25130" cy="3797894"/>
                    </a:xfrm>
                    <a:prstGeom prst="rect">
                      <a:avLst/>
                    </a:prstGeom>
                    <a:noFill/>
                  </pic:spPr>
                </pic:pic>
              </a:graphicData>
            </a:graphic>
          </wp:inline>
        </w:drawing>
      </w:r>
    </w:p>
    <w:p w:rsidR="00A34D0D" w:rsidRPr="00A34D0D" w:rsidRDefault="00A34D0D" w:rsidP="00552CED">
      <w:pPr>
        <w:pStyle w:val="Caption"/>
        <w:rPr>
          <w:color w:val="000000"/>
          <w:shd w:val="clear" w:color="auto" w:fill="FFFFFF"/>
        </w:rPr>
      </w:pPr>
      <w:r w:rsidRPr="00A34D0D">
        <w:rPr>
          <w:color w:val="000000"/>
          <w:shd w:val="clear" w:color="auto" w:fill="FFFFFF"/>
        </w:rPr>
        <w:t xml:space="preserve"> </w:t>
      </w:r>
      <w:bookmarkStart w:id="52" w:name="_Ref449439467"/>
      <w:bookmarkStart w:id="53" w:name="_Ref444163057"/>
      <w:bookmarkStart w:id="54" w:name="_Toc449515883"/>
      <w:r w:rsidR="00552CED">
        <w:t xml:space="preserve">Figure </w:t>
      </w:r>
      <w:r w:rsidR="008E0E5D">
        <w:fldChar w:fldCharType="begin"/>
      </w:r>
      <w:r w:rsidR="008E0E5D">
        <w:instrText xml:space="preserve"> SEQ Figure \* ARABIC </w:instrText>
      </w:r>
      <w:r w:rsidR="008E0E5D">
        <w:fldChar w:fldCharType="separate"/>
      </w:r>
      <w:r w:rsidR="00173AD0">
        <w:rPr>
          <w:noProof/>
        </w:rPr>
        <w:t>9</w:t>
      </w:r>
      <w:r w:rsidR="008E0E5D">
        <w:rPr>
          <w:noProof/>
        </w:rPr>
        <w:fldChar w:fldCharType="end"/>
      </w:r>
      <w:bookmarkEnd w:id="52"/>
      <w:r w:rsidR="00552CED">
        <w:t xml:space="preserve">  Scatter plots of live </w:t>
      </w:r>
      <w:proofErr w:type="spellStart"/>
      <w:r w:rsidR="00552CED">
        <w:t>Lorey</w:t>
      </w:r>
      <w:proofErr w:type="spellEnd"/>
      <w:r w:rsidR="00552CED">
        <w:t xml:space="preserve"> height against p90 by strata</w:t>
      </w:r>
      <w:bookmarkEnd w:id="53"/>
      <w:r w:rsidR="00552CED">
        <w:t>.</w:t>
      </w:r>
      <w:bookmarkEnd w:id="54"/>
    </w:p>
    <w:p w:rsidR="00A34D0D" w:rsidRPr="00A34D0D" w:rsidRDefault="00A34D0D" w:rsidP="00A34D0D">
      <w:r w:rsidRPr="00A34D0D">
        <w:t>There is some evidence that the relationship between volume and LiDAR attributes varies with strata (</w:t>
      </w:r>
      <w:r w:rsidR="001B17DC">
        <w:fldChar w:fldCharType="begin"/>
      </w:r>
      <w:r w:rsidR="001B17DC">
        <w:instrText xml:space="preserve"> REF _Ref449440228 \h </w:instrText>
      </w:r>
      <w:r w:rsidR="001B17DC">
        <w:fldChar w:fldCharType="separate"/>
      </w:r>
      <w:r w:rsidR="001B17DC">
        <w:t xml:space="preserve">Figure </w:t>
      </w:r>
      <w:r w:rsidR="001B17DC">
        <w:rPr>
          <w:noProof/>
        </w:rPr>
        <w:t>10</w:t>
      </w:r>
      <w:r w:rsidR="001B17DC">
        <w:fldChar w:fldCharType="end"/>
      </w:r>
      <w:r w:rsidR="005B6329">
        <w:t>)</w:t>
      </w:r>
      <w:r w:rsidRPr="00A34D0D">
        <w:t>.  When all the data are plotted on one graph (</w:t>
      </w:r>
      <w:r w:rsidR="001B17DC">
        <w:fldChar w:fldCharType="begin"/>
      </w:r>
      <w:r w:rsidR="001B17DC">
        <w:instrText xml:space="preserve"> REF _Ref449440254 \h </w:instrText>
      </w:r>
      <w:r w:rsidR="001B17DC">
        <w:fldChar w:fldCharType="separate"/>
      </w:r>
      <w:r w:rsidR="001B17DC">
        <w:t xml:space="preserve">Figure </w:t>
      </w:r>
      <w:r w:rsidR="001B17DC">
        <w:rPr>
          <w:noProof/>
        </w:rPr>
        <w:t>11</w:t>
      </w:r>
      <w:r w:rsidR="001B17DC">
        <w:fldChar w:fldCharType="end"/>
      </w:r>
      <w:r w:rsidRPr="00A34D0D">
        <w:fldChar w:fldCharType="begin"/>
      </w:r>
      <w:r w:rsidRPr="00A34D0D">
        <w:instrText xml:space="preserve"> REF _Ref444163807 \r \h </w:instrText>
      </w:r>
      <w:r w:rsidRPr="00A34D0D">
        <w:fldChar w:fldCharType="end"/>
      </w:r>
      <w:r w:rsidRPr="00A34D0D">
        <w:t xml:space="preserve">), the curvilinear trend becomes more apparent.  There is also some evidence of increasing variability in volume with increasing p90.  The ground plot includes all trees whose stem base is within the plot.  The LiDAR plot only includes the portion of the tree that is within the plot boundary.  And for trees outside the plot, the LIDAR plot includes that portion of the tree crown that falls within the plot boundary.  Thus some of the field plot attributes (basal area and volume) are very sensitive to edge trees while the LiDAR plot is relatively insensitive.  The larger the tree, the more sensitive the field plot is to edge trees.  </w:t>
      </w:r>
    </w:p>
    <w:p w:rsidR="00A34D0D" w:rsidRPr="00A34D0D" w:rsidRDefault="00A34D0D" w:rsidP="00A34D0D">
      <w:pPr>
        <w:ind w:left="-720"/>
      </w:pPr>
      <w:r w:rsidRPr="00A34D0D">
        <w:rPr>
          <w:noProof/>
          <w:lang w:val="en-CA" w:eastAsia="zh-CN"/>
        </w:rPr>
        <w:lastRenderedPageBreak/>
        <w:drawing>
          <wp:inline distT="0" distB="0" distL="0" distR="0" wp14:anchorId="78988C31" wp14:editId="0F472339">
            <wp:extent cx="5747855" cy="3381375"/>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62089" cy="3389748"/>
                    </a:xfrm>
                    <a:prstGeom prst="rect">
                      <a:avLst/>
                    </a:prstGeom>
                    <a:noFill/>
                  </pic:spPr>
                </pic:pic>
              </a:graphicData>
            </a:graphic>
          </wp:inline>
        </w:drawing>
      </w:r>
    </w:p>
    <w:p w:rsidR="00552CED" w:rsidRDefault="00552CED" w:rsidP="00552CED">
      <w:pPr>
        <w:pStyle w:val="Caption"/>
        <w:rPr>
          <w:color w:val="000000"/>
          <w:shd w:val="clear" w:color="auto" w:fill="FFFFFF"/>
        </w:rPr>
      </w:pPr>
      <w:bookmarkStart w:id="55" w:name="_Ref449440228"/>
      <w:bookmarkStart w:id="56" w:name="_Toc449515884"/>
      <w:bookmarkStart w:id="57" w:name="_Ref444163703"/>
      <w:r>
        <w:t xml:space="preserve">Figure </w:t>
      </w:r>
      <w:r w:rsidR="008E0E5D">
        <w:fldChar w:fldCharType="begin"/>
      </w:r>
      <w:r w:rsidR="008E0E5D">
        <w:instrText xml:space="preserve"> SEQ Figure \* ARABIC </w:instrText>
      </w:r>
      <w:r w:rsidR="008E0E5D">
        <w:fldChar w:fldCharType="separate"/>
      </w:r>
      <w:r w:rsidR="00173AD0">
        <w:rPr>
          <w:noProof/>
        </w:rPr>
        <w:t>10</w:t>
      </w:r>
      <w:r w:rsidR="008E0E5D">
        <w:rPr>
          <w:noProof/>
        </w:rPr>
        <w:fldChar w:fldCharType="end"/>
      </w:r>
      <w:bookmarkEnd w:id="55"/>
      <w:r>
        <w:t xml:space="preserve">  Scatter plots of whole stem volume (at the 4cm utilization level) against p90 by strata</w:t>
      </w:r>
      <w:bookmarkEnd w:id="56"/>
    </w:p>
    <w:bookmarkEnd w:id="57"/>
    <w:p w:rsidR="005B6329" w:rsidRDefault="005B6329" w:rsidP="005B6329">
      <w:pPr>
        <w:rPr>
          <w:color w:val="000000"/>
          <w:shd w:val="clear" w:color="auto" w:fill="FFFFFF"/>
        </w:rPr>
      </w:pPr>
    </w:p>
    <w:p w:rsidR="005B6329" w:rsidRDefault="005B6329" w:rsidP="005B6329">
      <w:r w:rsidRPr="00A34D0D">
        <w:rPr>
          <w:color w:val="000000"/>
          <w:shd w:val="clear" w:color="auto" w:fill="FFFFFF"/>
        </w:rPr>
        <w:t xml:space="preserve">The same data as in </w:t>
      </w:r>
      <w:r w:rsidR="005121A1">
        <w:rPr>
          <w:color w:val="000000"/>
          <w:shd w:val="clear" w:color="auto" w:fill="FFFFFF"/>
        </w:rPr>
        <w:t>Figure 10</w:t>
      </w:r>
      <w:r>
        <w:rPr>
          <w:color w:val="000000"/>
          <w:shd w:val="clear" w:color="auto" w:fill="FFFFFF"/>
        </w:rPr>
        <w:t xml:space="preserve"> </w:t>
      </w:r>
      <w:r w:rsidRPr="00A34D0D">
        <w:rPr>
          <w:color w:val="000000"/>
          <w:shd w:val="clear" w:color="auto" w:fill="FFFFFF"/>
        </w:rPr>
        <w:t>but all strata are plotted on one graph</w:t>
      </w:r>
      <w:r>
        <w:rPr>
          <w:color w:val="000000"/>
          <w:shd w:val="clear" w:color="auto" w:fill="FFFFFF"/>
        </w:rPr>
        <w:t xml:space="preserve"> (</w:t>
      </w:r>
      <w:r w:rsidR="001B17DC">
        <w:rPr>
          <w:color w:val="000000"/>
          <w:shd w:val="clear" w:color="auto" w:fill="FFFFFF"/>
        </w:rPr>
        <w:fldChar w:fldCharType="begin"/>
      </w:r>
      <w:r w:rsidR="001B17DC">
        <w:rPr>
          <w:color w:val="000000"/>
          <w:shd w:val="clear" w:color="auto" w:fill="FFFFFF"/>
        </w:rPr>
        <w:instrText xml:space="preserve"> REF _Ref449440254 \h </w:instrText>
      </w:r>
      <w:r w:rsidR="001B17DC">
        <w:rPr>
          <w:color w:val="000000"/>
          <w:shd w:val="clear" w:color="auto" w:fill="FFFFFF"/>
        </w:rPr>
      </w:r>
      <w:r w:rsidR="001B17DC">
        <w:rPr>
          <w:color w:val="000000"/>
          <w:shd w:val="clear" w:color="auto" w:fill="FFFFFF"/>
        </w:rPr>
        <w:fldChar w:fldCharType="separate"/>
      </w:r>
      <w:r w:rsidR="001B17DC">
        <w:t xml:space="preserve">Figure </w:t>
      </w:r>
      <w:r w:rsidR="001B17DC">
        <w:rPr>
          <w:noProof/>
        </w:rPr>
        <w:t>11</w:t>
      </w:r>
      <w:r w:rsidR="001B17DC">
        <w:rPr>
          <w:color w:val="000000"/>
          <w:shd w:val="clear" w:color="auto" w:fill="FFFFFF"/>
        </w:rPr>
        <w:fldChar w:fldCharType="end"/>
      </w:r>
      <w:r>
        <w:rPr>
          <w:color w:val="000000"/>
          <w:shd w:val="clear" w:color="auto" w:fill="FFFFFF"/>
        </w:rPr>
        <w:t>)</w:t>
      </w:r>
      <w:r w:rsidRPr="00A34D0D">
        <w:rPr>
          <w:color w:val="000000"/>
          <w:shd w:val="clear" w:color="auto" w:fill="FFFFFF"/>
        </w:rPr>
        <w:t xml:space="preserve">.  </w:t>
      </w:r>
    </w:p>
    <w:p w:rsidR="00A34D0D" w:rsidRPr="00A34D0D" w:rsidRDefault="00A34D0D" w:rsidP="00A34D0D"/>
    <w:p w:rsidR="00A34D0D" w:rsidRPr="00A34D0D" w:rsidRDefault="00A34D0D" w:rsidP="00A34D0D">
      <w:r w:rsidRPr="00A34D0D">
        <w:rPr>
          <w:noProof/>
          <w:lang w:val="en-CA" w:eastAsia="zh-CN"/>
        </w:rPr>
        <w:drawing>
          <wp:inline distT="0" distB="0" distL="0" distR="0" wp14:anchorId="189B2C58" wp14:editId="1400E73D">
            <wp:extent cx="4579620" cy="31546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79620" cy="3154680"/>
                    </a:xfrm>
                    <a:prstGeom prst="rect">
                      <a:avLst/>
                    </a:prstGeom>
                    <a:noFill/>
                  </pic:spPr>
                </pic:pic>
              </a:graphicData>
            </a:graphic>
          </wp:inline>
        </w:drawing>
      </w:r>
    </w:p>
    <w:p w:rsidR="00A34D0D" w:rsidRPr="00A34D0D" w:rsidRDefault="005B6329" w:rsidP="005B6329">
      <w:pPr>
        <w:pStyle w:val="Caption"/>
        <w:rPr>
          <w:color w:val="000000"/>
          <w:shd w:val="clear" w:color="auto" w:fill="FFFFFF"/>
        </w:rPr>
      </w:pPr>
      <w:bookmarkStart w:id="58" w:name="_Ref449440254"/>
      <w:bookmarkStart w:id="59" w:name="_Toc449515885"/>
      <w:bookmarkStart w:id="60" w:name="_Ref444163807"/>
      <w:r>
        <w:t xml:space="preserve">Figure </w:t>
      </w:r>
      <w:r w:rsidR="008E0E5D">
        <w:fldChar w:fldCharType="begin"/>
      </w:r>
      <w:r w:rsidR="008E0E5D">
        <w:instrText xml:space="preserve"> SEQ Figure \* ARABIC </w:instrText>
      </w:r>
      <w:r w:rsidR="008E0E5D">
        <w:fldChar w:fldCharType="separate"/>
      </w:r>
      <w:r w:rsidR="00173AD0">
        <w:rPr>
          <w:noProof/>
        </w:rPr>
        <w:t>11</w:t>
      </w:r>
      <w:r w:rsidR="008E0E5D">
        <w:rPr>
          <w:noProof/>
        </w:rPr>
        <w:fldChar w:fldCharType="end"/>
      </w:r>
      <w:bookmarkEnd w:id="58"/>
      <w:r>
        <w:t xml:space="preserve">  The live whole stem volumes against p90 without stratification</w:t>
      </w:r>
      <w:bookmarkEnd w:id="59"/>
      <w:r>
        <w:t xml:space="preserve"> </w:t>
      </w:r>
      <w:bookmarkEnd w:id="60"/>
    </w:p>
    <w:p w:rsidR="00A34D0D" w:rsidRPr="00A34D0D" w:rsidRDefault="00A34D0D" w:rsidP="00A34D0D">
      <w:r w:rsidRPr="00A34D0D">
        <w:lastRenderedPageBreak/>
        <w:t>Some plots have a significant amount of dead volume.  Most of the interest is in the live volume and there is some concern the dead volume may complicate the predictions.  It was expected that in</w:t>
      </w:r>
      <w:r w:rsidR="00EE0B76">
        <w:t xml:space="preserve"> </w:t>
      </w:r>
      <w:r w:rsidR="00EE0B76">
        <w:fldChar w:fldCharType="begin"/>
      </w:r>
      <w:r w:rsidR="00EE0B76">
        <w:instrText xml:space="preserve"> REF _Ref449440254 \h </w:instrText>
      </w:r>
      <w:r w:rsidR="00EE0B76">
        <w:fldChar w:fldCharType="separate"/>
      </w:r>
      <w:r w:rsidR="00EE0B76">
        <w:t xml:space="preserve">Figure </w:t>
      </w:r>
      <w:r w:rsidR="00EE0B76">
        <w:rPr>
          <w:noProof/>
        </w:rPr>
        <w:t>11</w:t>
      </w:r>
      <w:r w:rsidR="00EE0B76">
        <w:fldChar w:fldCharType="end"/>
      </w:r>
      <w:r w:rsidRPr="00A34D0D">
        <w:t>, plots with a lot of dead volume would tend to be at the lower part of the data cloud, for a given p90.  This trend is not clear (</w:t>
      </w:r>
      <w:r w:rsidR="00EE0B76">
        <w:fldChar w:fldCharType="begin"/>
      </w:r>
      <w:r w:rsidR="00EE0B76">
        <w:instrText xml:space="preserve"> REF _Ref449440505 \h </w:instrText>
      </w:r>
      <w:r w:rsidR="00EE0B76">
        <w:fldChar w:fldCharType="separate"/>
      </w:r>
      <w:r w:rsidR="00EE0B76">
        <w:t xml:space="preserve">Figure </w:t>
      </w:r>
      <w:r w:rsidR="00EE0B76">
        <w:rPr>
          <w:noProof/>
        </w:rPr>
        <w:t>12</w:t>
      </w:r>
      <w:r w:rsidR="00EE0B76">
        <w:fldChar w:fldCharType="end"/>
      </w:r>
      <w:r w:rsidRPr="00A34D0D">
        <w:t>).  The plots with a lot of dead volume tend to be within the overall data cloud.</w:t>
      </w:r>
    </w:p>
    <w:p w:rsidR="00A34D0D" w:rsidRPr="00A34D0D" w:rsidRDefault="00A34D0D" w:rsidP="00A34D0D">
      <w:r w:rsidRPr="00A34D0D">
        <w:rPr>
          <w:noProof/>
          <w:lang w:val="en-CA" w:eastAsia="zh-CN"/>
        </w:rPr>
        <w:drawing>
          <wp:inline distT="0" distB="0" distL="0" distR="0" wp14:anchorId="20728524" wp14:editId="646A6C06">
            <wp:extent cx="4572000" cy="31470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572000" cy="3147060"/>
                    </a:xfrm>
                    <a:prstGeom prst="rect">
                      <a:avLst/>
                    </a:prstGeom>
                    <a:noFill/>
                  </pic:spPr>
                </pic:pic>
              </a:graphicData>
            </a:graphic>
          </wp:inline>
        </w:drawing>
      </w:r>
    </w:p>
    <w:p w:rsidR="005B6329" w:rsidRDefault="00A34D0D" w:rsidP="005B6329">
      <w:pPr>
        <w:pStyle w:val="Caption"/>
      </w:pPr>
      <w:r w:rsidRPr="00A34D0D">
        <w:rPr>
          <w:color w:val="000000"/>
          <w:shd w:val="clear" w:color="auto" w:fill="FFFFFF"/>
        </w:rPr>
        <w:t xml:space="preserve"> </w:t>
      </w:r>
      <w:bookmarkStart w:id="61" w:name="_Ref449440505"/>
      <w:bookmarkStart w:id="62" w:name="_Toc449515886"/>
      <w:bookmarkStart w:id="63" w:name="_Ref444585322"/>
      <w:r w:rsidR="005B6329">
        <w:t xml:space="preserve">Figure </w:t>
      </w:r>
      <w:r w:rsidR="008E0E5D">
        <w:fldChar w:fldCharType="begin"/>
      </w:r>
      <w:r w:rsidR="008E0E5D">
        <w:instrText xml:space="preserve"> SEQ Figure \* ARABIC </w:instrText>
      </w:r>
      <w:r w:rsidR="008E0E5D">
        <w:fldChar w:fldCharType="separate"/>
      </w:r>
      <w:r w:rsidR="00173AD0">
        <w:rPr>
          <w:noProof/>
        </w:rPr>
        <w:t>12</w:t>
      </w:r>
      <w:r w:rsidR="008E0E5D">
        <w:rPr>
          <w:noProof/>
        </w:rPr>
        <w:fldChar w:fldCharType="end"/>
      </w:r>
      <w:bookmarkEnd w:id="61"/>
      <w:r w:rsidR="005B6329" w:rsidRPr="005B6329">
        <w:t xml:space="preserve"> </w:t>
      </w:r>
      <w:r w:rsidR="005B6329">
        <w:t xml:space="preserve"> </w:t>
      </w:r>
      <w:r w:rsidR="005B6329" w:rsidRPr="005B6329">
        <w:t xml:space="preserve">The same data as </w:t>
      </w:r>
      <w:r w:rsidR="00BA0BF2">
        <w:fldChar w:fldCharType="begin"/>
      </w:r>
      <w:r w:rsidR="00BA0BF2">
        <w:instrText xml:space="preserve"> REF _Ref449440254 \h </w:instrText>
      </w:r>
      <w:r w:rsidR="00BA0BF2">
        <w:fldChar w:fldCharType="separate"/>
      </w:r>
      <w:r w:rsidR="00BA0BF2">
        <w:t xml:space="preserve">Figure </w:t>
      </w:r>
      <w:r w:rsidR="00BA0BF2">
        <w:rPr>
          <w:noProof/>
        </w:rPr>
        <w:t>6</w:t>
      </w:r>
      <w:r w:rsidR="00BA0BF2">
        <w:fldChar w:fldCharType="end"/>
      </w:r>
      <w:r w:rsidR="00BA0BF2">
        <w:t xml:space="preserve"> </w:t>
      </w:r>
      <w:r w:rsidR="005B6329" w:rsidRPr="005B6329">
        <w:t>with the addition that the plots with more than 100 m3/ha of dead whole stem volume are circled.</w:t>
      </w:r>
      <w:bookmarkEnd w:id="62"/>
    </w:p>
    <w:bookmarkEnd w:id="63"/>
    <w:p w:rsidR="00A34D0D" w:rsidRPr="005B6329" w:rsidRDefault="00A34D0D" w:rsidP="005B6329">
      <w:pPr>
        <w:pStyle w:val="Caption"/>
        <w:rPr>
          <w:b w:val="0"/>
          <w:color w:val="000000"/>
          <w:shd w:val="clear" w:color="auto" w:fill="FFFFFF"/>
        </w:rPr>
      </w:pPr>
    </w:p>
    <w:p w:rsidR="00A34D0D" w:rsidRPr="00A34D0D" w:rsidRDefault="00A34D0D" w:rsidP="00A34D0D"/>
    <w:p w:rsidR="00A34D0D" w:rsidRPr="00A34D0D" w:rsidRDefault="00A34D0D" w:rsidP="0069371D">
      <w:pPr>
        <w:pStyle w:val="Heading2"/>
      </w:pPr>
      <w:r w:rsidRPr="00A34D0D">
        <w:t xml:space="preserve"> </w:t>
      </w:r>
      <w:bookmarkStart w:id="64" w:name="_Toc446500352"/>
      <w:bookmarkStart w:id="65" w:name="_Toc449596364"/>
      <w:r w:rsidRPr="00A34D0D">
        <w:t>Parametric predictions</w:t>
      </w:r>
      <w:bookmarkEnd w:id="64"/>
      <w:bookmarkEnd w:id="65"/>
    </w:p>
    <w:p w:rsidR="00A34D0D" w:rsidRPr="00A34D0D" w:rsidRDefault="00A34D0D" w:rsidP="00A34D0D">
      <w:r w:rsidRPr="00A34D0D">
        <w:t>The prediction equations using all the data and no stratification are given in</w:t>
      </w:r>
      <w:r w:rsidR="00BA0BF2">
        <w:t xml:space="preserve"> </w:t>
      </w:r>
      <w:r w:rsidR="00BA0BF2">
        <w:fldChar w:fldCharType="begin"/>
      </w:r>
      <w:r w:rsidR="00BA0BF2">
        <w:instrText xml:space="preserve"> REF _Ref449441052 \h </w:instrText>
      </w:r>
      <w:r w:rsidR="00BA0BF2">
        <w:fldChar w:fldCharType="separate"/>
      </w:r>
      <w:r w:rsidR="00BA0BF2">
        <w:t xml:space="preserve">Table </w:t>
      </w:r>
      <w:r w:rsidR="00BA0BF2">
        <w:rPr>
          <w:noProof/>
        </w:rPr>
        <w:t>7</w:t>
      </w:r>
      <w:r w:rsidR="005121A1">
        <w:rPr>
          <w:noProof/>
        </w:rPr>
        <w:t>.</w:t>
      </w:r>
      <w:r w:rsidR="00BA0BF2">
        <w:t xml:space="preserve"> The parametric prediction equations associated with all the data and no stratification</w:t>
      </w:r>
      <w:r w:rsidR="00BA0BF2">
        <w:fldChar w:fldCharType="end"/>
      </w:r>
      <w:r w:rsidRPr="00A34D0D">
        <w:t>.</w:t>
      </w:r>
    </w:p>
    <w:p w:rsidR="00A34D0D" w:rsidRDefault="00A34D0D" w:rsidP="00A34D0D">
      <w:pPr>
        <w:ind w:left="360" w:hanging="360"/>
      </w:pPr>
      <w:r w:rsidRPr="00A34D0D">
        <w:t xml:space="preserve"> </w:t>
      </w:r>
    </w:p>
    <w:p w:rsidR="00BA0BF2" w:rsidRPr="00A34D0D" w:rsidRDefault="00BA0BF2" w:rsidP="00BA0BF2">
      <w:pPr>
        <w:pStyle w:val="Caption"/>
      </w:pPr>
      <w:bookmarkStart w:id="66" w:name="_Ref449441052"/>
      <w:bookmarkStart w:id="67" w:name="_Toc449515872"/>
      <w:r>
        <w:t xml:space="preserve">Table </w:t>
      </w:r>
      <w:r w:rsidR="008E0E5D">
        <w:fldChar w:fldCharType="begin"/>
      </w:r>
      <w:r w:rsidR="008E0E5D">
        <w:instrText xml:space="preserve"> SEQ Table \* ARABIC </w:instrText>
      </w:r>
      <w:r w:rsidR="008E0E5D">
        <w:fldChar w:fldCharType="separate"/>
      </w:r>
      <w:r w:rsidR="00EA6AA2">
        <w:rPr>
          <w:noProof/>
        </w:rPr>
        <w:t>7</w:t>
      </w:r>
      <w:r w:rsidR="008E0E5D">
        <w:rPr>
          <w:noProof/>
        </w:rPr>
        <w:fldChar w:fldCharType="end"/>
      </w:r>
      <w:r>
        <w:t xml:space="preserve">  The parametric prediction equations associated with all the data and no stratification</w:t>
      </w:r>
      <w:bookmarkEnd w:id="66"/>
      <w:bookmarkEnd w:id="67"/>
    </w:p>
    <w:tbl>
      <w:tblPr>
        <w:tblW w:w="9624" w:type="dxa"/>
        <w:tblInd w:w="108" w:type="dxa"/>
        <w:tblLook w:val="04A0" w:firstRow="1" w:lastRow="0" w:firstColumn="1" w:lastColumn="0" w:noHBand="0" w:noVBand="1"/>
      </w:tblPr>
      <w:tblGrid>
        <w:gridCol w:w="984"/>
        <w:gridCol w:w="8640"/>
      </w:tblGrid>
      <w:tr w:rsidR="00A34D0D" w:rsidRPr="00A34D0D" w:rsidTr="00A34D0D">
        <w:trPr>
          <w:trHeight w:val="300"/>
        </w:trPr>
        <w:tc>
          <w:tcPr>
            <w:tcW w:w="984" w:type="dxa"/>
            <w:tcBorders>
              <w:top w:val="single" w:sz="4" w:space="0" w:color="auto"/>
              <w:left w:val="nil"/>
              <w:bottom w:val="single" w:sz="4" w:space="0" w:color="auto"/>
              <w:right w:val="nil"/>
            </w:tcBorders>
            <w:vAlign w:val="bottom"/>
          </w:tcPr>
          <w:p w:rsidR="00A34D0D" w:rsidRPr="00A34D0D" w:rsidRDefault="00A34D0D" w:rsidP="00A34D0D">
            <w:pPr>
              <w:spacing w:before="0"/>
              <w:rPr>
                <w:color w:val="000000"/>
              </w:rPr>
            </w:pPr>
            <w:r w:rsidRPr="00A34D0D">
              <w:rPr>
                <w:color w:val="000000"/>
              </w:rPr>
              <w:t>Variable</w:t>
            </w:r>
          </w:p>
        </w:tc>
        <w:tc>
          <w:tcPr>
            <w:tcW w:w="8640"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rPr>
                <w:color w:val="000000"/>
              </w:rPr>
            </w:pPr>
            <w:r w:rsidRPr="00A34D0D">
              <w:rPr>
                <w:color w:val="000000"/>
              </w:rPr>
              <w:t>Prediction equation</w:t>
            </w:r>
          </w:p>
        </w:tc>
      </w:tr>
      <w:tr w:rsidR="00A34D0D" w:rsidRPr="00A34D0D" w:rsidTr="00A34D0D">
        <w:trPr>
          <w:trHeight w:val="300"/>
        </w:trPr>
        <w:tc>
          <w:tcPr>
            <w:tcW w:w="984" w:type="dxa"/>
            <w:tcBorders>
              <w:top w:val="single" w:sz="4" w:space="0" w:color="auto"/>
              <w:left w:val="nil"/>
              <w:bottom w:val="nil"/>
              <w:right w:val="nil"/>
            </w:tcBorders>
            <w:vAlign w:val="bottom"/>
          </w:tcPr>
          <w:p w:rsidR="00A34D0D" w:rsidRPr="00A34D0D" w:rsidRDefault="00A34D0D" w:rsidP="00A34D0D">
            <w:pPr>
              <w:spacing w:before="0"/>
              <w:rPr>
                <w:color w:val="000000"/>
              </w:rPr>
            </w:pPr>
            <w:proofErr w:type="spellStart"/>
            <w:r w:rsidRPr="00A34D0D">
              <w:rPr>
                <w:color w:val="000000"/>
              </w:rPr>
              <w:t>ht_lor_l</w:t>
            </w:r>
            <w:proofErr w:type="spellEnd"/>
          </w:p>
        </w:tc>
        <w:tc>
          <w:tcPr>
            <w:tcW w:w="8640"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rPr>
                <w:color w:val="000000"/>
              </w:rPr>
            </w:pPr>
            <w:proofErr w:type="spellStart"/>
            <w:r w:rsidRPr="00A34D0D">
              <w:rPr>
                <w:color w:val="000000"/>
              </w:rPr>
              <w:t>exp</w:t>
            </w:r>
            <w:proofErr w:type="spellEnd"/>
            <w:r w:rsidRPr="00A34D0D">
              <w:rPr>
                <w:color w:val="000000"/>
              </w:rPr>
              <w:t>(0.564035 + 0.511271*lnp90 + 0.045678*</w:t>
            </w:r>
            <w:proofErr w:type="spellStart"/>
            <w:r w:rsidRPr="00A34D0D">
              <w:rPr>
                <w:color w:val="000000"/>
              </w:rPr>
              <w:t>lncov_gap</w:t>
            </w:r>
            <w:proofErr w:type="spellEnd"/>
            <w:r w:rsidRPr="00A34D0D">
              <w:rPr>
                <w:color w:val="000000"/>
              </w:rPr>
              <w:t xml:space="preserve"> + 0.004767*lnd04 + 0.154872*</w:t>
            </w:r>
            <w:proofErr w:type="spellStart"/>
            <w:r w:rsidRPr="00A34D0D">
              <w:rPr>
                <w:color w:val="000000"/>
              </w:rPr>
              <w:t>lnqav</w:t>
            </w:r>
            <w:proofErr w:type="spellEnd"/>
            <w:r w:rsidRPr="00A34D0D">
              <w:rPr>
                <w:color w:val="000000"/>
              </w:rPr>
              <w:t>);</w:t>
            </w:r>
          </w:p>
        </w:tc>
      </w:tr>
      <w:tr w:rsidR="00A34D0D" w:rsidRPr="00A34D0D" w:rsidTr="00A34D0D">
        <w:trPr>
          <w:trHeight w:val="300"/>
        </w:trPr>
        <w:tc>
          <w:tcPr>
            <w:tcW w:w="984" w:type="dxa"/>
            <w:tcBorders>
              <w:top w:val="nil"/>
              <w:left w:val="nil"/>
              <w:bottom w:val="nil"/>
              <w:right w:val="nil"/>
            </w:tcBorders>
            <w:vAlign w:val="bottom"/>
          </w:tcPr>
          <w:p w:rsidR="00A34D0D" w:rsidRPr="00A34D0D" w:rsidRDefault="00A34D0D" w:rsidP="00A34D0D">
            <w:pPr>
              <w:spacing w:before="0"/>
              <w:rPr>
                <w:color w:val="000000"/>
              </w:rPr>
            </w:pPr>
            <w:proofErr w:type="spellStart"/>
            <w:r w:rsidRPr="00A34D0D">
              <w:rPr>
                <w:color w:val="000000"/>
              </w:rPr>
              <w:t>Vha_nwd</w:t>
            </w:r>
            <w:proofErr w:type="spellEnd"/>
            <w:r w:rsidRPr="00A34D0D">
              <w:rPr>
                <w:color w:val="000000"/>
              </w:rPr>
              <w:t xml:space="preserve"> </w:t>
            </w:r>
          </w:p>
        </w:tc>
        <w:tc>
          <w:tcPr>
            <w:tcW w:w="8640" w:type="dxa"/>
            <w:tcBorders>
              <w:top w:val="nil"/>
              <w:left w:val="nil"/>
              <w:bottom w:val="nil"/>
              <w:right w:val="nil"/>
            </w:tcBorders>
            <w:shd w:val="clear" w:color="auto" w:fill="auto"/>
            <w:noWrap/>
            <w:vAlign w:val="bottom"/>
            <w:hideMark/>
          </w:tcPr>
          <w:p w:rsidR="00A34D0D" w:rsidRPr="00A34D0D" w:rsidRDefault="00A34D0D" w:rsidP="00A34D0D">
            <w:pPr>
              <w:spacing w:before="0"/>
              <w:rPr>
                <w:color w:val="000000"/>
              </w:rPr>
            </w:pPr>
            <w:proofErr w:type="spellStart"/>
            <w:r w:rsidRPr="00A34D0D">
              <w:rPr>
                <w:color w:val="000000"/>
              </w:rPr>
              <w:t>exp</w:t>
            </w:r>
            <w:proofErr w:type="spellEnd"/>
            <w:r w:rsidRPr="00A34D0D">
              <w:rPr>
                <w:color w:val="000000"/>
              </w:rPr>
              <w:t>(3.877499 + 0.124742*lnd03 );</w:t>
            </w:r>
          </w:p>
        </w:tc>
      </w:tr>
      <w:tr w:rsidR="00A34D0D" w:rsidRPr="00A34D0D" w:rsidTr="00A34D0D">
        <w:trPr>
          <w:trHeight w:val="300"/>
        </w:trPr>
        <w:tc>
          <w:tcPr>
            <w:tcW w:w="984" w:type="dxa"/>
            <w:tcBorders>
              <w:top w:val="nil"/>
              <w:left w:val="nil"/>
              <w:bottom w:val="nil"/>
              <w:right w:val="nil"/>
            </w:tcBorders>
            <w:vAlign w:val="bottom"/>
          </w:tcPr>
          <w:p w:rsidR="00A34D0D" w:rsidRPr="00A34D0D" w:rsidRDefault="00A34D0D" w:rsidP="00A34D0D">
            <w:pPr>
              <w:spacing w:before="0"/>
              <w:rPr>
                <w:color w:val="000000"/>
              </w:rPr>
            </w:pPr>
            <w:proofErr w:type="spellStart"/>
            <w:r w:rsidRPr="00A34D0D">
              <w:rPr>
                <w:color w:val="000000"/>
              </w:rPr>
              <w:t>Vht_Wsv</w:t>
            </w:r>
            <w:proofErr w:type="spellEnd"/>
            <w:r w:rsidRPr="00A34D0D">
              <w:rPr>
                <w:color w:val="000000"/>
              </w:rPr>
              <w:t xml:space="preserve"> </w:t>
            </w:r>
          </w:p>
        </w:tc>
        <w:tc>
          <w:tcPr>
            <w:tcW w:w="8640" w:type="dxa"/>
            <w:tcBorders>
              <w:top w:val="nil"/>
              <w:left w:val="nil"/>
              <w:bottom w:val="nil"/>
              <w:right w:val="nil"/>
            </w:tcBorders>
            <w:shd w:val="clear" w:color="auto" w:fill="auto"/>
            <w:noWrap/>
            <w:vAlign w:val="bottom"/>
            <w:hideMark/>
          </w:tcPr>
          <w:p w:rsidR="00A34D0D" w:rsidRPr="00A34D0D" w:rsidRDefault="00A34D0D" w:rsidP="00A34D0D">
            <w:pPr>
              <w:spacing w:before="0"/>
              <w:rPr>
                <w:color w:val="000000"/>
              </w:rPr>
            </w:pPr>
            <w:proofErr w:type="spellStart"/>
            <w:r w:rsidRPr="00A34D0D">
              <w:rPr>
                <w:color w:val="000000"/>
              </w:rPr>
              <w:t>exp</w:t>
            </w:r>
            <w:proofErr w:type="spellEnd"/>
            <w:r w:rsidRPr="00A34D0D">
              <w:rPr>
                <w:color w:val="000000"/>
              </w:rPr>
              <w:t>(0.820032 + 1.254242*lnp60 + 0.272216*lnd01 + 0.543549*lnp10 + 0.01024*lnd04);</w:t>
            </w:r>
          </w:p>
        </w:tc>
      </w:tr>
      <w:tr w:rsidR="00A34D0D" w:rsidRPr="00A34D0D" w:rsidTr="00A34D0D">
        <w:trPr>
          <w:trHeight w:val="300"/>
        </w:trPr>
        <w:tc>
          <w:tcPr>
            <w:tcW w:w="984" w:type="dxa"/>
            <w:tcBorders>
              <w:top w:val="nil"/>
              <w:left w:val="nil"/>
              <w:bottom w:val="nil"/>
              <w:right w:val="nil"/>
            </w:tcBorders>
            <w:vAlign w:val="bottom"/>
          </w:tcPr>
          <w:p w:rsidR="00A34D0D" w:rsidRPr="00A34D0D" w:rsidRDefault="00A34D0D" w:rsidP="00A34D0D">
            <w:pPr>
              <w:spacing w:before="0"/>
              <w:rPr>
                <w:color w:val="000000"/>
              </w:rPr>
            </w:pPr>
            <w:proofErr w:type="spellStart"/>
            <w:r w:rsidRPr="00A34D0D">
              <w:rPr>
                <w:color w:val="000000"/>
              </w:rPr>
              <w:t>Ba_Ha</w:t>
            </w:r>
            <w:proofErr w:type="spellEnd"/>
            <w:r w:rsidRPr="00A34D0D">
              <w:rPr>
                <w:color w:val="000000"/>
              </w:rPr>
              <w:t xml:space="preserve"> </w:t>
            </w:r>
          </w:p>
        </w:tc>
        <w:tc>
          <w:tcPr>
            <w:tcW w:w="8640" w:type="dxa"/>
            <w:tcBorders>
              <w:top w:val="nil"/>
              <w:left w:val="nil"/>
              <w:bottom w:val="nil"/>
              <w:right w:val="nil"/>
            </w:tcBorders>
            <w:shd w:val="clear" w:color="auto" w:fill="auto"/>
            <w:noWrap/>
            <w:vAlign w:val="bottom"/>
            <w:hideMark/>
          </w:tcPr>
          <w:p w:rsidR="00A34D0D" w:rsidRPr="00A34D0D" w:rsidRDefault="00A34D0D" w:rsidP="00A34D0D">
            <w:pPr>
              <w:spacing w:before="0"/>
              <w:rPr>
                <w:color w:val="000000"/>
              </w:rPr>
            </w:pPr>
            <w:proofErr w:type="spellStart"/>
            <w:r w:rsidRPr="00A34D0D">
              <w:rPr>
                <w:color w:val="000000"/>
              </w:rPr>
              <w:t>exp</w:t>
            </w:r>
            <w:proofErr w:type="spellEnd"/>
            <w:r w:rsidRPr="00A34D0D">
              <w:rPr>
                <w:color w:val="000000"/>
              </w:rPr>
              <w:t>(0.790413*lnp50 + 0.287273*lnd01 + -0.05657*</w:t>
            </w:r>
            <w:proofErr w:type="spellStart"/>
            <w:r w:rsidRPr="00A34D0D">
              <w:rPr>
                <w:color w:val="000000"/>
              </w:rPr>
              <w:t>lndns_gap</w:t>
            </w:r>
            <w:proofErr w:type="spellEnd"/>
            <w:r w:rsidRPr="00A34D0D">
              <w:rPr>
                <w:color w:val="000000"/>
              </w:rPr>
              <w:t xml:space="preserve"> + 0.609148*lnp10 + 0.034438*lnd00);</w:t>
            </w:r>
          </w:p>
        </w:tc>
      </w:tr>
      <w:tr w:rsidR="00A34D0D" w:rsidRPr="00A34D0D" w:rsidTr="00A34D0D">
        <w:trPr>
          <w:trHeight w:val="300"/>
        </w:trPr>
        <w:tc>
          <w:tcPr>
            <w:tcW w:w="984" w:type="dxa"/>
            <w:tcBorders>
              <w:top w:val="nil"/>
              <w:left w:val="nil"/>
              <w:bottom w:val="nil"/>
              <w:right w:val="nil"/>
            </w:tcBorders>
            <w:vAlign w:val="bottom"/>
          </w:tcPr>
          <w:p w:rsidR="00A34D0D" w:rsidRPr="00A34D0D" w:rsidRDefault="00A34D0D" w:rsidP="00A34D0D">
            <w:pPr>
              <w:spacing w:before="0"/>
              <w:rPr>
                <w:color w:val="000000"/>
              </w:rPr>
            </w:pPr>
          </w:p>
        </w:tc>
        <w:tc>
          <w:tcPr>
            <w:tcW w:w="8640" w:type="dxa"/>
            <w:tcBorders>
              <w:top w:val="nil"/>
              <w:left w:val="nil"/>
              <w:bottom w:val="nil"/>
              <w:right w:val="nil"/>
            </w:tcBorders>
            <w:shd w:val="clear" w:color="auto" w:fill="auto"/>
            <w:noWrap/>
            <w:vAlign w:val="bottom"/>
            <w:hideMark/>
          </w:tcPr>
          <w:p w:rsidR="00A34D0D" w:rsidRPr="00A34D0D" w:rsidRDefault="00A34D0D" w:rsidP="00A34D0D">
            <w:pPr>
              <w:spacing w:before="0"/>
              <w:rPr>
                <w:color w:val="000000"/>
              </w:rPr>
            </w:pPr>
            <w:r w:rsidRPr="00A34D0D">
              <w:rPr>
                <w:color w:val="000000"/>
              </w:rPr>
              <w:t>1/(1+exp(-(-0.10978 + -0.03837*</w:t>
            </w:r>
            <w:proofErr w:type="spellStart"/>
            <w:r w:rsidRPr="00A34D0D">
              <w:rPr>
                <w:color w:val="000000"/>
              </w:rPr>
              <w:t>kur</w:t>
            </w:r>
            <w:proofErr w:type="spellEnd"/>
            <w:r w:rsidRPr="00A34D0D">
              <w:rPr>
                <w:color w:val="000000"/>
              </w:rPr>
              <w:t>)));</w:t>
            </w:r>
          </w:p>
        </w:tc>
      </w:tr>
      <w:tr w:rsidR="00A34D0D" w:rsidRPr="00A34D0D" w:rsidTr="00A34D0D">
        <w:trPr>
          <w:trHeight w:val="300"/>
        </w:trPr>
        <w:tc>
          <w:tcPr>
            <w:tcW w:w="984" w:type="dxa"/>
            <w:tcBorders>
              <w:top w:val="nil"/>
              <w:left w:val="nil"/>
              <w:bottom w:val="nil"/>
              <w:right w:val="nil"/>
            </w:tcBorders>
            <w:vAlign w:val="bottom"/>
          </w:tcPr>
          <w:p w:rsidR="00A34D0D" w:rsidRPr="00A34D0D" w:rsidRDefault="00A34D0D" w:rsidP="00A34D0D">
            <w:pPr>
              <w:spacing w:before="0"/>
              <w:rPr>
                <w:color w:val="000000"/>
              </w:rPr>
            </w:pPr>
            <w:r w:rsidRPr="00A34D0D">
              <w:rPr>
                <w:color w:val="000000"/>
              </w:rPr>
              <w:t xml:space="preserve">DQ </w:t>
            </w:r>
          </w:p>
        </w:tc>
        <w:tc>
          <w:tcPr>
            <w:tcW w:w="8640" w:type="dxa"/>
            <w:tcBorders>
              <w:top w:val="nil"/>
              <w:left w:val="nil"/>
              <w:bottom w:val="nil"/>
              <w:right w:val="nil"/>
            </w:tcBorders>
            <w:shd w:val="clear" w:color="auto" w:fill="auto"/>
            <w:noWrap/>
            <w:vAlign w:val="bottom"/>
            <w:hideMark/>
          </w:tcPr>
          <w:p w:rsidR="00A34D0D" w:rsidRPr="00A34D0D" w:rsidRDefault="00A34D0D" w:rsidP="00A34D0D">
            <w:pPr>
              <w:spacing w:before="0"/>
              <w:rPr>
                <w:color w:val="000000"/>
              </w:rPr>
            </w:pPr>
            <w:proofErr w:type="spellStart"/>
            <w:r w:rsidRPr="00A34D0D">
              <w:rPr>
                <w:color w:val="000000"/>
              </w:rPr>
              <w:t>exp</w:t>
            </w:r>
            <w:proofErr w:type="spellEnd"/>
            <w:r w:rsidRPr="00A34D0D">
              <w:rPr>
                <w:color w:val="000000"/>
              </w:rPr>
              <w:t>(0.816127*lnp90 + 0.14983*</w:t>
            </w:r>
            <w:proofErr w:type="spellStart"/>
            <w:r w:rsidRPr="00A34D0D">
              <w:rPr>
                <w:color w:val="000000"/>
              </w:rPr>
              <w:t>lncov_gap</w:t>
            </w:r>
            <w:proofErr w:type="spellEnd"/>
            <w:r w:rsidRPr="00A34D0D">
              <w:rPr>
                <w:color w:val="000000"/>
              </w:rPr>
              <w:t xml:space="preserve"> + 0.191202*lnp10 + 0.014123*lnd05);</w:t>
            </w:r>
          </w:p>
        </w:tc>
      </w:tr>
      <w:tr w:rsidR="00A34D0D" w:rsidRPr="00A34D0D" w:rsidTr="00A34D0D">
        <w:trPr>
          <w:trHeight w:val="300"/>
        </w:trPr>
        <w:tc>
          <w:tcPr>
            <w:tcW w:w="984" w:type="dxa"/>
            <w:tcBorders>
              <w:top w:val="nil"/>
              <w:left w:val="nil"/>
              <w:right w:val="nil"/>
            </w:tcBorders>
            <w:vAlign w:val="bottom"/>
          </w:tcPr>
          <w:p w:rsidR="00A34D0D" w:rsidRPr="00A34D0D" w:rsidRDefault="00A34D0D" w:rsidP="00A34D0D">
            <w:pPr>
              <w:spacing w:before="0"/>
              <w:rPr>
                <w:color w:val="000000"/>
              </w:rPr>
            </w:pPr>
            <w:proofErr w:type="spellStart"/>
            <w:r w:rsidRPr="00A34D0D">
              <w:rPr>
                <w:color w:val="000000"/>
              </w:rPr>
              <w:t>HT_top</w:t>
            </w:r>
            <w:proofErr w:type="spellEnd"/>
          </w:p>
        </w:tc>
        <w:tc>
          <w:tcPr>
            <w:tcW w:w="8640" w:type="dxa"/>
            <w:tcBorders>
              <w:top w:val="nil"/>
              <w:left w:val="nil"/>
              <w:right w:val="nil"/>
            </w:tcBorders>
            <w:shd w:val="clear" w:color="auto" w:fill="auto"/>
            <w:noWrap/>
            <w:vAlign w:val="bottom"/>
            <w:hideMark/>
          </w:tcPr>
          <w:p w:rsidR="00A34D0D" w:rsidRPr="00A34D0D" w:rsidRDefault="00A34D0D" w:rsidP="00A34D0D">
            <w:pPr>
              <w:spacing w:before="0"/>
              <w:rPr>
                <w:color w:val="000000"/>
              </w:rPr>
            </w:pPr>
            <w:proofErr w:type="spellStart"/>
            <w:r w:rsidRPr="00A34D0D">
              <w:rPr>
                <w:color w:val="000000"/>
              </w:rPr>
              <w:t>exp</w:t>
            </w:r>
            <w:proofErr w:type="spellEnd"/>
            <w:r w:rsidRPr="00A34D0D">
              <w:rPr>
                <w:color w:val="000000"/>
              </w:rPr>
              <w:t>(0.670351+ 0.814821*lnp90 + 0.029218*lnd01);</w:t>
            </w:r>
          </w:p>
        </w:tc>
      </w:tr>
      <w:tr w:rsidR="00A34D0D" w:rsidRPr="00A34D0D" w:rsidTr="00A34D0D">
        <w:trPr>
          <w:trHeight w:val="300"/>
        </w:trPr>
        <w:tc>
          <w:tcPr>
            <w:tcW w:w="984" w:type="dxa"/>
            <w:tcBorders>
              <w:top w:val="nil"/>
              <w:left w:val="nil"/>
              <w:bottom w:val="single" w:sz="4" w:space="0" w:color="auto"/>
              <w:right w:val="nil"/>
            </w:tcBorders>
            <w:vAlign w:val="bottom"/>
          </w:tcPr>
          <w:p w:rsidR="00A34D0D" w:rsidRPr="00A34D0D" w:rsidRDefault="00A34D0D" w:rsidP="00A34D0D">
            <w:pPr>
              <w:spacing w:before="0"/>
              <w:rPr>
                <w:color w:val="000000"/>
              </w:rPr>
            </w:pPr>
            <w:proofErr w:type="spellStart"/>
            <w:r w:rsidRPr="00A34D0D">
              <w:rPr>
                <w:color w:val="000000"/>
              </w:rPr>
              <w:t>Vol_nwb</w:t>
            </w:r>
            <w:proofErr w:type="spellEnd"/>
          </w:p>
        </w:tc>
        <w:tc>
          <w:tcPr>
            <w:tcW w:w="8640"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rPr>
                <w:color w:val="000000"/>
              </w:rPr>
            </w:pPr>
            <w:r w:rsidRPr="00A34D0D">
              <w:rPr>
                <w:color w:val="000000"/>
              </w:rPr>
              <w:t>Temp = 1/(1+exp(-(-0.10978 + -0.03837*</w:t>
            </w:r>
            <w:proofErr w:type="spellStart"/>
            <w:r w:rsidRPr="00A34D0D">
              <w:rPr>
                <w:color w:val="000000"/>
              </w:rPr>
              <w:t>kur</w:t>
            </w:r>
            <w:proofErr w:type="spellEnd"/>
            <w:r w:rsidRPr="00A34D0D">
              <w:rPr>
                <w:color w:val="000000"/>
              </w:rPr>
              <w:t>)));</w:t>
            </w:r>
          </w:p>
          <w:p w:rsidR="00A34D0D" w:rsidRPr="00A34D0D" w:rsidRDefault="00A34D0D" w:rsidP="00A34D0D">
            <w:pPr>
              <w:spacing w:before="0"/>
              <w:rPr>
                <w:color w:val="000000"/>
              </w:rPr>
            </w:pPr>
            <w:r w:rsidRPr="00A34D0D">
              <w:rPr>
                <w:color w:val="000000"/>
              </w:rPr>
              <w:t xml:space="preserve">vht_dwb125   = </w:t>
            </w:r>
            <w:proofErr w:type="spellStart"/>
            <w:r w:rsidRPr="00A34D0D">
              <w:rPr>
                <w:color w:val="000000"/>
              </w:rPr>
              <w:t>vht_wsv</w:t>
            </w:r>
            <w:proofErr w:type="spellEnd"/>
            <w:r w:rsidRPr="00A34D0D">
              <w:rPr>
                <w:color w:val="000000"/>
              </w:rPr>
              <w:t>*temp/(1-temp);</w:t>
            </w:r>
          </w:p>
        </w:tc>
      </w:tr>
    </w:tbl>
    <w:p w:rsidR="00BA0BF2" w:rsidRDefault="00BA0BF2" w:rsidP="00A34D0D"/>
    <w:p w:rsidR="00A34D0D" w:rsidRPr="00A34D0D" w:rsidRDefault="00A34D0D" w:rsidP="00A34D0D">
      <w:r w:rsidRPr="00A34D0D">
        <w:t xml:space="preserve">The parametric results for </w:t>
      </w:r>
      <w:proofErr w:type="spellStart"/>
      <w:r w:rsidRPr="00A34D0D">
        <w:t>Lorey</w:t>
      </w:r>
      <w:proofErr w:type="spellEnd"/>
      <w:r w:rsidR="00EE0B76">
        <w:t xml:space="preserve"> </w:t>
      </w:r>
      <w:r w:rsidRPr="00A34D0D">
        <w:t>height are given in</w:t>
      </w:r>
      <w:r w:rsidR="00EE0B76">
        <w:t xml:space="preserve"> </w:t>
      </w:r>
      <w:r w:rsidR="00EE0B76">
        <w:fldChar w:fldCharType="begin"/>
      </w:r>
      <w:r w:rsidR="00EE0B76">
        <w:instrText xml:space="preserve"> REF _Ref449441147 \h </w:instrText>
      </w:r>
      <w:r w:rsidR="00EE0B76">
        <w:fldChar w:fldCharType="separate"/>
      </w:r>
      <w:r w:rsidR="00EE0B76">
        <w:t xml:space="preserve">Figure </w:t>
      </w:r>
      <w:r w:rsidR="00EE0B76">
        <w:rPr>
          <w:noProof/>
        </w:rPr>
        <w:t>13</w:t>
      </w:r>
      <w:r w:rsidR="00EE0B76">
        <w:fldChar w:fldCharType="end"/>
      </w:r>
      <w:r w:rsidRPr="00A34D0D">
        <w:t xml:space="preserve">.  The predictions for the models calibrated by strata and the models calibrated for all strata combined are similar.  </w:t>
      </w:r>
    </w:p>
    <w:p w:rsidR="00A34D0D" w:rsidRPr="00A34D0D" w:rsidRDefault="00A34D0D" w:rsidP="00A34D0D">
      <w:pPr>
        <w:ind w:left="-720"/>
      </w:pPr>
      <w:r w:rsidRPr="00A34D0D">
        <w:rPr>
          <w:noProof/>
          <w:lang w:val="en-CA" w:eastAsia="zh-CN"/>
        </w:rPr>
        <w:drawing>
          <wp:inline distT="0" distB="0" distL="0" distR="0" wp14:anchorId="764B0E27" wp14:editId="386AEF6C">
            <wp:extent cx="6156960" cy="476812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75573" cy="4782538"/>
                    </a:xfrm>
                    <a:prstGeom prst="rect">
                      <a:avLst/>
                    </a:prstGeom>
                    <a:noFill/>
                  </pic:spPr>
                </pic:pic>
              </a:graphicData>
            </a:graphic>
          </wp:inline>
        </w:drawing>
      </w:r>
    </w:p>
    <w:p w:rsidR="009803AA" w:rsidRDefault="00A34D0D" w:rsidP="009803AA">
      <w:pPr>
        <w:pStyle w:val="Caption"/>
        <w:rPr>
          <w:color w:val="000000"/>
          <w:shd w:val="clear" w:color="auto" w:fill="FFFFFF"/>
        </w:rPr>
      </w:pPr>
      <w:r w:rsidRPr="00A34D0D">
        <w:rPr>
          <w:color w:val="000000"/>
          <w:shd w:val="clear" w:color="auto" w:fill="FFFFFF"/>
        </w:rPr>
        <w:t xml:space="preserve"> </w:t>
      </w:r>
      <w:bookmarkStart w:id="68" w:name="_Ref449441147"/>
      <w:bookmarkStart w:id="69" w:name="_Toc449515887"/>
      <w:bookmarkStart w:id="70" w:name="_Ref444763688"/>
      <w:r w:rsidR="009803AA">
        <w:t xml:space="preserve">Figure </w:t>
      </w:r>
      <w:r w:rsidR="008E0E5D">
        <w:fldChar w:fldCharType="begin"/>
      </w:r>
      <w:r w:rsidR="008E0E5D">
        <w:instrText xml:space="preserve"> SEQ Figure \* ARABIC </w:instrText>
      </w:r>
      <w:r w:rsidR="008E0E5D">
        <w:fldChar w:fldCharType="separate"/>
      </w:r>
      <w:r w:rsidR="00173AD0">
        <w:rPr>
          <w:noProof/>
        </w:rPr>
        <w:t>13</w:t>
      </w:r>
      <w:r w:rsidR="008E0E5D">
        <w:rPr>
          <w:noProof/>
        </w:rPr>
        <w:fldChar w:fldCharType="end"/>
      </w:r>
      <w:bookmarkEnd w:id="68"/>
      <w:r w:rsidR="009803AA">
        <w:t xml:space="preserve">  </w:t>
      </w:r>
      <w:r w:rsidR="009803AA" w:rsidRPr="009803AA">
        <w:t xml:space="preserve">The parametric predictions of </w:t>
      </w:r>
      <w:proofErr w:type="spellStart"/>
      <w:r w:rsidR="009803AA" w:rsidRPr="009803AA">
        <w:t>Lorey</w:t>
      </w:r>
      <w:proofErr w:type="spellEnd"/>
      <w:r w:rsidR="009803AA" w:rsidRPr="009803AA">
        <w:t xml:space="preserve"> height are plotted against the actual </w:t>
      </w:r>
      <w:proofErr w:type="spellStart"/>
      <w:r w:rsidR="009803AA" w:rsidRPr="009803AA">
        <w:t>Lorey</w:t>
      </w:r>
      <w:proofErr w:type="spellEnd"/>
      <w:r w:rsidR="009803AA" w:rsidRPr="009803AA">
        <w:t xml:space="preserve"> height by strata.  The SUR models were fit using all data (“Combined”) as well as by strata (“Strata”).  The 1:1 line is given.</w:t>
      </w:r>
      <w:bookmarkEnd w:id="69"/>
    </w:p>
    <w:p w:rsidR="009803AA" w:rsidRDefault="009803AA" w:rsidP="00A34D0D">
      <w:pPr>
        <w:autoSpaceDE w:val="0"/>
        <w:autoSpaceDN w:val="0"/>
        <w:adjustRightInd w:val="0"/>
        <w:spacing w:before="0"/>
        <w:ind w:left="288" w:hanging="288"/>
        <w:rPr>
          <w:color w:val="000000"/>
          <w:shd w:val="clear" w:color="auto" w:fill="FFFFFF"/>
        </w:rPr>
      </w:pPr>
    </w:p>
    <w:bookmarkEnd w:id="70"/>
    <w:p w:rsidR="00A34D0D" w:rsidRPr="00A34D0D" w:rsidRDefault="00A34D0D" w:rsidP="00A34D0D">
      <w:r w:rsidRPr="00A34D0D">
        <w:t xml:space="preserve">For basal area, the predictions for the combined model generally show more spread than the strata-level models </w:t>
      </w:r>
      <w:proofErr w:type="gramStart"/>
      <w:r w:rsidRPr="00A34D0D">
        <w:t>(</w:t>
      </w:r>
      <w:r w:rsidR="00EE0B76">
        <w:t xml:space="preserve"> </w:t>
      </w:r>
      <w:proofErr w:type="gramEnd"/>
      <w:r w:rsidR="00EE0B76">
        <w:fldChar w:fldCharType="begin"/>
      </w:r>
      <w:r w:rsidR="00EE0B76">
        <w:instrText xml:space="preserve"> REF _Ref449441377 \h </w:instrText>
      </w:r>
      <w:r w:rsidR="00EE0B76">
        <w:fldChar w:fldCharType="separate"/>
      </w:r>
      <w:r w:rsidR="00EE0B76">
        <w:t xml:space="preserve">Figure </w:t>
      </w:r>
      <w:r w:rsidR="00EE0B76">
        <w:rPr>
          <w:noProof/>
        </w:rPr>
        <w:t>14</w:t>
      </w:r>
      <w:r w:rsidR="00EE0B76">
        <w:fldChar w:fldCharType="end"/>
      </w:r>
      <w:r w:rsidR="005121A1">
        <w:t>)</w:t>
      </w:r>
      <w:r w:rsidRPr="00A34D0D">
        <w:t xml:space="preserve"> particularly for strata 1 and 4.</w:t>
      </w:r>
    </w:p>
    <w:p w:rsidR="00A34D0D" w:rsidRPr="00A34D0D" w:rsidRDefault="00A34D0D" w:rsidP="00A34D0D">
      <w:pPr>
        <w:ind w:left="-720"/>
      </w:pPr>
      <w:r w:rsidRPr="00A34D0D">
        <w:rPr>
          <w:noProof/>
          <w:lang w:val="en-CA" w:eastAsia="zh-CN"/>
        </w:rPr>
        <w:lastRenderedPageBreak/>
        <w:drawing>
          <wp:inline distT="0" distB="0" distL="0" distR="0" wp14:anchorId="671863D7" wp14:editId="2DBB0D84">
            <wp:extent cx="6520815" cy="504990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522959" cy="5051564"/>
                    </a:xfrm>
                    <a:prstGeom prst="rect">
                      <a:avLst/>
                    </a:prstGeom>
                    <a:noFill/>
                  </pic:spPr>
                </pic:pic>
              </a:graphicData>
            </a:graphic>
          </wp:inline>
        </w:drawing>
      </w:r>
    </w:p>
    <w:p w:rsidR="009803AA" w:rsidRDefault="009803AA" w:rsidP="009803AA">
      <w:pPr>
        <w:pStyle w:val="Caption"/>
        <w:rPr>
          <w:color w:val="000000"/>
          <w:shd w:val="clear" w:color="auto" w:fill="FFFFFF"/>
        </w:rPr>
      </w:pPr>
      <w:bookmarkStart w:id="71" w:name="_Ref449441377"/>
      <w:bookmarkStart w:id="72" w:name="_Toc449515888"/>
      <w:bookmarkStart w:id="73" w:name="_Ref446496721"/>
      <w:r>
        <w:t xml:space="preserve">Figure </w:t>
      </w:r>
      <w:r w:rsidR="008E0E5D">
        <w:fldChar w:fldCharType="begin"/>
      </w:r>
      <w:r w:rsidR="008E0E5D">
        <w:instrText xml:space="preserve"> SEQ Figure \* ARABIC </w:instrText>
      </w:r>
      <w:r w:rsidR="008E0E5D">
        <w:fldChar w:fldCharType="separate"/>
      </w:r>
      <w:r w:rsidR="00173AD0">
        <w:rPr>
          <w:noProof/>
        </w:rPr>
        <w:t>14</w:t>
      </w:r>
      <w:r w:rsidR="008E0E5D">
        <w:rPr>
          <w:noProof/>
        </w:rPr>
        <w:fldChar w:fldCharType="end"/>
      </w:r>
      <w:bookmarkEnd w:id="71"/>
      <w:r>
        <w:t xml:space="preserve">  </w:t>
      </w:r>
      <w:r w:rsidRPr="009803AA">
        <w:t>The parametric predictions of basal area (m</w:t>
      </w:r>
      <w:r w:rsidRPr="009803AA">
        <w:rPr>
          <w:vertAlign w:val="superscript"/>
        </w:rPr>
        <w:t>2</w:t>
      </w:r>
      <w:r w:rsidRPr="009803AA">
        <w:t>/ha) are plotted against the actual basal area by strata.  The SUR models were fit using all data (“Combined”) as well as by strata (“Strata”).  The 1:1 line is given.</w:t>
      </w:r>
      <w:bookmarkEnd w:id="72"/>
    </w:p>
    <w:p w:rsidR="009803AA" w:rsidRDefault="009803AA" w:rsidP="00A34D0D">
      <w:pPr>
        <w:autoSpaceDE w:val="0"/>
        <w:autoSpaceDN w:val="0"/>
        <w:adjustRightInd w:val="0"/>
        <w:spacing w:before="0"/>
        <w:ind w:left="288" w:hanging="288"/>
        <w:rPr>
          <w:color w:val="000000"/>
          <w:shd w:val="clear" w:color="auto" w:fill="FFFFFF"/>
        </w:rPr>
      </w:pPr>
    </w:p>
    <w:bookmarkEnd w:id="73"/>
    <w:p w:rsidR="00A34D0D" w:rsidRPr="00A34D0D" w:rsidRDefault="00A34D0D" w:rsidP="00A34D0D">
      <w:pPr>
        <w:autoSpaceDE w:val="0"/>
        <w:autoSpaceDN w:val="0"/>
        <w:adjustRightInd w:val="0"/>
        <w:spacing w:before="0"/>
        <w:ind w:left="288" w:hanging="288"/>
        <w:rPr>
          <w:color w:val="000000"/>
          <w:shd w:val="clear" w:color="auto" w:fill="FFFFFF"/>
        </w:rPr>
      </w:pPr>
    </w:p>
    <w:p w:rsidR="00A34D0D" w:rsidRPr="00A34D0D" w:rsidRDefault="00A34D0D" w:rsidP="00A34D0D">
      <w:r w:rsidRPr="00A34D0D">
        <w:t>The parametric predictions of volume are given in</w:t>
      </w:r>
      <w:r w:rsidR="00EE0B76">
        <w:t xml:space="preserve"> </w:t>
      </w:r>
      <w:r w:rsidR="00EE0B76">
        <w:fldChar w:fldCharType="begin"/>
      </w:r>
      <w:r w:rsidR="00EE0B76">
        <w:instrText xml:space="preserve"> REF _Ref449441353 \h </w:instrText>
      </w:r>
      <w:r w:rsidR="00EE0B76">
        <w:fldChar w:fldCharType="separate"/>
      </w:r>
      <w:r w:rsidR="00EE0B76">
        <w:t xml:space="preserve">Figure </w:t>
      </w:r>
      <w:r w:rsidR="00EE0B76">
        <w:rPr>
          <w:noProof/>
        </w:rPr>
        <w:t>15</w:t>
      </w:r>
      <w:r w:rsidR="00EE0B76">
        <w:fldChar w:fldCharType="end"/>
      </w:r>
      <w:r w:rsidRPr="00A34D0D">
        <w:t>.</w:t>
      </w:r>
    </w:p>
    <w:p w:rsidR="00A34D0D" w:rsidRPr="00A34D0D" w:rsidRDefault="00A34D0D" w:rsidP="00A34D0D">
      <w:pPr>
        <w:ind w:left="-720"/>
      </w:pPr>
      <w:r w:rsidRPr="00A34D0D">
        <w:rPr>
          <w:noProof/>
          <w:lang w:val="en-CA" w:eastAsia="zh-CN"/>
        </w:rPr>
        <w:lastRenderedPageBreak/>
        <w:drawing>
          <wp:inline distT="0" distB="0" distL="0" distR="0" wp14:anchorId="69C8CA82" wp14:editId="570DC8BF">
            <wp:extent cx="6689859" cy="5257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90740" cy="5258492"/>
                    </a:xfrm>
                    <a:prstGeom prst="rect">
                      <a:avLst/>
                    </a:prstGeom>
                    <a:noFill/>
                  </pic:spPr>
                </pic:pic>
              </a:graphicData>
            </a:graphic>
          </wp:inline>
        </w:drawing>
      </w:r>
    </w:p>
    <w:p w:rsidR="009803AA" w:rsidRDefault="009803AA" w:rsidP="009803AA">
      <w:pPr>
        <w:pStyle w:val="Caption"/>
        <w:rPr>
          <w:color w:val="000000"/>
          <w:shd w:val="clear" w:color="auto" w:fill="FFFFFF"/>
        </w:rPr>
      </w:pPr>
      <w:bookmarkStart w:id="74" w:name="_Ref449441353"/>
      <w:bookmarkStart w:id="75" w:name="_Toc449515889"/>
      <w:r>
        <w:t xml:space="preserve">Figure </w:t>
      </w:r>
      <w:r w:rsidR="008E0E5D">
        <w:fldChar w:fldCharType="begin"/>
      </w:r>
      <w:r w:rsidR="008E0E5D">
        <w:instrText xml:space="preserve"> SEQ Figure \* ARABIC </w:instrText>
      </w:r>
      <w:r w:rsidR="008E0E5D">
        <w:fldChar w:fldCharType="separate"/>
      </w:r>
      <w:r w:rsidR="00173AD0">
        <w:rPr>
          <w:noProof/>
        </w:rPr>
        <w:t>15</w:t>
      </w:r>
      <w:r w:rsidR="008E0E5D">
        <w:rPr>
          <w:noProof/>
        </w:rPr>
        <w:fldChar w:fldCharType="end"/>
      </w:r>
      <w:bookmarkEnd w:id="74"/>
      <w:r>
        <w:t xml:space="preserve">  </w:t>
      </w:r>
      <w:r w:rsidRPr="009803AA">
        <w:t>The parametric predictions of live whole stem volume (m3/ha) are plotted against the actual volume by strata.  The SUR models were fit using all data (“Combined”) as well as by strata (“Strata”).  The 1:1 line is given.</w:t>
      </w:r>
      <w:bookmarkEnd w:id="75"/>
    </w:p>
    <w:p w:rsidR="00A34D0D" w:rsidRPr="00A34D0D" w:rsidRDefault="00A34D0D" w:rsidP="00A34D0D">
      <w:pPr>
        <w:autoSpaceDE w:val="0"/>
        <w:autoSpaceDN w:val="0"/>
        <w:adjustRightInd w:val="0"/>
        <w:spacing w:before="0"/>
        <w:ind w:left="288" w:hanging="288"/>
        <w:rPr>
          <w:color w:val="000000"/>
          <w:shd w:val="clear" w:color="auto" w:fill="FFFFFF"/>
        </w:rPr>
      </w:pPr>
    </w:p>
    <w:p w:rsidR="00A34D0D" w:rsidRDefault="00A34D0D" w:rsidP="00A34D0D">
      <w:r w:rsidRPr="00A34D0D">
        <w:t>Summary statistics comparing the combined and strata predictions using all the data and parametric prediction are given in</w:t>
      </w:r>
      <w:r w:rsidR="009803AA">
        <w:t xml:space="preserve"> </w:t>
      </w:r>
      <w:r w:rsidR="009803AA">
        <w:fldChar w:fldCharType="begin"/>
      </w:r>
      <w:r w:rsidR="009803AA">
        <w:instrText xml:space="preserve"> REF _Ref449441484 \h </w:instrText>
      </w:r>
      <w:r w:rsidR="009803AA">
        <w:fldChar w:fldCharType="separate"/>
      </w:r>
      <w:r w:rsidR="009803AA">
        <w:t xml:space="preserve">Table </w:t>
      </w:r>
      <w:r w:rsidR="009803AA">
        <w:rPr>
          <w:noProof/>
        </w:rPr>
        <w:t>8</w:t>
      </w:r>
      <w:r w:rsidR="009803AA">
        <w:fldChar w:fldCharType="end"/>
      </w:r>
      <w:r w:rsidRPr="00A34D0D">
        <w:t xml:space="preserve">.  In general, the strata level models have less bias at the strata level than the combined model.  The combined model biases are small for </w:t>
      </w:r>
      <w:proofErr w:type="spellStart"/>
      <w:r w:rsidRPr="00A34D0D">
        <w:t>Lorey</w:t>
      </w:r>
      <w:proofErr w:type="spellEnd"/>
      <w:r w:rsidRPr="00A34D0D">
        <w:t xml:space="preserve"> height (&lt;5%) and up to 10% for BA and volume (strata 1 and 4).</w:t>
      </w:r>
    </w:p>
    <w:p w:rsidR="009803AA" w:rsidRPr="00A34D0D" w:rsidRDefault="009803AA" w:rsidP="00A34D0D"/>
    <w:p w:rsidR="00A34D0D" w:rsidRPr="00A34D0D" w:rsidRDefault="009803AA" w:rsidP="009803AA">
      <w:pPr>
        <w:pStyle w:val="Caption"/>
      </w:pPr>
      <w:bookmarkStart w:id="76" w:name="_Ref449441484"/>
      <w:bookmarkStart w:id="77" w:name="_Toc449515873"/>
      <w:r>
        <w:t xml:space="preserve">Table </w:t>
      </w:r>
      <w:r w:rsidR="008E0E5D">
        <w:fldChar w:fldCharType="begin"/>
      </w:r>
      <w:r w:rsidR="008E0E5D">
        <w:instrText xml:space="preserve"> SEQ</w:instrText>
      </w:r>
      <w:r w:rsidR="008E0E5D">
        <w:instrText xml:space="preserve"> Table \* ARABIC </w:instrText>
      </w:r>
      <w:r w:rsidR="008E0E5D">
        <w:fldChar w:fldCharType="separate"/>
      </w:r>
      <w:r w:rsidR="00EA6AA2">
        <w:rPr>
          <w:noProof/>
        </w:rPr>
        <w:t>8</w:t>
      </w:r>
      <w:r w:rsidR="008E0E5D">
        <w:rPr>
          <w:noProof/>
        </w:rPr>
        <w:fldChar w:fldCharType="end"/>
      </w:r>
      <w:bookmarkEnd w:id="76"/>
      <w:r>
        <w:t xml:space="preserve">  </w:t>
      </w:r>
      <w:bookmarkStart w:id="78" w:name="_Ref445322491"/>
      <w:r w:rsidRPr="00A34D0D">
        <w:t xml:space="preserve">The actual and predicted values are given for basal area and </w:t>
      </w:r>
      <w:proofErr w:type="spellStart"/>
      <w:r w:rsidRPr="00A34D0D">
        <w:t>Lorey</w:t>
      </w:r>
      <w:proofErr w:type="spellEnd"/>
      <w:r w:rsidRPr="00A34D0D">
        <w:t xml:space="preserve"> height using all the data for all strata combined (Combined) and by strata (Strata).</w:t>
      </w:r>
      <w:bookmarkEnd w:id="77"/>
      <w:bookmarkEnd w:id="78"/>
    </w:p>
    <w:tbl>
      <w:tblPr>
        <w:tblW w:w="7707" w:type="dxa"/>
        <w:tblInd w:w="108" w:type="dxa"/>
        <w:tblLayout w:type="fixed"/>
        <w:tblLook w:val="04A0" w:firstRow="1" w:lastRow="0" w:firstColumn="1" w:lastColumn="0" w:noHBand="0" w:noVBand="1"/>
      </w:tblPr>
      <w:tblGrid>
        <w:gridCol w:w="1296"/>
        <w:gridCol w:w="720"/>
        <w:gridCol w:w="550"/>
        <w:gridCol w:w="767"/>
        <w:gridCol w:w="1152"/>
        <w:gridCol w:w="720"/>
        <w:gridCol w:w="270"/>
        <w:gridCol w:w="1152"/>
        <w:gridCol w:w="1080"/>
      </w:tblGrid>
      <w:tr w:rsidR="00A34D0D" w:rsidRPr="00A34D0D" w:rsidTr="00A34D0D">
        <w:trPr>
          <w:trHeight w:val="144"/>
          <w:tblHeader/>
        </w:trPr>
        <w:tc>
          <w:tcPr>
            <w:tcW w:w="1296"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p>
        </w:tc>
        <w:tc>
          <w:tcPr>
            <w:tcW w:w="720"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p>
        </w:tc>
        <w:tc>
          <w:tcPr>
            <w:tcW w:w="55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rPr>
                <w:rFonts w:asciiTheme="minorHAnsi" w:hAnsiTheme="minorHAnsi"/>
                <w:color w:val="000000"/>
              </w:rPr>
            </w:pPr>
          </w:p>
        </w:tc>
        <w:tc>
          <w:tcPr>
            <w:tcW w:w="767"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rPr>
                <w:rFonts w:asciiTheme="minorHAnsi" w:hAnsiTheme="minorHAnsi"/>
                <w:color w:val="000000"/>
              </w:rPr>
            </w:pPr>
          </w:p>
        </w:tc>
        <w:tc>
          <w:tcPr>
            <w:tcW w:w="1152"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Mean</w:t>
            </w:r>
          </w:p>
        </w:tc>
        <w:tc>
          <w:tcPr>
            <w:tcW w:w="720"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rPr>
                <w:rFonts w:asciiTheme="minorHAnsi" w:hAnsiTheme="minorHAnsi"/>
                <w:color w:val="000000"/>
              </w:rPr>
            </w:pPr>
          </w:p>
        </w:tc>
        <w:tc>
          <w:tcPr>
            <w:tcW w:w="270"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p>
        </w:tc>
        <w:tc>
          <w:tcPr>
            <w:tcW w:w="1152"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Bias</w:t>
            </w:r>
          </w:p>
        </w:tc>
        <w:tc>
          <w:tcPr>
            <w:tcW w:w="1080"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 xml:space="preserve">± </w:t>
            </w:r>
            <w:proofErr w:type="spellStart"/>
            <w:r w:rsidRPr="00A34D0D">
              <w:rPr>
                <w:rFonts w:asciiTheme="minorHAnsi" w:hAnsiTheme="minorHAnsi"/>
                <w:color w:val="000000"/>
              </w:rPr>
              <w:t>s.e.</w:t>
            </w:r>
            <w:proofErr w:type="spellEnd"/>
          </w:p>
        </w:tc>
      </w:tr>
      <w:tr w:rsidR="00A34D0D" w:rsidRPr="00A34D0D" w:rsidTr="00A34D0D">
        <w:trPr>
          <w:trHeight w:val="144"/>
          <w:tblHeader/>
        </w:trPr>
        <w:tc>
          <w:tcPr>
            <w:tcW w:w="1296"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Attribute</w:t>
            </w:r>
          </w:p>
        </w:tc>
        <w:tc>
          <w:tcPr>
            <w:tcW w:w="720"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Strata</w:t>
            </w:r>
          </w:p>
        </w:tc>
        <w:tc>
          <w:tcPr>
            <w:tcW w:w="550"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N</w:t>
            </w:r>
          </w:p>
        </w:tc>
        <w:tc>
          <w:tcPr>
            <w:tcW w:w="767"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Actual</w:t>
            </w:r>
          </w:p>
        </w:tc>
        <w:tc>
          <w:tcPr>
            <w:tcW w:w="1152"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Combined</w:t>
            </w:r>
          </w:p>
        </w:tc>
        <w:tc>
          <w:tcPr>
            <w:tcW w:w="720"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Strata</w:t>
            </w:r>
          </w:p>
        </w:tc>
        <w:tc>
          <w:tcPr>
            <w:tcW w:w="270" w:type="dxa"/>
            <w:tcBorders>
              <w:top w:val="nil"/>
              <w:left w:val="nil"/>
              <w:bottom w:val="nil"/>
              <w:right w:val="nil"/>
            </w:tcBorders>
          </w:tcPr>
          <w:p w:rsidR="00A34D0D" w:rsidRPr="00A34D0D" w:rsidRDefault="00A34D0D" w:rsidP="00A34D0D">
            <w:pPr>
              <w:spacing w:before="0"/>
              <w:rPr>
                <w:rFonts w:asciiTheme="minorHAnsi" w:hAnsiTheme="minorHAnsi"/>
                <w:color w:val="000000"/>
              </w:rPr>
            </w:pPr>
          </w:p>
        </w:tc>
        <w:tc>
          <w:tcPr>
            <w:tcW w:w="1152"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Combined</w:t>
            </w:r>
          </w:p>
        </w:tc>
        <w:tc>
          <w:tcPr>
            <w:tcW w:w="1080"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Strata</w:t>
            </w:r>
          </w:p>
        </w:tc>
      </w:tr>
      <w:tr w:rsidR="00A34D0D" w:rsidRPr="00A34D0D" w:rsidTr="00A34D0D">
        <w:trPr>
          <w:trHeight w:val="144"/>
        </w:trPr>
        <w:tc>
          <w:tcPr>
            <w:tcW w:w="1296"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BA Live</w:t>
            </w:r>
          </w:p>
        </w:tc>
        <w:tc>
          <w:tcPr>
            <w:tcW w:w="720"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550"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60</w:t>
            </w:r>
          </w:p>
        </w:tc>
        <w:tc>
          <w:tcPr>
            <w:tcW w:w="767"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44</w:t>
            </w:r>
          </w:p>
        </w:tc>
        <w:tc>
          <w:tcPr>
            <w:tcW w:w="1152"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47</w:t>
            </w:r>
          </w:p>
        </w:tc>
        <w:tc>
          <w:tcPr>
            <w:tcW w:w="720"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44</w:t>
            </w:r>
          </w:p>
        </w:tc>
        <w:tc>
          <w:tcPr>
            <w:tcW w:w="27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-3.7 ± 0.2</w:t>
            </w:r>
          </w:p>
        </w:tc>
        <w:tc>
          <w:tcPr>
            <w:tcW w:w="1080"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-0.2 ± 0.2</w:t>
            </w:r>
          </w:p>
        </w:tc>
      </w:tr>
      <w:tr w:rsidR="00A34D0D" w:rsidRPr="00A34D0D" w:rsidTr="00A34D0D">
        <w:trPr>
          <w:trHeight w:val="144"/>
        </w:trPr>
        <w:tc>
          <w:tcPr>
            <w:tcW w:w="1296"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w:t>
            </w:r>
            <w:r w:rsidRPr="00A34D0D">
              <w:rPr>
                <w:rFonts w:asciiTheme="minorHAnsi" w:hAnsiTheme="minorHAnsi"/>
                <w:color w:val="000000"/>
                <w:vertAlign w:val="superscript"/>
              </w:rPr>
              <w:t>2</w:t>
            </w:r>
            <w:r w:rsidRPr="00A34D0D">
              <w:rPr>
                <w:rFonts w:asciiTheme="minorHAnsi" w:hAnsiTheme="minorHAnsi"/>
                <w:color w:val="000000"/>
              </w:rPr>
              <w:t>/ha)</w:t>
            </w:r>
          </w:p>
        </w:tc>
        <w:tc>
          <w:tcPr>
            <w:tcW w:w="72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55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63</w:t>
            </w:r>
          </w:p>
        </w:tc>
        <w:tc>
          <w:tcPr>
            <w:tcW w:w="767"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48</w:t>
            </w:r>
          </w:p>
        </w:tc>
        <w:tc>
          <w:tcPr>
            <w:tcW w:w="1152"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47</w:t>
            </w:r>
          </w:p>
        </w:tc>
        <w:tc>
          <w:tcPr>
            <w:tcW w:w="72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48</w:t>
            </w:r>
          </w:p>
        </w:tc>
        <w:tc>
          <w:tcPr>
            <w:tcW w:w="27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 ± 0.2</w:t>
            </w:r>
          </w:p>
        </w:tc>
        <w:tc>
          <w:tcPr>
            <w:tcW w:w="108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-0.4 ± 0.2</w:t>
            </w:r>
          </w:p>
        </w:tc>
      </w:tr>
      <w:tr w:rsidR="00A34D0D" w:rsidRPr="00A34D0D" w:rsidTr="00A34D0D">
        <w:trPr>
          <w:trHeight w:val="144"/>
        </w:trPr>
        <w:tc>
          <w:tcPr>
            <w:tcW w:w="1296" w:type="dxa"/>
            <w:tcBorders>
              <w:top w:val="nil"/>
              <w:left w:val="nil"/>
              <w:bottom w:val="nil"/>
              <w:right w:val="nil"/>
            </w:tcBorders>
          </w:tcPr>
          <w:p w:rsidR="00A34D0D" w:rsidRPr="00A34D0D" w:rsidRDefault="00A34D0D" w:rsidP="00A34D0D">
            <w:pPr>
              <w:spacing w:before="0"/>
              <w:rPr>
                <w:rFonts w:asciiTheme="minorHAnsi" w:hAnsiTheme="minorHAnsi"/>
                <w:color w:val="000000"/>
              </w:rPr>
            </w:pPr>
          </w:p>
        </w:tc>
        <w:tc>
          <w:tcPr>
            <w:tcW w:w="72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55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40</w:t>
            </w:r>
          </w:p>
        </w:tc>
        <w:tc>
          <w:tcPr>
            <w:tcW w:w="767"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29</w:t>
            </w:r>
          </w:p>
        </w:tc>
        <w:tc>
          <w:tcPr>
            <w:tcW w:w="1152"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28</w:t>
            </w:r>
          </w:p>
        </w:tc>
        <w:tc>
          <w:tcPr>
            <w:tcW w:w="72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29</w:t>
            </w:r>
          </w:p>
        </w:tc>
        <w:tc>
          <w:tcPr>
            <w:tcW w:w="27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1.6 ± 0.2</w:t>
            </w:r>
          </w:p>
        </w:tc>
        <w:tc>
          <w:tcPr>
            <w:tcW w:w="108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0.3 ± 0.2</w:t>
            </w:r>
          </w:p>
        </w:tc>
      </w:tr>
      <w:tr w:rsidR="00A34D0D" w:rsidRPr="00A34D0D" w:rsidTr="00A34D0D">
        <w:trPr>
          <w:trHeight w:val="144"/>
        </w:trPr>
        <w:tc>
          <w:tcPr>
            <w:tcW w:w="1296" w:type="dxa"/>
            <w:tcBorders>
              <w:top w:val="nil"/>
              <w:left w:val="nil"/>
              <w:right w:val="nil"/>
            </w:tcBorders>
          </w:tcPr>
          <w:p w:rsidR="00A34D0D" w:rsidRPr="00A34D0D" w:rsidRDefault="00A34D0D" w:rsidP="00A34D0D">
            <w:pPr>
              <w:spacing w:before="0"/>
              <w:rPr>
                <w:rFonts w:asciiTheme="minorHAnsi" w:hAnsiTheme="minorHAnsi"/>
                <w:color w:val="000000"/>
              </w:rPr>
            </w:pPr>
          </w:p>
        </w:tc>
        <w:tc>
          <w:tcPr>
            <w:tcW w:w="720" w:type="dxa"/>
            <w:tcBorders>
              <w:top w:val="nil"/>
              <w:left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550"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56</w:t>
            </w:r>
          </w:p>
        </w:tc>
        <w:tc>
          <w:tcPr>
            <w:tcW w:w="767"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31</w:t>
            </w:r>
          </w:p>
        </w:tc>
        <w:tc>
          <w:tcPr>
            <w:tcW w:w="1152"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29</w:t>
            </w:r>
          </w:p>
        </w:tc>
        <w:tc>
          <w:tcPr>
            <w:tcW w:w="720"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31</w:t>
            </w:r>
          </w:p>
        </w:tc>
        <w:tc>
          <w:tcPr>
            <w:tcW w:w="270" w:type="dxa"/>
            <w:tcBorders>
              <w:top w:val="nil"/>
              <w:left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 ± 0.1</w:t>
            </w:r>
          </w:p>
        </w:tc>
        <w:tc>
          <w:tcPr>
            <w:tcW w:w="1080"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0.4 ± 0.1</w:t>
            </w:r>
          </w:p>
        </w:tc>
      </w:tr>
      <w:tr w:rsidR="00A34D0D" w:rsidRPr="00A34D0D" w:rsidTr="00A34D0D">
        <w:trPr>
          <w:trHeight w:val="144"/>
        </w:trPr>
        <w:tc>
          <w:tcPr>
            <w:tcW w:w="1296"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720"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550"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219</w:t>
            </w:r>
          </w:p>
        </w:tc>
        <w:tc>
          <w:tcPr>
            <w:tcW w:w="767"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39</w:t>
            </w:r>
          </w:p>
        </w:tc>
        <w:tc>
          <w:tcPr>
            <w:tcW w:w="1152"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39</w:t>
            </w:r>
          </w:p>
        </w:tc>
        <w:tc>
          <w:tcPr>
            <w:tcW w:w="720"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39</w:t>
            </w:r>
          </w:p>
        </w:tc>
        <w:tc>
          <w:tcPr>
            <w:tcW w:w="270"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0.1 ± 0.1</w:t>
            </w:r>
          </w:p>
        </w:tc>
        <w:tc>
          <w:tcPr>
            <w:tcW w:w="1080"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0.1</w:t>
            </w:r>
          </w:p>
        </w:tc>
      </w:tr>
      <w:tr w:rsidR="00A34D0D" w:rsidRPr="00A34D0D" w:rsidTr="00A34D0D">
        <w:trPr>
          <w:trHeight w:val="144"/>
        </w:trPr>
        <w:tc>
          <w:tcPr>
            <w:tcW w:w="1296"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proofErr w:type="spellStart"/>
            <w:r w:rsidRPr="00A34D0D">
              <w:rPr>
                <w:rFonts w:asciiTheme="minorHAnsi" w:hAnsiTheme="minorHAnsi"/>
                <w:color w:val="000000"/>
              </w:rPr>
              <w:t>Lorey</w:t>
            </w:r>
            <w:proofErr w:type="spellEnd"/>
            <w:r w:rsidRPr="00A34D0D">
              <w:rPr>
                <w:rFonts w:asciiTheme="minorHAnsi" w:hAnsiTheme="minorHAnsi"/>
                <w:color w:val="000000"/>
              </w:rPr>
              <w:t xml:space="preserve"> height</w:t>
            </w:r>
          </w:p>
        </w:tc>
        <w:tc>
          <w:tcPr>
            <w:tcW w:w="720"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55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60</w:t>
            </w:r>
          </w:p>
        </w:tc>
        <w:tc>
          <w:tcPr>
            <w:tcW w:w="767"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22.6</w:t>
            </w:r>
          </w:p>
        </w:tc>
        <w:tc>
          <w:tcPr>
            <w:tcW w:w="115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w:t>
            </w:r>
          </w:p>
        </w:tc>
        <w:tc>
          <w:tcPr>
            <w:tcW w:w="72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22.5</w:t>
            </w:r>
          </w:p>
        </w:tc>
        <w:tc>
          <w:tcPr>
            <w:tcW w:w="270"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-0.4 ± 0.1</w:t>
            </w:r>
          </w:p>
        </w:tc>
        <w:tc>
          <w:tcPr>
            <w:tcW w:w="108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0.1</w:t>
            </w:r>
          </w:p>
        </w:tc>
      </w:tr>
      <w:tr w:rsidR="00A34D0D" w:rsidRPr="00A34D0D" w:rsidTr="00A34D0D">
        <w:trPr>
          <w:trHeight w:val="144"/>
        </w:trPr>
        <w:tc>
          <w:tcPr>
            <w:tcW w:w="1296"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w:t>
            </w:r>
          </w:p>
        </w:tc>
        <w:tc>
          <w:tcPr>
            <w:tcW w:w="72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55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63</w:t>
            </w:r>
          </w:p>
        </w:tc>
        <w:tc>
          <w:tcPr>
            <w:tcW w:w="767"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22.5</w:t>
            </w:r>
          </w:p>
        </w:tc>
        <w:tc>
          <w:tcPr>
            <w:tcW w:w="115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22.6</w:t>
            </w:r>
          </w:p>
        </w:tc>
        <w:tc>
          <w:tcPr>
            <w:tcW w:w="72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22.5</w:t>
            </w:r>
          </w:p>
        </w:tc>
        <w:tc>
          <w:tcPr>
            <w:tcW w:w="27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-0.1 ± 0.1</w:t>
            </w:r>
          </w:p>
        </w:tc>
        <w:tc>
          <w:tcPr>
            <w:tcW w:w="108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0.1</w:t>
            </w:r>
          </w:p>
        </w:tc>
      </w:tr>
      <w:tr w:rsidR="00A34D0D" w:rsidRPr="00A34D0D" w:rsidTr="00A34D0D">
        <w:trPr>
          <w:trHeight w:val="144"/>
        </w:trPr>
        <w:tc>
          <w:tcPr>
            <w:tcW w:w="1296" w:type="dxa"/>
            <w:tcBorders>
              <w:top w:val="nil"/>
              <w:left w:val="nil"/>
              <w:bottom w:val="nil"/>
              <w:right w:val="nil"/>
            </w:tcBorders>
          </w:tcPr>
          <w:p w:rsidR="00A34D0D" w:rsidRPr="00A34D0D" w:rsidRDefault="00A34D0D" w:rsidP="00A34D0D">
            <w:pPr>
              <w:spacing w:before="0"/>
              <w:rPr>
                <w:rFonts w:asciiTheme="minorHAnsi" w:hAnsiTheme="minorHAnsi"/>
                <w:color w:val="000000"/>
              </w:rPr>
            </w:pPr>
          </w:p>
        </w:tc>
        <w:tc>
          <w:tcPr>
            <w:tcW w:w="72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55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40</w:t>
            </w:r>
          </w:p>
        </w:tc>
        <w:tc>
          <w:tcPr>
            <w:tcW w:w="767"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18.5</w:t>
            </w:r>
          </w:p>
        </w:tc>
        <w:tc>
          <w:tcPr>
            <w:tcW w:w="115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w:t>
            </w:r>
          </w:p>
        </w:tc>
        <w:tc>
          <w:tcPr>
            <w:tcW w:w="72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18.4</w:t>
            </w:r>
          </w:p>
        </w:tc>
        <w:tc>
          <w:tcPr>
            <w:tcW w:w="27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0.5 ± 0.1</w:t>
            </w:r>
          </w:p>
        </w:tc>
        <w:tc>
          <w:tcPr>
            <w:tcW w:w="108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0.1</w:t>
            </w:r>
          </w:p>
        </w:tc>
      </w:tr>
      <w:tr w:rsidR="00A34D0D" w:rsidRPr="00A34D0D" w:rsidTr="00A34D0D">
        <w:trPr>
          <w:trHeight w:val="144"/>
        </w:trPr>
        <w:tc>
          <w:tcPr>
            <w:tcW w:w="1296" w:type="dxa"/>
            <w:tcBorders>
              <w:top w:val="nil"/>
              <w:left w:val="nil"/>
              <w:right w:val="nil"/>
            </w:tcBorders>
          </w:tcPr>
          <w:p w:rsidR="00A34D0D" w:rsidRPr="00A34D0D" w:rsidRDefault="00A34D0D" w:rsidP="00A34D0D">
            <w:pPr>
              <w:spacing w:before="0"/>
              <w:rPr>
                <w:rFonts w:asciiTheme="minorHAnsi" w:hAnsiTheme="minorHAnsi"/>
                <w:color w:val="000000"/>
              </w:rPr>
            </w:pPr>
          </w:p>
        </w:tc>
        <w:tc>
          <w:tcPr>
            <w:tcW w:w="720" w:type="dxa"/>
            <w:tcBorders>
              <w:top w:val="nil"/>
              <w:left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55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56</w:t>
            </w:r>
          </w:p>
        </w:tc>
        <w:tc>
          <w:tcPr>
            <w:tcW w:w="767"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w:t>
            </w:r>
          </w:p>
        </w:tc>
        <w:tc>
          <w:tcPr>
            <w:tcW w:w="1152"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19.8</w:t>
            </w:r>
          </w:p>
        </w:tc>
        <w:tc>
          <w:tcPr>
            <w:tcW w:w="72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w:t>
            </w:r>
          </w:p>
        </w:tc>
        <w:tc>
          <w:tcPr>
            <w:tcW w:w="270" w:type="dxa"/>
            <w:tcBorders>
              <w:top w:val="nil"/>
              <w:left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0.2 ± 0.1</w:t>
            </w:r>
          </w:p>
        </w:tc>
        <w:tc>
          <w:tcPr>
            <w:tcW w:w="108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0.1</w:t>
            </w:r>
          </w:p>
        </w:tc>
      </w:tr>
      <w:tr w:rsidR="00A34D0D" w:rsidRPr="00A34D0D" w:rsidTr="00A34D0D">
        <w:trPr>
          <w:trHeight w:val="144"/>
        </w:trPr>
        <w:tc>
          <w:tcPr>
            <w:tcW w:w="1296"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720"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55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219</w:t>
            </w:r>
          </w:p>
        </w:tc>
        <w:tc>
          <w:tcPr>
            <w:tcW w:w="767"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21.1</w:t>
            </w:r>
          </w:p>
        </w:tc>
        <w:tc>
          <w:tcPr>
            <w:tcW w:w="115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21.2</w:t>
            </w:r>
          </w:p>
        </w:tc>
        <w:tc>
          <w:tcPr>
            <w:tcW w:w="72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21.1</w:t>
            </w:r>
          </w:p>
        </w:tc>
        <w:tc>
          <w:tcPr>
            <w:tcW w:w="270"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w:t>
            </w:r>
          </w:p>
        </w:tc>
        <w:tc>
          <w:tcPr>
            <w:tcW w:w="108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w:t>
            </w:r>
          </w:p>
        </w:tc>
      </w:tr>
      <w:tr w:rsidR="00A34D0D" w:rsidRPr="00A34D0D" w:rsidTr="00A34D0D">
        <w:trPr>
          <w:trHeight w:val="144"/>
        </w:trPr>
        <w:tc>
          <w:tcPr>
            <w:tcW w:w="1296"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Whole stem</w:t>
            </w:r>
          </w:p>
        </w:tc>
        <w:tc>
          <w:tcPr>
            <w:tcW w:w="720"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55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60</w:t>
            </w:r>
          </w:p>
        </w:tc>
        <w:tc>
          <w:tcPr>
            <w:tcW w:w="767"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393</w:t>
            </w:r>
          </w:p>
        </w:tc>
        <w:tc>
          <w:tcPr>
            <w:tcW w:w="115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417</w:t>
            </w:r>
          </w:p>
        </w:tc>
        <w:tc>
          <w:tcPr>
            <w:tcW w:w="72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401</w:t>
            </w:r>
          </w:p>
        </w:tc>
        <w:tc>
          <w:tcPr>
            <w:tcW w:w="270"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-24.3 ± 0.6</w:t>
            </w:r>
          </w:p>
        </w:tc>
        <w:tc>
          <w:tcPr>
            <w:tcW w:w="108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-8 ± 0.5</w:t>
            </w:r>
          </w:p>
        </w:tc>
      </w:tr>
      <w:tr w:rsidR="00A34D0D" w:rsidRPr="00A34D0D" w:rsidTr="00A34D0D">
        <w:trPr>
          <w:trHeight w:val="144"/>
        </w:trPr>
        <w:tc>
          <w:tcPr>
            <w:tcW w:w="1296"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Volume</w:t>
            </w:r>
          </w:p>
        </w:tc>
        <w:tc>
          <w:tcPr>
            <w:tcW w:w="72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55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63</w:t>
            </w:r>
          </w:p>
        </w:tc>
        <w:tc>
          <w:tcPr>
            <w:tcW w:w="767"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417</w:t>
            </w:r>
          </w:p>
        </w:tc>
        <w:tc>
          <w:tcPr>
            <w:tcW w:w="1152"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418</w:t>
            </w:r>
          </w:p>
        </w:tc>
        <w:tc>
          <w:tcPr>
            <w:tcW w:w="720"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395</w:t>
            </w:r>
          </w:p>
        </w:tc>
        <w:tc>
          <w:tcPr>
            <w:tcW w:w="27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-0.7 ± 0.5</w:t>
            </w:r>
          </w:p>
        </w:tc>
        <w:tc>
          <w:tcPr>
            <w:tcW w:w="1080"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21.9 ± 0.5</w:t>
            </w:r>
          </w:p>
        </w:tc>
      </w:tr>
      <w:tr w:rsidR="00A34D0D" w:rsidRPr="00A34D0D" w:rsidTr="00A34D0D">
        <w:trPr>
          <w:trHeight w:val="144"/>
        </w:trPr>
        <w:tc>
          <w:tcPr>
            <w:tcW w:w="1296"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w:t>
            </w:r>
            <w:r w:rsidRPr="00A34D0D">
              <w:rPr>
                <w:rFonts w:asciiTheme="minorHAnsi" w:hAnsiTheme="minorHAnsi"/>
                <w:color w:val="000000"/>
                <w:vertAlign w:val="superscript"/>
              </w:rPr>
              <w:t>3</w:t>
            </w:r>
            <w:r w:rsidRPr="00A34D0D">
              <w:rPr>
                <w:rFonts w:asciiTheme="minorHAnsi" w:hAnsiTheme="minorHAnsi"/>
                <w:color w:val="000000"/>
              </w:rPr>
              <w:t>/ha)</w:t>
            </w:r>
          </w:p>
        </w:tc>
        <w:tc>
          <w:tcPr>
            <w:tcW w:w="72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55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40</w:t>
            </w:r>
          </w:p>
        </w:tc>
        <w:tc>
          <w:tcPr>
            <w:tcW w:w="767"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231</w:t>
            </w:r>
          </w:p>
        </w:tc>
        <w:tc>
          <w:tcPr>
            <w:tcW w:w="1152"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211</w:t>
            </w:r>
          </w:p>
        </w:tc>
        <w:tc>
          <w:tcPr>
            <w:tcW w:w="720"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228</w:t>
            </w:r>
          </w:p>
        </w:tc>
        <w:tc>
          <w:tcPr>
            <w:tcW w:w="27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20.4 ± 0.5</w:t>
            </w:r>
          </w:p>
        </w:tc>
        <w:tc>
          <w:tcPr>
            <w:tcW w:w="1080"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3.3 ± 0.4</w:t>
            </w:r>
          </w:p>
        </w:tc>
      </w:tr>
      <w:tr w:rsidR="00A34D0D" w:rsidRPr="00A34D0D" w:rsidTr="00A34D0D">
        <w:trPr>
          <w:trHeight w:val="144"/>
        </w:trPr>
        <w:tc>
          <w:tcPr>
            <w:tcW w:w="1296" w:type="dxa"/>
            <w:tcBorders>
              <w:top w:val="nil"/>
              <w:left w:val="nil"/>
              <w:bottom w:val="nil"/>
              <w:right w:val="nil"/>
            </w:tcBorders>
          </w:tcPr>
          <w:p w:rsidR="00A34D0D" w:rsidRPr="00A34D0D" w:rsidRDefault="00A34D0D" w:rsidP="00A34D0D">
            <w:pPr>
              <w:spacing w:before="0"/>
              <w:rPr>
                <w:rFonts w:asciiTheme="minorHAnsi" w:hAnsiTheme="minorHAnsi"/>
                <w:color w:val="000000"/>
              </w:rPr>
            </w:pPr>
            <w:proofErr w:type="spellStart"/>
            <w:r w:rsidRPr="00A34D0D">
              <w:rPr>
                <w:rFonts w:asciiTheme="minorHAnsi" w:hAnsiTheme="minorHAnsi"/>
                <w:color w:val="000000"/>
              </w:rPr>
              <w:t>Dbh</w:t>
            </w:r>
            <w:proofErr w:type="spellEnd"/>
            <w:r w:rsidRPr="00A34D0D">
              <w:rPr>
                <w:rFonts w:asciiTheme="minorHAnsi" w:hAnsiTheme="minorHAnsi"/>
                <w:color w:val="000000"/>
              </w:rPr>
              <w:t xml:space="preserve"> ≥ 7.5 cm</w:t>
            </w:r>
          </w:p>
        </w:tc>
        <w:tc>
          <w:tcPr>
            <w:tcW w:w="72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55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56</w:t>
            </w:r>
          </w:p>
        </w:tc>
        <w:tc>
          <w:tcPr>
            <w:tcW w:w="767"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272</w:t>
            </w:r>
          </w:p>
        </w:tc>
        <w:tc>
          <w:tcPr>
            <w:tcW w:w="1152"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237</w:t>
            </w:r>
          </w:p>
        </w:tc>
        <w:tc>
          <w:tcPr>
            <w:tcW w:w="720"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267</w:t>
            </w:r>
          </w:p>
        </w:tc>
        <w:tc>
          <w:tcPr>
            <w:tcW w:w="270"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34.3 ± 0.4</w:t>
            </w:r>
          </w:p>
        </w:tc>
        <w:tc>
          <w:tcPr>
            <w:tcW w:w="1080"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4.3 ± 0.4</w:t>
            </w:r>
          </w:p>
        </w:tc>
      </w:tr>
      <w:tr w:rsidR="00A34D0D" w:rsidRPr="00A34D0D" w:rsidTr="00A34D0D">
        <w:trPr>
          <w:trHeight w:val="144"/>
        </w:trPr>
        <w:tc>
          <w:tcPr>
            <w:tcW w:w="1296"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live</w:t>
            </w:r>
          </w:p>
        </w:tc>
        <w:tc>
          <w:tcPr>
            <w:tcW w:w="720"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55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219</w:t>
            </w:r>
          </w:p>
        </w:tc>
        <w:tc>
          <w:tcPr>
            <w:tcW w:w="767"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339</w:t>
            </w:r>
          </w:p>
        </w:tc>
        <w:tc>
          <w:tcPr>
            <w:tcW w:w="115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334</w:t>
            </w:r>
          </w:p>
        </w:tc>
        <w:tc>
          <w:tcPr>
            <w:tcW w:w="72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333</w:t>
            </w:r>
          </w:p>
        </w:tc>
        <w:tc>
          <w:tcPr>
            <w:tcW w:w="270"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p>
        </w:tc>
        <w:tc>
          <w:tcPr>
            <w:tcW w:w="115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5.6 ± 0.2</w:t>
            </w:r>
          </w:p>
        </w:tc>
        <w:tc>
          <w:tcPr>
            <w:tcW w:w="108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5.8 ± 0.2</w:t>
            </w:r>
          </w:p>
        </w:tc>
      </w:tr>
    </w:tbl>
    <w:p w:rsidR="00A34D0D" w:rsidRPr="00A34D0D" w:rsidRDefault="00A34D0D" w:rsidP="00A34D0D">
      <w:r w:rsidRPr="00A34D0D">
        <w:t xml:space="preserve">The basal area data from </w:t>
      </w:r>
      <w:r w:rsidRPr="00A34D0D">
        <w:fldChar w:fldCharType="begin"/>
      </w:r>
      <w:r w:rsidRPr="00A34D0D">
        <w:instrText xml:space="preserve"> REF _Ref445322491 \r \h </w:instrText>
      </w:r>
      <w:r w:rsidRPr="00A34D0D">
        <w:fldChar w:fldCharType="separate"/>
      </w:r>
      <w:r w:rsidRPr="00A34D0D">
        <w:t>Table 6</w:t>
      </w:r>
      <w:r w:rsidRPr="00A34D0D">
        <w:fldChar w:fldCharType="end"/>
      </w:r>
      <w:r w:rsidRPr="00A34D0D">
        <w:t xml:space="preserve"> are plotted in</w:t>
      </w:r>
      <w:r w:rsidR="00EE0B76">
        <w:t xml:space="preserve"> </w:t>
      </w:r>
      <w:r w:rsidR="00EE0B76">
        <w:fldChar w:fldCharType="begin"/>
      </w:r>
      <w:r w:rsidR="00EE0B76">
        <w:instrText xml:space="preserve"> REF _Ref449441961 \h </w:instrText>
      </w:r>
      <w:r w:rsidR="00EE0B76">
        <w:fldChar w:fldCharType="separate"/>
      </w:r>
      <w:r w:rsidR="00EE0B76">
        <w:t xml:space="preserve">Figure </w:t>
      </w:r>
      <w:r w:rsidR="00EE0B76">
        <w:rPr>
          <w:noProof/>
        </w:rPr>
        <w:t>16</w:t>
      </w:r>
      <w:r w:rsidR="00EE0B76">
        <w:fldChar w:fldCharType="end"/>
      </w:r>
      <w:r w:rsidR="00C44FA3">
        <w:t>.</w:t>
      </w:r>
    </w:p>
    <w:p w:rsidR="00A34D0D" w:rsidRPr="00A34D0D" w:rsidRDefault="00A34D0D" w:rsidP="00A34D0D">
      <w:r w:rsidRPr="00A34D0D">
        <w:rPr>
          <w:noProof/>
          <w:lang w:val="en-CA" w:eastAsia="zh-CN"/>
        </w:rPr>
        <w:drawing>
          <wp:inline distT="0" distB="0" distL="0" distR="0" wp14:anchorId="5D420769" wp14:editId="49233E0E">
            <wp:extent cx="4610100" cy="5334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10100" cy="5334000"/>
                    </a:xfrm>
                    <a:prstGeom prst="rect">
                      <a:avLst/>
                    </a:prstGeom>
                    <a:noFill/>
                  </pic:spPr>
                </pic:pic>
              </a:graphicData>
            </a:graphic>
          </wp:inline>
        </w:drawing>
      </w:r>
    </w:p>
    <w:p w:rsidR="00A34D0D" w:rsidRPr="009803AA" w:rsidRDefault="009803AA" w:rsidP="009803AA">
      <w:pPr>
        <w:pStyle w:val="Caption"/>
      </w:pPr>
      <w:bookmarkStart w:id="79" w:name="_Ref449441961"/>
      <w:bookmarkStart w:id="80" w:name="_Ref449441917"/>
      <w:bookmarkStart w:id="81" w:name="_Toc449515890"/>
      <w:r>
        <w:lastRenderedPageBreak/>
        <w:t xml:space="preserve">Figure </w:t>
      </w:r>
      <w:r w:rsidR="008E0E5D">
        <w:fldChar w:fldCharType="begin"/>
      </w:r>
      <w:r w:rsidR="008E0E5D">
        <w:instrText xml:space="preserve"> SEQ Figure \* ARABIC </w:instrText>
      </w:r>
      <w:r w:rsidR="008E0E5D">
        <w:fldChar w:fldCharType="separate"/>
      </w:r>
      <w:r w:rsidR="00173AD0">
        <w:rPr>
          <w:noProof/>
        </w:rPr>
        <w:t>16</w:t>
      </w:r>
      <w:r w:rsidR="008E0E5D">
        <w:rPr>
          <w:noProof/>
        </w:rPr>
        <w:fldChar w:fldCharType="end"/>
      </w:r>
      <w:bookmarkEnd w:id="79"/>
      <w:r>
        <w:t xml:space="preserve">  The Basal area predictions and residuals are given by strata.  The data are given in </w:t>
      </w:r>
      <w:r>
        <w:fldChar w:fldCharType="begin"/>
      </w:r>
      <w:r>
        <w:instrText xml:space="preserve"> REF _Ref449441484 \h </w:instrText>
      </w:r>
      <w:r>
        <w:fldChar w:fldCharType="separate"/>
      </w:r>
      <w:r>
        <w:t xml:space="preserve">Table </w:t>
      </w:r>
      <w:r>
        <w:rPr>
          <w:noProof/>
        </w:rPr>
        <w:t>8</w:t>
      </w:r>
      <w:r>
        <w:fldChar w:fldCharType="end"/>
      </w:r>
      <w:r>
        <w:t>.  The standard error bars are given with the residuals.</w:t>
      </w:r>
      <w:bookmarkEnd w:id="80"/>
      <w:bookmarkEnd w:id="81"/>
    </w:p>
    <w:p w:rsidR="00A34D0D" w:rsidRPr="00A34D0D" w:rsidRDefault="00A34D0D" w:rsidP="00A34D0D"/>
    <w:p w:rsidR="00A34D0D" w:rsidRPr="00A34D0D" w:rsidRDefault="00A34D0D" w:rsidP="0069371D">
      <w:pPr>
        <w:pStyle w:val="Heading2"/>
      </w:pPr>
      <w:r w:rsidRPr="00A34D0D">
        <w:t xml:space="preserve"> </w:t>
      </w:r>
      <w:bookmarkStart w:id="82" w:name="_Toc446500353"/>
      <w:bookmarkStart w:id="83" w:name="_Toc449596365"/>
      <w:r w:rsidRPr="00A34D0D">
        <w:t>Nonparametric prediction</w:t>
      </w:r>
      <w:bookmarkEnd w:id="82"/>
      <w:bookmarkEnd w:id="83"/>
    </w:p>
    <w:p w:rsidR="00A34D0D" w:rsidRPr="00A34D0D" w:rsidRDefault="00A34D0D" w:rsidP="00A34D0D">
      <w:r w:rsidRPr="00A34D0D">
        <w:t>The data were not stratified for the nonparametric predictions.  Since the RF algorithm looks for a close match, it was felt this eliminates the need to stratify.  Approximately 30% of the plots were reserved for validation.  The RF predictions are compared to those using the Combined model (no stratification), using all the data, the Combined model using 70% of the data and the Combined model using 50% of the data.  Predictions were compared for the 30% of the plots reserved for validation.   Note these validation plots were used in the “Combined” model for calibration.  The validation plots were not used to calibrate any of the other predictions presented in this section.</w:t>
      </w:r>
    </w:p>
    <w:p w:rsidR="00A34D0D" w:rsidRDefault="00A34D0D" w:rsidP="00A34D0D">
      <w:r w:rsidRPr="00A34D0D">
        <w:t xml:space="preserve">The basal are predictions are given in </w:t>
      </w:r>
      <w:r w:rsidR="00EE0B76">
        <w:fldChar w:fldCharType="begin"/>
      </w:r>
      <w:r w:rsidR="00EE0B76">
        <w:instrText xml:space="preserve"> REF _Ref449441994 \h </w:instrText>
      </w:r>
      <w:r w:rsidR="00EE0B76">
        <w:fldChar w:fldCharType="separate"/>
      </w:r>
      <w:r w:rsidR="00EE0B76">
        <w:t xml:space="preserve">Figure </w:t>
      </w:r>
      <w:r w:rsidR="00EE0B76">
        <w:rPr>
          <w:noProof/>
        </w:rPr>
        <w:t>17</w:t>
      </w:r>
      <w:r w:rsidR="00EE0B76">
        <w:fldChar w:fldCharType="end"/>
      </w:r>
      <w:r w:rsidR="00EE0B76">
        <w:t xml:space="preserve"> </w:t>
      </w:r>
      <w:r w:rsidRPr="00A34D0D">
        <w:t>and the live whole stem volume predictions are given in</w:t>
      </w:r>
      <w:r w:rsidR="00EE0B76">
        <w:t xml:space="preserve"> </w:t>
      </w:r>
      <w:r w:rsidR="00EE0B76">
        <w:fldChar w:fldCharType="begin"/>
      </w:r>
      <w:r w:rsidR="00EE0B76">
        <w:instrText xml:space="preserve"> REF _Ref449442036 \h </w:instrText>
      </w:r>
      <w:r w:rsidR="00EE0B76">
        <w:fldChar w:fldCharType="separate"/>
      </w:r>
      <w:r w:rsidR="00EE0B76">
        <w:t xml:space="preserve">Figure </w:t>
      </w:r>
      <w:r w:rsidR="00EE0B76">
        <w:rPr>
          <w:noProof/>
        </w:rPr>
        <w:t>18</w:t>
      </w:r>
      <w:r w:rsidR="00EE0B76">
        <w:fldChar w:fldCharType="end"/>
      </w:r>
      <w:r w:rsidRPr="00A34D0D">
        <w:t>.  There is less variation among the prediction methods for volume compared to basal area.  This may be due to the strong dependent of volume on height, which is estimated very well.</w:t>
      </w:r>
    </w:p>
    <w:p w:rsidR="00C44FA3" w:rsidRPr="00A34D0D" w:rsidRDefault="00C44FA3" w:rsidP="00A34D0D"/>
    <w:p w:rsidR="00A34D0D" w:rsidRPr="00A34D0D" w:rsidRDefault="00A34D0D" w:rsidP="00A34D0D">
      <w:r w:rsidRPr="00A34D0D">
        <w:rPr>
          <w:noProof/>
          <w:lang w:val="en-CA" w:eastAsia="zh-CN"/>
        </w:rPr>
        <w:lastRenderedPageBreak/>
        <w:drawing>
          <wp:inline distT="0" distB="0" distL="0" distR="0" wp14:anchorId="1B4FD7C9" wp14:editId="6115FCDB">
            <wp:extent cx="4579620" cy="5334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79620" cy="5334000"/>
                    </a:xfrm>
                    <a:prstGeom prst="rect">
                      <a:avLst/>
                    </a:prstGeom>
                    <a:noFill/>
                  </pic:spPr>
                </pic:pic>
              </a:graphicData>
            </a:graphic>
          </wp:inline>
        </w:drawing>
      </w:r>
    </w:p>
    <w:p w:rsidR="00C44FA3" w:rsidRDefault="00C44FA3" w:rsidP="00C44FA3">
      <w:pPr>
        <w:pStyle w:val="Caption"/>
        <w:rPr>
          <w:color w:val="000000"/>
          <w:shd w:val="clear" w:color="auto" w:fill="FFFFFF"/>
        </w:rPr>
      </w:pPr>
      <w:bookmarkStart w:id="84" w:name="_Ref449441994"/>
      <w:bookmarkStart w:id="85" w:name="_Toc449515891"/>
      <w:r>
        <w:t xml:space="preserve">Figure </w:t>
      </w:r>
      <w:r w:rsidR="008E0E5D">
        <w:fldChar w:fldCharType="begin"/>
      </w:r>
      <w:r w:rsidR="008E0E5D">
        <w:instrText xml:space="preserve"> SEQ Figure \* ARABIC </w:instrText>
      </w:r>
      <w:r w:rsidR="008E0E5D">
        <w:fldChar w:fldCharType="separate"/>
      </w:r>
      <w:r w:rsidR="00173AD0">
        <w:rPr>
          <w:noProof/>
        </w:rPr>
        <w:t>17</w:t>
      </w:r>
      <w:r w:rsidR="008E0E5D">
        <w:rPr>
          <w:noProof/>
        </w:rPr>
        <w:fldChar w:fldCharType="end"/>
      </w:r>
      <w:bookmarkEnd w:id="84"/>
      <w:r>
        <w:t xml:space="preserve"> </w:t>
      </w:r>
      <w:r w:rsidRPr="00C44FA3">
        <w:t xml:space="preserve"> The predictions (a) and residuals (b) are given for the basal area predictions.  The standard error is given for the residuals. The data are the validation data set and the sample sizes given in </w:t>
      </w:r>
      <w:r>
        <w:fldChar w:fldCharType="begin"/>
      </w:r>
      <w:r>
        <w:instrText xml:space="preserve"> REF _Ref449441484 \h </w:instrText>
      </w:r>
      <w:r>
        <w:fldChar w:fldCharType="separate"/>
      </w:r>
      <w:r>
        <w:t xml:space="preserve">Table </w:t>
      </w:r>
      <w:r>
        <w:rPr>
          <w:noProof/>
        </w:rPr>
        <w:t>8</w:t>
      </w:r>
      <w:bookmarkEnd w:id="85"/>
      <w:r>
        <w:fldChar w:fldCharType="end"/>
      </w:r>
    </w:p>
    <w:p w:rsidR="00A34D0D" w:rsidRPr="00A34D0D" w:rsidRDefault="00A34D0D" w:rsidP="00A34D0D">
      <w:pPr>
        <w:autoSpaceDE w:val="0"/>
        <w:autoSpaceDN w:val="0"/>
        <w:adjustRightInd w:val="0"/>
        <w:spacing w:before="0"/>
        <w:ind w:left="288" w:hanging="288"/>
        <w:rPr>
          <w:color w:val="000000"/>
          <w:shd w:val="clear" w:color="auto" w:fill="FFFFFF"/>
        </w:rPr>
      </w:pPr>
      <w:bookmarkStart w:id="86" w:name="_Ref446499808"/>
      <w:r w:rsidRPr="00A34D0D">
        <w:rPr>
          <w:color w:val="000000"/>
          <w:shd w:val="clear" w:color="auto" w:fill="FFFFFF"/>
        </w:rPr>
        <w:t>.</w:t>
      </w:r>
      <w:bookmarkEnd w:id="86"/>
    </w:p>
    <w:p w:rsidR="00A34D0D" w:rsidRPr="00A34D0D" w:rsidRDefault="00A34D0D" w:rsidP="00A34D0D">
      <w:r w:rsidRPr="00A34D0D">
        <w:rPr>
          <w:noProof/>
          <w:lang w:val="en-CA" w:eastAsia="zh-CN"/>
        </w:rPr>
        <w:lastRenderedPageBreak/>
        <w:drawing>
          <wp:inline distT="0" distB="0" distL="0" distR="0" wp14:anchorId="2392384C" wp14:editId="3B86942D">
            <wp:extent cx="4579620" cy="5334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79620" cy="5334000"/>
                    </a:xfrm>
                    <a:prstGeom prst="rect">
                      <a:avLst/>
                    </a:prstGeom>
                    <a:noFill/>
                  </pic:spPr>
                </pic:pic>
              </a:graphicData>
            </a:graphic>
          </wp:inline>
        </w:drawing>
      </w:r>
    </w:p>
    <w:p w:rsidR="00C44FA3" w:rsidRDefault="00C44FA3" w:rsidP="00C44FA3">
      <w:pPr>
        <w:pStyle w:val="Caption"/>
      </w:pPr>
      <w:bookmarkStart w:id="87" w:name="_Ref449442036"/>
      <w:bookmarkStart w:id="88" w:name="_Toc449515892"/>
      <w:bookmarkStart w:id="89" w:name="_Ref446499968"/>
      <w:r>
        <w:t xml:space="preserve">Figure </w:t>
      </w:r>
      <w:r w:rsidR="008E0E5D">
        <w:fldChar w:fldCharType="begin"/>
      </w:r>
      <w:r w:rsidR="008E0E5D">
        <w:instrText xml:space="preserve"> SEQ Figure \* ARABIC </w:instrText>
      </w:r>
      <w:r w:rsidR="008E0E5D">
        <w:fldChar w:fldCharType="separate"/>
      </w:r>
      <w:r w:rsidR="00173AD0">
        <w:rPr>
          <w:noProof/>
        </w:rPr>
        <w:t>18</w:t>
      </w:r>
      <w:r w:rsidR="008E0E5D">
        <w:rPr>
          <w:noProof/>
        </w:rPr>
        <w:fldChar w:fldCharType="end"/>
      </w:r>
      <w:bookmarkEnd w:id="87"/>
      <w:r>
        <w:t xml:space="preserve">  </w:t>
      </w:r>
      <w:r w:rsidRPr="00C44FA3">
        <w:t xml:space="preserve">The predictions (a) and residuals (b) are given for the live whole stem volume predictions.  The standard error is given for the residuals. The data are the validation data set and the sample sizes given in </w:t>
      </w:r>
      <w:r>
        <w:fldChar w:fldCharType="begin"/>
      </w:r>
      <w:r>
        <w:instrText xml:space="preserve"> REF _Ref449441484 \h </w:instrText>
      </w:r>
      <w:r>
        <w:fldChar w:fldCharType="separate"/>
      </w:r>
      <w:r>
        <w:t xml:space="preserve">Table </w:t>
      </w:r>
      <w:r>
        <w:rPr>
          <w:noProof/>
        </w:rPr>
        <w:t>8</w:t>
      </w:r>
      <w:bookmarkEnd w:id="88"/>
      <w:r>
        <w:fldChar w:fldCharType="end"/>
      </w:r>
      <w:bookmarkEnd w:id="89"/>
    </w:p>
    <w:p w:rsidR="00EE0B76" w:rsidRDefault="00EE0B76" w:rsidP="00C44FA3"/>
    <w:p w:rsidR="00A34D0D" w:rsidRPr="00C44FA3" w:rsidRDefault="00A34D0D" w:rsidP="00C44FA3">
      <w:pPr>
        <w:rPr>
          <w:color w:val="4F81BD"/>
        </w:rPr>
      </w:pPr>
      <w:r w:rsidRPr="00A34D0D">
        <w:t xml:space="preserve">The predictions for </w:t>
      </w:r>
      <w:proofErr w:type="spellStart"/>
      <w:r w:rsidRPr="00A34D0D">
        <w:t>Lorey</w:t>
      </w:r>
      <w:proofErr w:type="spellEnd"/>
      <w:r w:rsidRPr="00A34D0D">
        <w:t xml:space="preserve"> height, basal area, and live whole stem volume are plotted in</w:t>
      </w:r>
      <w:r w:rsidR="00EE0B76">
        <w:t xml:space="preserve"> </w:t>
      </w:r>
      <w:r w:rsidR="00EE0B76">
        <w:fldChar w:fldCharType="begin"/>
      </w:r>
      <w:r w:rsidR="00EE0B76">
        <w:instrText xml:space="preserve"> REF _Ref449442140 \h </w:instrText>
      </w:r>
      <w:r w:rsidR="00EE0B76">
        <w:fldChar w:fldCharType="separate"/>
      </w:r>
      <w:r w:rsidR="00EE0B76">
        <w:t xml:space="preserve">Figure </w:t>
      </w:r>
      <w:r w:rsidR="00EE0B76">
        <w:rPr>
          <w:noProof/>
        </w:rPr>
        <w:t>19</w:t>
      </w:r>
      <w:r w:rsidR="00EE0B76">
        <w:fldChar w:fldCharType="end"/>
      </w:r>
      <w:r w:rsidRPr="00A34D0D">
        <w:t>.  The predictions for all the dependent variables are given in</w:t>
      </w:r>
      <w:r w:rsidR="00C44FA3">
        <w:t xml:space="preserve"> </w:t>
      </w:r>
      <w:r w:rsidR="00C44FA3">
        <w:fldChar w:fldCharType="begin"/>
      </w:r>
      <w:r w:rsidR="00C44FA3">
        <w:instrText xml:space="preserve"> REF _Ref449442237 \h </w:instrText>
      </w:r>
      <w:r w:rsidR="00C44FA3">
        <w:fldChar w:fldCharType="separate"/>
      </w:r>
      <w:r w:rsidR="00C44FA3">
        <w:t xml:space="preserve">Table </w:t>
      </w:r>
      <w:r w:rsidR="00C44FA3">
        <w:rPr>
          <w:noProof/>
        </w:rPr>
        <w:t>9</w:t>
      </w:r>
      <w:r w:rsidR="00C44FA3">
        <w:fldChar w:fldCharType="end"/>
      </w:r>
      <w:r w:rsidRPr="00A34D0D">
        <w:t xml:space="preserve">.  In most cases, the biases are not statistically different from zero.  For attributes such as </w:t>
      </w:r>
      <w:proofErr w:type="spellStart"/>
      <w:r w:rsidRPr="00A34D0D">
        <w:t>Lorey</w:t>
      </w:r>
      <w:proofErr w:type="spellEnd"/>
      <w:r w:rsidRPr="00A34D0D">
        <w:t xml:space="preserve"> height and top height, this is because the bias is small.  The biases for basal area and volume are larger but are not statistically significant because of the larger standard error.</w:t>
      </w:r>
    </w:p>
    <w:p w:rsidR="00A34D0D" w:rsidRPr="00A34D0D" w:rsidRDefault="00A34D0D" w:rsidP="00A34D0D">
      <w:pPr>
        <w:ind w:left="-720"/>
      </w:pPr>
      <w:r w:rsidRPr="00A34D0D">
        <w:rPr>
          <w:noProof/>
          <w:lang w:val="en-CA" w:eastAsia="zh-CN"/>
        </w:rPr>
        <w:lastRenderedPageBreak/>
        <w:drawing>
          <wp:inline distT="0" distB="0" distL="0" distR="0" wp14:anchorId="2885314A" wp14:editId="18C0ADEA">
            <wp:extent cx="5724525" cy="756506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25964" cy="7566969"/>
                    </a:xfrm>
                    <a:prstGeom prst="rect">
                      <a:avLst/>
                    </a:prstGeom>
                    <a:noFill/>
                  </pic:spPr>
                </pic:pic>
              </a:graphicData>
            </a:graphic>
          </wp:inline>
        </w:drawing>
      </w:r>
    </w:p>
    <w:p w:rsidR="00C44FA3" w:rsidRDefault="00C44FA3" w:rsidP="00C44FA3">
      <w:pPr>
        <w:pStyle w:val="Caption"/>
        <w:rPr>
          <w:color w:val="000000"/>
          <w:shd w:val="clear" w:color="auto" w:fill="FFFFFF"/>
        </w:rPr>
      </w:pPr>
      <w:bookmarkStart w:id="90" w:name="_Ref449442140"/>
      <w:bookmarkStart w:id="91" w:name="_Toc449515893"/>
      <w:r>
        <w:t xml:space="preserve">Figure </w:t>
      </w:r>
      <w:r w:rsidR="008E0E5D">
        <w:fldChar w:fldCharType="begin"/>
      </w:r>
      <w:r w:rsidR="008E0E5D">
        <w:instrText xml:space="preserve"> SEQ Figure \* ARABIC </w:instrText>
      </w:r>
      <w:r w:rsidR="008E0E5D">
        <w:fldChar w:fldCharType="separate"/>
      </w:r>
      <w:r w:rsidR="00173AD0">
        <w:rPr>
          <w:noProof/>
        </w:rPr>
        <w:t>19</w:t>
      </w:r>
      <w:r w:rsidR="008E0E5D">
        <w:rPr>
          <w:noProof/>
        </w:rPr>
        <w:fldChar w:fldCharType="end"/>
      </w:r>
      <w:bookmarkEnd w:id="90"/>
      <w:r>
        <w:t xml:space="preserve">  </w:t>
      </w:r>
      <w:r w:rsidRPr="00C44FA3">
        <w:t xml:space="preserve">The parametric predictions (100% = 100% of the data used for calibration, 70% = 70% of the data used for calibration, 50% = 50% of the data </w:t>
      </w:r>
      <w:r w:rsidRPr="00C44FA3">
        <w:lastRenderedPageBreak/>
        <w:t>used for calibration) and nonparametric predictions (RF) are given for the validation data (30%).</w:t>
      </w:r>
      <w:bookmarkEnd w:id="91"/>
      <w:r w:rsidRPr="00C44FA3">
        <w:t xml:space="preserve">  </w:t>
      </w:r>
    </w:p>
    <w:p w:rsidR="00A34D0D" w:rsidRPr="00A34D0D" w:rsidRDefault="00A34D0D" w:rsidP="00A34D0D">
      <w:pPr>
        <w:autoSpaceDE w:val="0"/>
        <w:autoSpaceDN w:val="0"/>
        <w:adjustRightInd w:val="0"/>
        <w:spacing w:before="0"/>
        <w:ind w:left="288" w:hanging="288"/>
        <w:rPr>
          <w:color w:val="000000"/>
          <w:shd w:val="clear" w:color="auto" w:fill="FFFFFF"/>
        </w:rPr>
      </w:pPr>
      <w:r w:rsidRPr="00A34D0D">
        <w:rPr>
          <w:color w:val="000000"/>
          <w:shd w:val="clear" w:color="auto" w:fill="FFFFFF"/>
        </w:rPr>
        <w:t xml:space="preserve"> </w:t>
      </w:r>
    </w:p>
    <w:p w:rsidR="00A34D0D" w:rsidRPr="00A34D0D" w:rsidRDefault="00C44FA3" w:rsidP="00C44FA3">
      <w:pPr>
        <w:pStyle w:val="Caption"/>
      </w:pPr>
      <w:bookmarkStart w:id="92" w:name="_Ref449442237"/>
      <w:bookmarkStart w:id="93" w:name="_Toc449515874"/>
      <w:r>
        <w:t xml:space="preserve">Table </w:t>
      </w:r>
      <w:r w:rsidR="008E0E5D">
        <w:fldChar w:fldCharType="begin"/>
      </w:r>
      <w:r w:rsidR="008E0E5D">
        <w:instrText xml:space="preserve"> SEQ T</w:instrText>
      </w:r>
      <w:r w:rsidR="008E0E5D">
        <w:instrText xml:space="preserve">able \* ARABIC </w:instrText>
      </w:r>
      <w:r w:rsidR="008E0E5D">
        <w:fldChar w:fldCharType="separate"/>
      </w:r>
      <w:r w:rsidR="00EA6AA2">
        <w:rPr>
          <w:noProof/>
        </w:rPr>
        <w:t>9</w:t>
      </w:r>
      <w:r w:rsidR="008E0E5D">
        <w:rPr>
          <w:noProof/>
        </w:rPr>
        <w:fldChar w:fldCharType="end"/>
      </w:r>
      <w:bookmarkEnd w:id="92"/>
      <w:r>
        <w:t xml:space="preserve">  </w:t>
      </w:r>
      <w:bookmarkStart w:id="94" w:name="_Ref445232183"/>
      <w:r w:rsidRPr="00A34D0D">
        <w:t>The actual and predicted values are given for the validation data</w:t>
      </w:r>
      <w:bookmarkEnd w:id="94"/>
      <w:r w:rsidRPr="00A34D0D">
        <w:t>.  Biases that are statistically different from zero (α ≤ 5%) are shaded.</w:t>
      </w:r>
      <w:bookmarkEnd w:id="93"/>
    </w:p>
    <w:p w:rsidR="00A34D0D" w:rsidRPr="00A34D0D" w:rsidRDefault="00A34D0D" w:rsidP="00A34D0D">
      <w:pPr>
        <w:ind w:left="360" w:hanging="360"/>
      </w:pPr>
    </w:p>
    <w:tbl>
      <w:tblPr>
        <w:tblW w:w="10638" w:type="dxa"/>
        <w:tblInd w:w="-720" w:type="dxa"/>
        <w:tblLook w:val="04A0" w:firstRow="1" w:lastRow="0" w:firstColumn="1" w:lastColumn="0" w:noHBand="0" w:noVBand="1"/>
      </w:tblPr>
      <w:tblGrid>
        <w:gridCol w:w="1030"/>
        <w:gridCol w:w="704"/>
        <w:gridCol w:w="419"/>
        <w:gridCol w:w="731"/>
        <w:gridCol w:w="688"/>
        <w:gridCol w:w="622"/>
        <w:gridCol w:w="622"/>
        <w:gridCol w:w="622"/>
        <w:gridCol w:w="222"/>
        <w:gridCol w:w="1198"/>
        <w:gridCol w:w="1260"/>
        <w:gridCol w:w="1260"/>
        <w:gridCol w:w="1260"/>
      </w:tblGrid>
      <w:tr w:rsidR="00A34D0D" w:rsidRPr="00A34D0D" w:rsidTr="00A34D0D">
        <w:trPr>
          <w:trHeight w:val="144"/>
          <w:tblHeader/>
        </w:trPr>
        <w:tc>
          <w:tcPr>
            <w:tcW w:w="1030"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p>
        </w:tc>
        <w:tc>
          <w:tcPr>
            <w:tcW w:w="704"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p>
        </w:tc>
        <w:tc>
          <w:tcPr>
            <w:tcW w:w="419"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rPr>
                <w:rFonts w:asciiTheme="minorHAnsi" w:hAnsiTheme="minorHAnsi"/>
                <w:color w:val="000000"/>
              </w:rPr>
            </w:pPr>
          </w:p>
        </w:tc>
        <w:tc>
          <w:tcPr>
            <w:tcW w:w="731"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rPr>
                <w:rFonts w:asciiTheme="minorHAnsi" w:hAnsiTheme="minorHAnsi"/>
                <w:color w:val="000000"/>
              </w:rPr>
            </w:pPr>
          </w:p>
        </w:tc>
        <w:tc>
          <w:tcPr>
            <w:tcW w:w="688"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Mean</w:t>
            </w:r>
          </w:p>
        </w:tc>
        <w:tc>
          <w:tcPr>
            <w:tcW w:w="622" w:type="dxa"/>
            <w:tcBorders>
              <w:top w:val="single" w:sz="4" w:space="0" w:color="auto"/>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622" w:type="dxa"/>
            <w:tcBorders>
              <w:top w:val="single" w:sz="4" w:space="0" w:color="auto"/>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622"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rPr>
                <w:rFonts w:asciiTheme="minorHAnsi" w:hAnsiTheme="minorHAnsi"/>
                <w:color w:val="000000"/>
              </w:rPr>
            </w:pPr>
          </w:p>
        </w:tc>
        <w:tc>
          <w:tcPr>
            <w:tcW w:w="222"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p>
        </w:tc>
        <w:tc>
          <w:tcPr>
            <w:tcW w:w="1198"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Residual</w:t>
            </w:r>
          </w:p>
        </w:tc>
        <w:tc>
          <w:tcPr>
            <w:tcW w:w="1260"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 xml:space="preserve">± </w:t>
            </w:r>
            <w:proofErr w:type="spellStart"/>
            <w:r w:rsidRPr="00A34D0D">
              <w:rPr>
                <w:rFonts w:asciiTheme="minorHAnsi" w:hAnsiTheme="minorHAnsi"/>
                <w:color w:val="000000"/>
              </w:rPr>
              <w:t>s.e.</w:t>
            </w:r>
            <w:proofErr w:type="spellEnd"/>
          </w:p>
        </w:tc>
        <w:tc>
          <w:tcPr>
            <w:tcW w:w="1260" w:type="dxa"/>
            <w:tcBorders>
              <w:top w:val="single" w:sz="4" w:space="0" w:color="auto"/>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1260" w:type="dxa"/>
            <w:tcBorders>
              <w:top w:val="single" w:sz="4" w:space="0" w:color="auto"/>
              <w:left w:val="nil"/>
              <w:bottom w:val="single" w:sz="4" w:space="0" w:color="auto"/>
              <w:right w:val="nil"/>
            </w:tcBorders>
            <w:shd w:val="clear" w:color="auto" w:fill="auto"/>
            <w:noWrap/>
            <w:vAlign w:val="bottom"/>
          </w:tcPr>
          <w:p w:rsidR="00A34D0D" w:rsidRPr="00A34D0D" w:rsidRDefault="00A34D0D" w:rsidP="00A34D0D">
            <w:pPr>
              <w:spacing w:before="0"/>
              <w:rPr>
                <w:rFonts w:asciiTheme="minorHAnsi" w:hAnsiTheme="minorHAnsi"/>
                <w:color w:val="000000"/>
              </w:rPr>
            </w:pPr>
          </w:p>
        </w:tc>
      </w:tr>
      <w:tr w:rsidR="00A34D0D" w:rsidRPr="00A34D0D" w:rsidTr="00A34D0D">
        <w:trPr>
          <w:trHeight w:val="144"/>
          <w:tblHeader/>
        </w:trPr>
        <w:tc>
          <w:tcPr>
            <w:tcW w:w="1030"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Strata</w:t>
            </w:r>
          </w:p>
        </w:tc>
        <w:tc>
          <w:tcPr>
            <w:tcW w:w="419"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N</w:t>
            </w:r>
          </w:p>
        </w:tc>
        <w:tc>
          <w:tcPr>
            <w:tcW w:w="731"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Actual</w:t>
            </w:r>
          </w:p>
        </w:tc>
        <w:tc>
          <w:tcPr>
            <w:tcW w:w="688"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100%</w:t>
            </w:r>
          </w:p>
        </w:tc>
        <w:tc>
          <w:tcPr>
            <w:tcW w:w="622" w:type="dxa"/>
            <w:tcBorders>
              <w:top w:val="single" w:sz="4" w:space="0" w:color="auto"/>
              <w:left w:val="nil"/>
              <w:bottom w:val="single" w:sz="4" w:space="0" w:color="auto"/>
              <w:right w:val="nil"/>
            </w:tcBorders>
            <w:vAlign w:val="bottom"/>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70%</w:t>
            </w:r>
          </w:p>
        </w:tc>
        <w:tc>
          <w:tcPr>
            <w:tcW w:w="622" w:type="dxa"/>
            <w:tcBorders>
              <w:top w:val="single" w:sz="4" w:space="0" w:color="auto"/>
              <w:left w:val="nil"/>
              <w:bottom w:val="single" w:sz="4" w:space="0" w:color="auto"/>
              <w:right w:val="nil"/>
            </w:tcBorders>
            <w:vAlign w:val="bottom"/>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50%</w:t>
            </w:r>
          </w:p>
        </w:tc>
        <w:tc>
          <w:tcPr>
            <w:tcW w:w="622"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RF</w:t>
            </w:r>
          </w:p>
        </w:tc>
        <w:tc>
          <w:tcPr>
            <w:tcW w:w="222" w:type="dxa"/>
            <w:tcBorders>
              <w:top w:val="nil"/>
              <w:left w:val="nil"/>
              <w:bottom w:val="nil"/>
              <w:right w:val="nil"/>
            </w:tcBorders>
          </w:tcPr>
          <w:p w:rsidR="00A34D0D" w:rsidRPr="00A34D0D" w:rsidRDefault="00A34D0D" w:rsidP="00A34D0D">
            <w:pPr>
              <w:spacing w:before="0"/>
              <w:rPr>
                <w:rFonts w:asciiTheme="minorHAnsi" w:hAnsiTheme="minorHAnsi"/>
                <w:color w:val="000000"/>
              </w:rPr>
            </w:pPr>
          </w:p>
        </w:tc>
        <w:tc>
          <w:tcPr>
            <w:tcW w:w="1198"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100%</w:t>
            </w:r>
          </w:p>
        </w:tc>
        <w:tc>
          <w:tcPr>
            <w:tcW w:w="1260"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70%</w:t>
            </w:r>
          </w:p>
        </w:tc>
        <w:tc>
          <w:tcPr>
            <w:tcW w:w="1260" w:type="dxa"/>
            <w:tcBorders>
              <w:top w:val="single" w:sz="4" w:space="0" w:color="auto"/>
              <w:left w:val="nil"/>
              <w:bottom w:val="single" w:sz="4" w:space="0" w:color="auto"/>
              <w:right w:val="nil"/>
            </w:tcBorders>
            <w:vAlign w:val="bottom"/>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50%</w:t>
            </w:r>
          </w:p>
        </w:tc>
        <w:tc>
          <w:tcPr>
            <w:tcW w:w="1260" w:type="dxa"/>
            <w:tcBorders>
              <w:top w:val="single" w:sz="4" w:space="0" w:color="auto"/>
              <w:left w:val="nil"/>
              <w:bottom w:val="single" w:sz="4" w:space="0" w:color="auto"/>
              <w:right w:val="nil"/>
            </w:tcBorders>
            <w:shd w:val="clear" w:color="auto" w:fill="auto"/>
            <w:noWrap/>
            <w:vAlign w:val="bottom"/>
            <w:hideMark/>
          </w:tcPr>
          <w:p w:rsidR="00A34D0D" w:rsidRPr="00A34D0D" w:rsidRDefault="00A34D0D" w:rsidP="00A34D0D">
            <w:pPr>
              <w:spacing w:before="0"/>
              <w:jc w:val="center"/>
              <w:rPr>
                <w:rFonts w:asciiTheme="minorHAnsi" w:hAnsiTheme="minorHAnsi"/>
                <w:color w:val="000000"/>
              </w:rPr>
            </w:pPr>
            <w:r w:rsidRPr="00A34D0D">
              <w:rPr>
                <w:rFonts w:asciiTheme="minorHAnsi" w:hAnsiTheme="minorHAnsi"/>
                <w:color w:val="000000"/>
              </w:rPr>
              <w:t>RF</w:t>
            </w:r>
          </w:p>
        </w:tc>
      </w:tr>
      <w:tr w:rsidR="00A34D0D" w:rsidRPr="00A34D0D" w:rsidTr="00A34D0D">
        <w:trPr>
          <w:trHeight w:val="144"/>
        </w:trPr>
        <w:tc>
          <w:tcPr>
            <w:tcW w:w="1030"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Basal</w:t>
            </w:r>
          </w:p>
        </w:tc>
        <w:tc>
          <w:tcPr>
            <w:tcW w:w="704"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419"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17</w:t>
            </w:r>
          </w:p>
        </w:tc>
        <w:tc>
          <w:tcPr>
            <w:tcW w:w="731"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34.8</w:t>
            </w:r>
          </w:p>
        </w:tc>
        <w:tc>
          <w:tcPr>
            <w:tcW w:w="688"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39.2</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40.7</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37.6</w:t>
            </w:r>
          </w:p>
        </w:tc>
        <w:tc>
          <w:tcPr>
            <w:tcW w:w="622"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41.1</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-4.4 ± 2.7</w:t>
            </w:r>
          </w:p>
        </w:tc>
        <w:tc>
          <w:tcPr>
            <w:tcW w:w="1260"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 ± 3.5</w:t>
            </w:r>
          </w:p>
        </w:tc>
        <w:tc>
          <w:tcPr>
            <w:tcW w:w="1260"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-2.9 ± 2.7</w:t>
            </w:r>
          </w:p>
        </w:tc>
        <w:tc>
          <w:tcPr>
            <w:tcW w:w="1260" w:type="dxa"/>
            <w:tcBorders>
              <w:top w:val="single" w:sz="4" w:space="0" w:color="auto"/>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-6.3 ± 5.2</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Area</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419"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18</w:t>
            </w:r>
          </w:p>
        </w:tc>
        <w:tc>
          <w:tcPr>
            <w:tcW w:w="731"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42.5</w:t>
            </w:r>
          </w:p>
        </w:tc>
        <w:tc>
          <w:tcPr>
            <w:tcW w:w="688"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45.7</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44.7</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46.2</w:t>
            </w:r>
          </w:p>
        </w:tc>
        <w:tc>
          <w:tcPr>
            <w:tcW w:w="622"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44.3</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-3.2 ± 3.5</w:t>
            </w:r>
          </w:p>
        </w:tc>
        <w:tc>
          <w:tcPr>
            <w:tcW w:w="126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 ± 3.7</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-3.7 ± 6.6</w:t>
            </w:r>
          </w:p>
        </w:tc>
        <w:tc>
          <w:tcPr>
            <w:tcW w:w="126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 ± 4.1</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w:t>
            </w:r>
            <w:r w:rsidRPr="00A34D0D">
              <w:rPr>
                <w:rFonts w:asciiTheme="minorHAnsi" w:hAnsiTheme="minorHAnsi"/>
                <w:color w:val="000000"/>
                <w:vertAlign w:val="superscript"/>
              </w:rPr>
              <w:t>2</w:t>
            </w:r>
            <w:r w:rsidRPr="00A34D0D">
              <w:rPr>
                <w:rFonts w:asciiTheme="minorHAnsi" w:hAnsiTheme="minorHAnsi"/>
                <w:color w:val="000000"/>
              </w:rPr>
              <w:t>/ha)</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419"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11</w:t>
            </w:r>
          </w:p>
        </w:tc>
        <w:tc>
          <w:tcPr>
            <w:tcW w:w="731"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29.1</w:t>
            </w:r>
          </w:p>
        </w:tc>
        <w:tc>
          <w:tcPr>
            <w:tcW w:w="688"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25.6</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24.8</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24.3</w:t>
            </w:r>
          </w:p>
        </w:tc>
        <w:tc>
          <w:tcPr>
            <w:tcW w:w="622"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26</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3.5 ± 3.3</w:t>
            </w:r>
          </w:p>
        </w:tc>
        <w:tc>
          <w:tcPr>
            <w:tcW w:w="126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4.3 ± 3.1</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4.7 ± 3.5</w:t>
            </w:r>
          </w:p>
        </w:tc>
        <w:tc>
          <w:tcPr>
            <w:tcW w:w="1260" w:type="dxa"/>
            <w:tcBorders>
              <w:top w:val="nil"/>
              <w:left w:val="nil"/>
              <w:bottom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 ± 2.2</w:t>
            </w:r>
          </w:p>
        </w:tc>
      </w:tr>
      <w:tr w:rsidR="00A34D0D" w:rsidRPr="00A34D0D" w:rsidTr="00A34D0D">
        <w:trPr>
          <w:trHeight w:val="144"/>
        </w:trPr>
        <w:tc>
          <w:tcPr>
            <w:tcW w:w="1030" w:type="dxa"/>
            <w:tcBorders>
              <w:top w:val="nil"/>
              <w:left w:val="nil"/>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419" w:type="dxa"/>
            <w:tcBorders>
              <w:top w:val="nil"/>
              <w:left w:val="nil"/>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16</w:t>
            </w:r>
          </w:p>
        </w:tc>
        <w:tc>
          <w:tcPr>
            <w:tcW w:w="731"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26</w:t>
            </w:r>
          </w:p>
        </w:tc>
        <w:tc>
          <w:tcPr>
            <w:tcW w:w="688"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24.2</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25.4</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21.8</w:t>
            </w:r>
          </w:p>
        </w:tc>
        <w:tc>
          <w:tcPr>
            <w:tcW w:w="622"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26.7</w:t>
            </w:r>
          </w:p>
        </w:tc>
        <w:tc>
          <w:tcPr>
            <w:tcW w:w="2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 ± 1.3</w:t>
            </w:r>
          </w:p>
        </w:tc>
        <w:tc>
          <w:tcPr>
            <w:tcW w:w="1260"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0.7 ± 1.7</w:t>
            </w:r>
          </w:p>
        </w:tc>
        <w:tc>
          <w:tcPr>
            <w:tcW w:w="1260" w:type="dxa"/>
            <w:tcBorders>
              <w:top w:val="nil"/>
              <w:left w:val="nil"/>
              <w:right w:val="nil"/>
            </w:tcBorders>
            <w:shd w:val="clear" w:color="auto" w:fill="BFBFBF" w:themeFill="background1" w:themeFillShade="BF"/>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4.2 ± 1.8</w:t>
            </w:r>
          </w:p>
        </w:tc>
        <w:tc>
          <w:tcPr>
            <w:tcW w:w="1260" w:type="dxa"/>
            <w:tcBorders>
              <w:top w:val="nil"/>
              <w:left w:val="nil"/>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-0.6 ± 2.5</w:t>
            </w:r>
          </w:p>
        </w:tc>
      </w:tr>
      <w:tr w:rsidR="00A34D0D" w:rsidRPr="00A34D0D" w:rsidTr="00A34D0D">
        <w:trPr>
          <w:trHeight w:val="144"/>
        </w:trPr>
        <w:tc>
          <w:tcPr>
            <w:tcW w:w="1030"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419"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color w:val="000000"/>
              </w:rPr>
            </w:pPr>
            <w:r w:rsidRPr="00A34D0D">
              <w:rPr>
                <w:color w:val="000000"/>
              </w:rPr>
              <w:t>65</w:t>
            </w:r>
          </w:p>
        </w:tc>
        <w:tc>
          <w:tcPr>
            <w:tcW w:w="731"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33.7</w:t>
            </w:r>
          </w:p>
        </w:tc>
        <w:tc>
          <w:tcPr>
            <w:tcW w:w="688"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34.7</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35</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33.6</w:t>
            </w:r>
          </w:p>
        </w:tc>
        <w:tc>
          <w:tcPr>
            <w:tcW w:w="622"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35.6</w:t>
            </w:r>
          </w:p>
        </w:tc>
        <w:tc>
          <w:tcPr>
            <w:tcW w:w="2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 ± 1.4</w:t>
            </w:r>
          </w:p>
        </w:tc>
        <w:tc>
          <w:tcPr>
            <w:tcW w:w="1260"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-1.3 ± 1.6</w:t>
            </w:r>
          </w:p>
        </w:tc>
        <w:tc>
          <w:tcPr>
            <w:tcW w:w="1260"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0.1 ± 2.2</w:t>
            </w:r>
          </w:p>
        </w:tc>
        <w:tc>
          <w:tcPr>
            <w:tcW w:w="1260" w:type="dxa"/>
            <w:tcBorders>
              <w:top w:val="nil"/>
              <w:left w:val="nil"/>
              <w:bottom w:val="single" w:sz="4" w:space="0" w:color="auto"/>
              <w:right w:val="nil"/>
            </w:tcBorders>
            <w:shd w:val="clear" w:color="auto" w:fill="auto"/>
            <w:noWrap/>
            <w:vAlign w:val="bottom"/>
            <w:hideMark/>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 ± 2</w:t>
            </w:r>
          </w:p>
        </w:tc>
      </w:tr>
      <w:tr w:rsidR="00A34D0D" w:rsidRPr="00A34D0D" w:rsidTr="00A34D0D">
        <w:trPr>
          <w:trHeight w:val="144"/>
        </w:trPr>
        <w:tc>
          <w:tcPr>
            <w:tcW w:w="1030" w:type="dxa"/>
            <w:tcBorders>
              <w:top w:val="single" w:sz="4" w:space="0" w:color="auto"/>
              <w:left w:val="nil"/>
              <w:bottom w:val="nil"/>
              <w:right w:val="nil"/>
            </w:tcBorders>
            <w:vAlign w:val="bottom"/>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DQ</w:t>
            </w:r>
          </w:p>
        </w:tc>
        <w:tc>
          <w:tcPr>
            <w:tcW w:w="704"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419"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17</w:t>
            </w:r>
          </w:p>
        </w:tc>
        <w:tc>
          <w:tcPr>
            <w:tcW w:w="731"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23.9</w:t>
            </w:r>
          </w:p>
        </w:tc>
        <w:tc>
          <w:tcPr>
            <w:tcW w:w="68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25.2</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24.9</w:t>
            </w:r>
          </w:p>
        </w:tc>
        <w:tc>
          <w:tcPr>
            <w:tcW w:w="62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w:t>
            </w:r>
          </w:p>
        </w:tc>
        <w:tc>
          <w:tcPr>
            <w:tcW w:w="2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-0.2 ± 0.9</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-1.3 ± 1.4</w:t>
            </w:r>
          </w:p>
        </w:tc>
        <w:tc>
          <w:tcPr>
            <w:tcW w:w="1260"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 ± 1.3</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 ± 1.4</w:t>
            </w:r>
          </w:p>
        </w:tc>
      </w:tr>
      <w:tr w:rsidR="00A34D0D" w:rsidRPr="00A34D0D" w:rsidTr="00A34D0D">
        <w:trPr>
          <w:trHeight w:val="144"/>
        </w:trPr>
        <w:tc>
          <w:tcPr>
            <w:tcW w:w="1030" w:type="dxa"/>
            <w:tcBorders>
              <w:top w:val="nil"/>
              <w:left w:val="nil"/>
              <w:bottom w:val="nil"/>
              <w:right w:val="nil"/>
            </w:tcBorders>
            <w:vAlign w:val="bottom"/>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(cm)</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18</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23.6</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22.9</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23.4</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23.2</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23.1</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0.7 ± 1.1</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0.2 ± 1</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0.4 ± 1.2</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0.5 ± 1.3</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11</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20.4</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19.6</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19.1</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19.3</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22.1</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0.9 ± 1.2</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1.4 ± 1.3</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1.2 ± 1.1</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 ± 1.5</w:t>
            </w:r>
          </w:p>
        </w:tc>
      </w:tr>
      <w:tr w:rsidR="00A34D0D" w:rsidRPr="00A34D0D" w:rsidTr="00A34D0D">
        <w:trPr>
          <w:trHeight w:val="144"/>
        </w:trPr>
        <w:tc>
          <w:tcPr>
            <w:tcW w:w="1030" w:type="dxa"/>
            <w:tcBorders>
              <w:top w:val="nil"/>
              <w:left w:val="nil"/>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419" w:type="dxa"/>
            <w:tcBorders>
              <w:top w:val="nil"/>
              <w:left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16</w:t>
            </w:r>
          </w:p>
        </w:tc>
        <w:tc>
          <w:tcPr>
            <w:tcW w:w="731"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20.6</w:t>
            </w:r>
          </w:p>
        </w:tc>
        <w:tc>
          <w:tcPr>
            <w:tcW w:w="68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20.5</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20.7</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w:t>
            </w:r>
          </w:p>
        </w:tc>
        <w:tc>
          <w:tcPr>
            <w:tcW w:w="622"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19.1</w:t>
            </w:r>
          </w:p>
        </w:tc>
        <w:tc>
          <w:tcPr>
            <w:tcW w:w="2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0.1 ± 0.9</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-0.2 ± 1.3</w:t>
            </w:r>
          </w:p>
        </w:tc>
        <w:tc>
          <w:tcPr>
            <w:tcW w:w="1260"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-0.4 ± 1.2</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1.5 ± 1.1</w:t>
            </w:r>
          </w:p>
        </w:tc>
      </w:tr>
      <w:tr w:rsidR="00A34D0D" w:rsidRPr="00A34D0D" w:rsidTr="00A34D0D">
        <w:trPr>
          <w:trHeight w:val="144"/>
        </w:trPr>
        <w:tc>
          <w:tcPr>
            <w:tcW w:w="1030"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419"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65</w:t>
            </w:r>
          </w:p>
        </w:tc>
        <w:tc>
          <w:tcPr>
            <w:tcW w:w="731"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22.3</w:t>
            </w:r>
          </w:p>
        </w:tc>
        <w:tc>
          <w:tcPr>
            <w:tcW w:w="68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22.4</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22.4</w:t>
            </w:r>
          </w:p>
        </w:tc>
        <w:tc>
          <w:tcPr>
            <w:tcW w:w="62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22.4</w:t>
            </w:r>
          </w:p>
        </w:tc>
        <w:tc>
          <w:tcPr>
            <w:tcW w:w="2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0.3 ± 0.5</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-0.1 ± 0.6</w:t>
            </w:r>
          </w:p>
        </w:tc>
        <w:tc>
          <w:tcPr>
            <w:tcW w:w="1260"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-0.1 ± 0.6</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-0.1 ± 0.7</w:t>
            </w:r>
          </w:p>
        </w:tc>
      </w:tr>
      <w:tr w:rsidR="00A34D0D" w:rsidRPr="00A34D0D" w:rsidTr="00A34D0D">
        <w:trPr>
          <w:trHeight w:val="144"/>
        </w:trPr>
        <w:tc>
          <w:tcPr>
            <w:tcW w:w="1030" w:type="dxa"/>
            <w:tcBorders>
              <w:top w:val="single" w:sz="4" w:space="0" w:color="auto"/>
              <w:left w:val="nil"/>
              <w:bottom w:val="nil"/>
              <w:right w:val="nil"/>
            </w:tcBorders>
            <w:vAlign w:val="bottom"/>
          </w:tcPr>
          <w:p w:rsidR="00A34D0D" w:rsidRPr="00A34D0D" w:rsidRDefault="00A34D0D" w:rsidP="00A34D0D">
            <w:pPr>
              <w:spacing w:before="0"/>
              <w:rPr>
                <w:rFonts w:asciiTheme="minorHAnsi" w:hAnsiTheme="minorHAnsi"/>
                <w:color w:val="000000"/>
              </w:rPr>
            </w:pPr>
            <w:proofErr w:type="spellStart"/>
            <w:r w:rsidRPr="00A34D0D">
              <w:rPr>
                <w:rFonts w:asciiTheme="minorHAnsi" w:hAnsiTheme="minorHAnsi"/>
                <w:color w:val="000000"/>
              </w:rPr>
              <w:t>Lorey</w:t>
            </w:r>
            <w:proofErr w:type="spellEnd"/>
            <w:r w:rsidRPr="00A34D0D">
              <w:rPr>
                <w:rFonts w:asciiTheme="minorHAnsi" w:hAnsiTheme="minorHAnsi"/>
                <w:color w:val="000000"/>
              </w:rPr>
              <w:t xml:space="preserve"> </w:t>
            </w:r>
          </w:p>
        </w:tc>
        <w:tc>
          <w:tcPr>
            <w:tcW w:w="704"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419"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17</w:t>
            </w:r>
          </w:p>
        </w:tc>
        <w:tc>
          <w:tcPr>
            <w:tcW w:w="731"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21.5</w:t>
            </w:r>
          </w:p>
        </w:tc>
        <w:tc>
          <w:tcPr>
            <w:tcW w:w="68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22.3</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22.3</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22.4</w:t>
            </w:r>
          </w:p>
        </w:tc>
        <w:tc>
          <w:tcPr>
            <w:tcW w:w="62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22.6</w:t>
            </w:r>
          </w:p>
        </w:tc>
        <w:tc>
          <w:tcPr>
            <w:tcW w:w="2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-0.8 ± 0.4</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-0.8 ± 0.4</w:t>
            </w:r>
          </w:p>
        </w:tc>
        <w:tc>
          <w:tcPr>
            <w:tcW w:w="1260"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-0.9 ± 0.5</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 ± 0.6</w:t>
            </w:r>
          </w:p>
        </w:tc>
      </w:tr>
      <w:tr w:rsidR="00A34D0D" w:rsidRPr="00A34D0D" w:rsidTr="00A34D0D">
        <w:trPr>
          <w:trHeight w:val="144"/>
        </w:trPr>
        <w:tc>
          <w:tcPr>
            <w:tcW w:w="1030" w:type="dxa"/>
            <w:tcBorders>
              <w:top w:val="nil"/>
              <w:left w:val="nil"/>
              <w:bottom w:val="nil"/>
              <w:right w:val="nil"/>
            </w:tcBorders>
            <w:vAlign w:val="bottom"/>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height</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18</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21.7</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21.6</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21.6</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21.7</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22.1</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0.3</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0.4</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-0.1 ± 0.4</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-0.5 ± 0.5</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11</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17.6</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17.2</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17.2</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17.3</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0.4 ± 0.5</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0.4 ± 0.4</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0.3 ± 0.4</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-0.4 ± 0.7</w:t>
            </w:r>
          </w:p>
        </w:tc>
      </w:tr>
      <w:tr w:rsidR="00A34D0D" w:rsidRPr="00A34D0D" w:rsidTr="00A34D0D">
        <w:trPr>
          <w:trHeight w:val="144"/>
        </w:trPr>
        <w:tc>
          <w:tcPr>
            <w:tcW w:w="1030" w:type="dxa"/>
            <w:tcBorders>
              <w:top w:val="nil"/>
              <w:left w:val="nil"/>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419" w:type="dxa"/>
            <w:tcBorders>
              <w:top w:val="nil"/>
              <w:left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16</w:t>
            </w:r>
          </w:p>
        </w:tc>
        <w:tc>
          <w:tcPr>
            <w:tcW w:w="731"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18.9</w:t>
            </w:r>
          </w:p>
        </w:tc>
        <w:tc>
          <w:tcPr>
            <w:tcW w:w="68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18.5</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18.6</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18.8</w:t>
            </w:r>
          </w:p>
        </w:tc>
        <w:tc>
          <w:tcPr>
            <w:tcW w:w="622"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17.9</w:t>
            </w:r>
          </w:p>
        </w:tc>
        <w:tc>
          <w:tcPr>
            <w:tcW w:w="2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0.5 ± 0.3</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0.4 ± 0.3</w:t>
            </w:r>
          </w:p>
        </w:tc>
        <w:tc>
          <w:tcPr>
            <w:tcW w:w="1260"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0.2 ± 0.3</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 ± 0.6</w:t>
            </w:r>
          </w:p>
        </w:tc>
      </w:tr>
      <w:tr w:rsidR="00A34D0D" w:rsidRPr="00A34D0D" w:rsidTr="00A34D0D">
        <w:trPr>
          <w:trHeight w:val="144"/>
        </w:trPr>
        <w:tc>
          <w:tcPr>
            <w:tcW w:w="1030"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419"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65</w:t>
            </w:r>
          </w:p>
        </w:tc>
        <w:tc>
          <w:tcPr>
            <w:tcW w:w="731"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20.2</w:t>
            </w:r>
          </w:p>
        </w:tc>
        <w:tc>
          <w:tcPr>
            <w:tcW w:w="68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20.2</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20.2</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20.4</w:t>
            </w:r>
          </w:p>
        </w:tc>
        <w:tc>
          <w:tcPr>
            <w:tcW w:w="62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20.4</w:t>
            </w:r>
          </w:p>
        </w:tc>
        <w:tc>
          <w:tcPr>
            <w:tcW w:w="2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0.2</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0.2</w:t>
            </w:r>
          </w:p>
        </w:tc>
        <w:tc>
          <w:tcPr>
            <w:tcW w:w="1260"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-0.2 ± 0.2</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-0.2 ± 0.3</w:t>
            </w:r>
          </w:p>
        </w:tc>
      </w:tr>
      <w:tr w:rsidR="00A34D0D" w:rsidRPr="00A34D0D" w:rsidTr="00A34D0D">
        <w:trPr>
          <w:trHeight w:val="144"/>
        </w:trPr>
        <w:tc>
          <w:tcPr>
            <w:tcW w:w="1030" w:type="dxa"/>
            <w:tcBorders>
              <w:top w:val="single" w:sz="4" w:space="0" w:color="auto"/>
              <w:left w:val="nil"/>
              <w:bottom w:val="nil"/>
              <w:right w:val="nil"/>
            </w:tcBorders>
            <w:vAlign w:val="bottom"/>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Density</w:t>
            </w:r>
          </w:p>
        </w:tc>
        <w:tc>
          <w:tcPr>
            <w:tcW w:w="704"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419"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17</w:t>
            </w:r>
          </w:p>
        </w:tc>
        <w:tc>
          <w:tcPr>
            <w:tcW w:w="731"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813</w:t>
            </w:r>
          </w:p>
        </w:tc>
        <w:tc>
          <w:tcPr>
            <w:tcW w:w="68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928</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1015</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853</w:t>
            </w:r>
          </w:p>
        </w:tc>
        <w:tc>
          <w:tcPr>
            <w:tcW w:w="62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877</w:t>
            </w:r>
          </w:p>
        </w:tc>
        <w:tc>
          <w:tcPr>
            <w:tcW w:w="2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-115 ± 78</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-202 ± 192</w:t>
            </w:r>
          </w:p>
        </w:tc>
        <w:tc>
          <w:tcPr>
            <w:tcW w:w="1260"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-40 ± 89</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-64 ± 121</w:t>
            </w:r>
          </w:p>
        </w:tc>
      </w:tr>
      <w:tr w:rsidR="00A34D0D" w:rsidRPr="00A34D0D" w:rsidTr="00A34D0D">
        <w:trPr>
          <w:trHeight w:val="144"/>
        </w:trPr>
        <w:tc>
          <w:tcPr>
            <w:tcW w:w="1030" w:type="dxa"/>
            <w:tcBorders>
              <w:top w:val="nil"/>
              <w:left w:val="nil"/>
              <w:bottom w:val="nil"/>
              <w:right w:val="nil"/>
            </w:tcBorders>
            <w:vAlign w:val="bottom"/>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(trees/ha)</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18</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1041</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1253</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1157</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1095</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1182</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-212 ± 142</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-116 ± 115</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-54 ± 122</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-141 ± 151</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11</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1134</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947</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957</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883</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871</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187 ± 139</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177 ± 167</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251 ± 164</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263 ± 173</w:t>
            </w:r>
          </w:p>
        </w:tc>
      </w:tr>
      <w:tr w:rsidR="00A34D0D" w:rsidRPr="00A34D0D" w:rsidTr="00A34D0D">
        <w:trPr>
          <w:trHeight w:val="144"/>
        </w:trPr>
        <w:tc>
          <w:tcPr>
            <w:tcW w:w="1030" w:type="dxa"/>
            <w:tcBorders>
              <w:top w:val="nil"/>
              <w:left w:val="nil"/>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419" w:type="dxa"/>
            <w:tcBorders>
              <w:top w:val="nil"/>
              <w:left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16</w:t>
            </w:r>
          </w:p>
        </w:tc>
        <w:tc>
          <w:tcPr>
            <w:tcW w:w="731"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751</w:t>
            </w:r>
          </w:p>
        </w:tc>
        <w:tc>
          <w:tcPr>
            <w:tcW w:w="68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796</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864</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826</w:t>
            </w:r>
          </w:p>
        </w:tc>
        <w:tc>
          <w:tcPr>
            <w:tcW w:w="622"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812</w:t>
            </w:r>
          </w:p>
        </w:tc>
        <w:tc>
          <w:tcPr>
            <w:tcW w:w="2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-45 ± 106</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-113 ± 113</w:t>
            </w:r>
          </w:p>
        </w:tc>
        <w:tc>
          <w:tcPr>
            <w:tcW w:w="1260"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-76 ± 157</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-62 ± 88</w:t>
            </w:r>
          </w:p>
        </w:tc>
      </w:tr>
      <w:tr w:rsidR="00A34D0D" w:rsidRPr="00A34D0D" w:rsidTr="00A34D0D">
        <w:trPr>
          <w:trHeight w:val="144"/>
        </w:trPr>
        <w:tc>
          <w:tcPr>
            <w:tcW w:w="1030"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419"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65</w:t>
            </w:r>
          </w:p>
        </w:tc>
        <w:tc>
          <w:tcPr>
            <w:tcW w:w="731"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921</w:t>
            </w:r>
          </w:p>
        </w:tc>
        <w:tc>
          <w:tcPr>
            <w:tcW w:w="68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991</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1007</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921</w:t>
            </w:r>
          </w:p>
        </w:tc>
        <w:tc>
          <w:tcPr>
            <w:tcW w:w="62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947</w:t>
            </w:r>
          </w:p>
        </w:tc>
        <w:tc>
          <w:tcPr>
            <w:tcW w:w="2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-70 ± 59</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-85 ± 75</w:t>
            </w:r>
          </w:p>
        </w:tc>
        <w:tc>
          <w:tcPr>
            <w:tcW w:w="1260"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66</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-26 ± 67</w:t>
            </w:r>
          </w:p>
        </w:tc>
      </w:tr>
      <w:tr w:rsidR="00A34D0D" w:rsidRPr="00A34D0D" w:rsidTr="00A34D0D">
        <w:trPr>
          <w:trHeight w:val="144"/>
        </w:trPr>
        <w:tc>
          <w:tcPr>
            <w:tcW w:w="1030"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Top</w:t>
            </w:r>
          </w:p>
        </w:tc>
        <w:tc>
          <w:tcPr>
            <w:tcW w:w="704"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419"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13</w:t>
            </w:r>
          </w:p>
        </w:tc>
        <w:tc>
          <w:tcPr>
            <w:tcW w:w="731"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27.2</w:t>
            </w:r>
          </w:p>
        </w:tc>
        <w:tc>
          <w:tcPr>
            <w:tcW w:w="68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25.7</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25.8</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26</w:t>
            </w:r>
          </w:p>
        </w:tc>
        <w:tc>
          <w:tcPr>
            <w:tcW w:w="62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24.8</w:t>
            </w:r>
          </w:p>
        </w:tc>
        <w:tc>
          <w:tcPr>
            <w:tcW w:w="2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-0.6 ± 0.8</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-0.8 ± 0.8</w:t>
            </w:r>
          </w:p>
        </w:tc>
        <w:tc>
          <w:tcPr>
            <w:tcW w:w="1260"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 ± 0.9</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 ± 1.6</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Height</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18</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24.6</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25.5</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25.6</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25.8</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26.2</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-0.9 ± 0.8</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 ± 0.8</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-1.2 ± 0.9</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-1.6 ± 1.3</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9</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18.9</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19.9</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20.1</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20.4</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20.7</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0.2 ± 1</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 ± 1</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-0.3 ± 1.1</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-0.3 ± 1.3</w:t>
            </w:r>
          </w:p>
        </w:tc>
      </w:tr>
      <w:tr w:rsidR="00A34D0D" w:rsidRPr="00A34D0D" w:rsidTr="00A34D0D">
        <w:trPr>
          <w:trHeight w:val="144"/>
        </w:trPr>
        <w:tc>
          <w:tcPr>
            <w:tcW w:w="1030" w:type="dxa"/>
            <w:tcBorders>
              <w:top w:val="nil"/>
              <w:left w:val="nil"/>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419" w:type="dxa"/>
            <w:tcBorders>
              <w:top w:val="nil"/>
              <w:left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12</w:t>
            </w:r>
          </w:p>
        </w:tc>
        <w:tc>
          <w:tcPr>
            <w:tcW w:w="731"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19.4</w:t>
            </w:r>
          </w:p>
        </w:tc>
        <w:tc>
          <w:tcPr>
            <w:tcW w:w="68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21.3</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21.4</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21.7</w:t>
            </w:r>
          </w:p>
        </w:tc>
        <w:tc>
          <w:tcPr>
            <w:tcW w:w="622"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20.1</w:t>
            </w:r>
          </w:p>
        </w:tc>
        <w:tc>
          <w:tcPr>
            <w:tcW w:w="2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-0.2 ± 1</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-0.3 ± 1</w:t>
            </w:r>
          </w:p>
        </w:tc>
        <w:tc>
          <w:tcPr>
            <w:tcW w:w="1260"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-0.6 ± 1</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1.2 ± 1.6</w:t>
            </w:r>
          </w:p>
        </w:tc>
      </w:tr>
      <w:tr w:rsidR="00A34D0D" w:rsidRPr="00A34D0D" w:rsidTr="00A34D0D">
        <w:trPr>
          <w:trHeight w:val="144"/>
        </w:trPr>
        <w:tc>
          <w:tcPr>
            <w:tcW w:w="1030"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419"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55</w:t>
            </w:r>
          </w:p>
        </w:tc>
        <w:tc>
          <w:tcPr>
            <w:tcW w:w="731"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w:t>
            </w:r>
          </w:p>
        </w:tc>
        <w:tc>
          <w:tcPr>
            <w:tcW w:w="68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23.5</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23.6</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23.8</w:t>
            </w:r>
          </w:p>
        </w:tc>
        <w:tc>
          <w:tcPr>
            <w:tcW w:w="62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23.3</w:t>
            </w:r>
          </w:p>
        </w:tc>
        <w:tc>
          <w:tcPr>
            <w:tcW w:w="2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-0.5 ± 0.4</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-0.6 ± 0.5</w:t>
            </w:r>
          </w:p>
        </w:tc>
        <w:tc>
          <w:tcPr>
            <w:tcW w:w="1260"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-0.8 ± 0.5</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-0.8 ± 0.7</w:t>
            </w:r>
          </w:p>
        </w:tc>
      </w:tr>
      <w:tr w:rsidR="00A34D0D" w:rsidRPr="00A34D0D" w:rsidTr="00A34D0D">
        <w:trPr>
          <w:trHeight w:val="144"/>
        </w:trPr>
        <w:tc>
          <w:tcPr>
            <w:tcW w:w="1030"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Live</w:t>
            </w:r>
          </w:p>
        </w:tc>
        <w:tc>
          <w:tcPr>
            <w:tcW w:w="704"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419"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17</w:t>
            </w:r>
          </w:p>
        </w:tc>
        <w:tc>
          <w:tcPr>
            <w:tcW w:w="731"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244</w:t>
            </w:r>
          </w:p>
        </w:tc>
        <w:tc>
          <w:tcPr>
            <w:tcW w:w="68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284</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254</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262</w:t>
            </w:r>
          </w:p>
        </w:tc>
        <w:tc>
          <w:tcPr>
            <w:tcW w:w="62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296</w:t>
            </w:r>
          </w:p>
        </w:tc>
        <w:tc>
          <w:tcPr>
            <w:tcW w:w="2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-40.5 ± 20.4</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-9.9 ± 9.3</w:t>
            </w:r>
          </w:p>
        </w:tc>
        <w:tc>
          <w:tcPr>
            <w:tcW w:w="1260"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-18.8 ± 10.6</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-52.6 ± 31.9</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proofErr w:type="spellStart"/>
            <w:r w:rsidRPr="00A34D0D">
              <w:rPr>
                <w:rFonts w:asciiTheme="minorHAnsi" w:hAnsiTheme="minorHAnsi"/>
                <w:color w:val="000000"/>
              </w:rPr>
              <w:t>Merch</w:t>
            </w:r>
            <w:proofErr w:type="spellEnd"/>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18</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287</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332</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303</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299</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332</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-45.5 ± 22.4</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-16.1 ± 15</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-12.8 ± 16.1</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-45.2 ± 27.9</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Volume</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11</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177</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158</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178</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181</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165</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19.1 ± 19.6</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-1.5 ± 6.1</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-4.5 ± 4.6</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12.2 ± 11.3</w:t>
            </w:r>
          </w:p>
        </w:tc>
      </w:tr>
      <w:tr w:rsidR="00A34D0D" w:rsidRPr="00A34D0D" w:rsidTr="00A34D0D">
        <w:trPr>
          <w:trHeight w:val="144"/>
        </w:trPr>
        <w:tc>
          <w:tcPr>
            <w:tcW w:w="1030" w:type="dxa"/>
            <w:tcBorders>
              <w:top w:val="nil"/>
              <w:left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Dbh≥12.5</w:t>
            </w:r>
          </w:p>
        </w:tc>
        <w:tc>
          <w:tcPr>
            <w:tcW w:w="704" w:type="dxa"/>
            <w:tcBorders>
              <w:top w:val="nil"/>
              <w:left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419" w:type="dxa"/>
            <w:tcBorders>
              <w:top w:val="nil"/>
              <w:left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16</w:t>
            </w:r>
          </w:p>
        </w:tc>
        <w:tc>
          <w:tcPr>
            <w:tcW w:w="731"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187</w:t>
            </w:r>
          </w:p>
        </w:tc>
        <w:tc>
          <w:tcPr>
            <w:tcW w:w="68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169</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192</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197</w:t>
            </w:r>
          </w:p>
        </w:tc>
        <w:tc>
          <w:tcPr>
            <w:tcW w:w="622"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184</w:t>
            </w:r>
          </w:p>
        </w:tc>
        <w:tc>
          <w:tcPr>
            <w:tcW w:w="2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18.1 ± 14.3</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-4.6 ± 4.4</w:t>
            </w:r>
          </w:p>
        </w:tc>
        <w:tc>
          <w:tcPr>
            <w:tcW w:w="1260"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-9.8 ± 5.8</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3.1 ± 22.5</w:t>
            </w:r>
          </w:p>
        </w:tc>
      </w:tr>
      <w:tr w:rsidR="00A34D0D" w:rsidRPr="00A34D0D" w:rsidTr="00A34D0D">
        <w:trPr>
          <w:trHeight w:val="144"/>
        </w:trPr>
        <w:tc>
          <w:tcPr>
            <w:tcW w:w="1030"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w:t>
            </w:r>
            <w:r w:rsidRPr="00A34D0D">
              <w:rPr>
                <w:rFonts w:asciiTheme="minorHAnsi" w:hAnsiTheme="minorHAnsi"/>
                <w:color w:val="000000"/>
                <w:vertAlign w:val="superscript"/>
              </w:rPr>
              <w:t>3</w:t>
            </w:r>
            <w:r w:rsidRPr="00A34D0D">
              <w:rPr>
                <w:rFonts w:asciiTheme="minorHAnsi" w:hAnsiTheme="minorHAnsi"/>
                <w:color w:val="000000"/>
              </w:rPr>
              <w:t>/ha</w:t>
            </w:r>
          </w:p>
        </w:tc>
        <w:tc>
          <w:tcPr>
            <w:tcW w:w="704"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419"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65</w:t>
            </w:r>
          </w:p>
        </w:tc>
        <w:tc>
          <w:tcPr>
            <w:tcW w:w="731"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229</w:t>
            </w:r>
          </w:p>
        </w:tc>
        <w:tc>
          <w:tcPr>
            <w:tcW w:w="68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245</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238</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241</w:t>
            </w:r>
          </w:p>
        </w:tc>
        <w:tc>
          <w:tcPr>
            <w:tcW w:w="62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254</w:t>
            </w:r>
          </w:p>
        </w:tc>
        <w:tc>
          <w:tcPr>
            <w:tcW w:w="2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-16 ± 9.9</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-8.8 ± 5.3</w:t>
            </w:r>
          </w:p>
        </w:tc>
        <w:tc>
          <w:tcPr>
            <w:tcW w:w="1260" w:type="dxa"/>
            <w:tcBorders>
              <w:top w:val="nil"/>
              <w:left w:val="nil"/>
              <w:bottom w:val="single" w:sz="4" w:space="0" w:color="auto"/>
              <w:right w:val="nil"/>
            </w:tcBorders>
            <w:shd w:val="clear" w:color="auto" w:fill="BFBFBF" w:themeFill="background1" w:themeFillShade="BF"/>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-12.1 ± 5.7</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-24.3 ± 13.3</w:t>
            </w:r>
          </w:p>
        </w:tc>
      </w:tr>
      <w:tr w:rsidR="00A34D0D" w:rsidRPr="00A34D0D" w:rsidTr="00A34D0D">
        <w:trPr>
          <w:trHeight w:val="144"/>
        </w:trPr>
        <w:tc>
          <w:tcPr>
            <w:tcW w:w="1030"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Dead</w:t>
            </w:r>
          </w:p>
        </w:tc>
        <w:tc>
          <w:tcPr>
            <w:tcW w:w="704"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419"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17</w:t>
            </w:r>
          </w:p>
        </w:tc>
        <w:tc>
          <w:tcPr>
            <w:tcW w:w="731"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40</w:t>
            </w:r>
          </w:p>
        </w:tc>
        <w:tc>
          <w:tcPr>
            <w:tcW w:w="68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55</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56</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58</w:t>
            </w:r>
          </w:p>
        </w:tc>
        <w:tc>
          <w:tcPr>
            <w:tcW w:w="62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94</w:t>
            </w:r>
          </w:p>
        </w:tc>
        <w:tc>
          <w:tcPr>
            <w:tcW w:w="2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-15.5 ± 11.1</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-16.4 ± 11.4</w:t>
            </w:r>
          </w:p>
        </w:tc>
        <w:tc>
          <w:tcPr>
            <w:tcW w:w="1260"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-17.9 ± 11.9</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-54.2 ± 29</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Volume</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18</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49</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54</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54</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55</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55</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-4.9 ± 12.2</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-5.6 ± 12.3</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-6.5 ± 12.6</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-6.4 ± 18.7</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proofErr w:type="spellStart"/>
            <w:r w:rsidRPr="00A34D0D">
              <w:rPr>
                <w:rFonts w:asciiTheme="minorHAnsi" w:hAnsiTheme="minorHAnsi"/>
                <w:color w:val="000000"/>
              </w:rPr>
              <w:t>Dbh</w:t>
            </w:r>
            <w:proofErr w:type="spellEnd"/>
            <w:r w:rsidRPr="00A34D0D">
              <w:rPr>
                <w:rFonts w:asciiTheme="minorHAnsi" w:hAnsiTheme="minorHAnsi"/>
                <w:color w:val="000000"/>
              </w:rPr>
              <w:t xml:space="preserve"> ≥ 7.5</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11</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63</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43</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42</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41</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48</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19.6 ± 13.4</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20.2 ± 13.2</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21.5 ± 13</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14.1 ± 15.5</w:t>
            </w:r>
          </w:p>
        </w:tc>
      </w:tr>
      <w:tr w:rsidR="00A34D0D" w:rsidRPr="00A34D0D" w:rsidTr="00A34D0D">
        <w:trPr>
          <w:trHeight w:val="144"/>
        </w:trPr>
        <w:tc>
          <w:tcPr>
            <w:tcW w:w="1030" w:type="dxa"/>
            <w:tcBorders>
              <w:top w:val="nil"/>
              <w:left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w:t>
            </w:r>
            <w:r w:rsidRPr="00A34D0D">
              <w:rPr>
                <w:rFonts w:asciiTheme="minorHAnsi" w:hAnsiTheme="minorHAnsi"/>
                <w:color w:val="000000"/>
                <w:vertAlign w:val="superscript"/>
              </w:rPr>
              <w:t>3</w:t>
            </w:r>
            <w:r w:rsidRPr="00A34D0D">
              <w:rPr>
                <w:rFonts w:asciiTheme="minorHAnsi" w:hAnsiTheme="minorHAnsi"/>
                <w:color w:val="000000"/>
              </w:rPr>
              <w:t>/ha)</w:t>
            </w:r>
          </w:p>
        </w:tc>
        <w:tc>
          <w:tcPr>
            <w:tcW w:w="704" w:type="dxa"/>
            <w:tcBorders>
              <w:top w:val="nil"/>
              <w:left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419" w:type="dxa"/>
            <w:tcBorders>
              <w:top w:val="nil"/>
              <w:left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16</w:t>
            </w:r>
          </w:p>
        </w:tc>
        <w:tc>
          <w:tcPr>
            <w:tcW w:w="731"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48</w:t>
            </w:r>
          </w:p>
        </w:tc>
        <w:tc>
          <w:tcPr>
            <w:tcW w:w="68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47</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47</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47</w:t>
            </w:r>
          </w:p>
        </w:tc>
        <w:tc>
          <w:tcPr>
            <w:tcW w:w="622"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50</w:t>
            </w:r>
          </w:p>
        </w:tc>
        <w:tc>
          <w:tcPr>
            <w:tcW w:w="2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0.7 ± 10.2</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0.7 ± 10.1</w:t>
            </w:r>
          </w:p>
        </w:tc>
        <w:tc>
          <w:tcPr>
            <w:tcW w:w="1260"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 ± 9.8</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-1.7 ± 14</w:t>
            </w:r>
          </w:p>
        </w:tc>
      </w:tr>
      <w:tr w:rsidR="00A34D0D" w:rsidRPr="00A34D0D" w:rsidTr="00A34D0D">
        <w:trPr>
          <w:trHeight w:val="144"/>
        </w:trPr>
        <w:tc>
          <w:tcPr>
            <w:tcW w:w="1030"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419"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65</w:t>
            </w:r>
          </w:p>
        </w:tc>
        <w:tc>
          <w:tcPr>
            <w:tcW w:w="731"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49</w:t>
            </w:r>
          </w:p>
        </w:tc>
        <w:tc>
          <w:tcPr>
            <w:tcW w:w="68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51</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51</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51</w:t>
            </w:r>
          </w:p>
        </w:tc>
        <w:tc>
          <w:tcPr>
            <w:tcW w:w="62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63</w:t>
            </w:r>
          </w:p>
        </w:tc>
        <w:tc>
          <w:tcPr>
            <w:tcW w:w="2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 ± 5.9</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 ± 5.9</w:t>
            </w:r>
          </w:p>
        </w:tc>
        <w:tc>
          <w:tcPr>
            <w:tcW w:w="1260"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-2.6 ± 6</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-14.5 ± 10.6</w:t>
            </w:r>
          </w:p>
        </w:tc>
      </w:tr>
      <w:tr w:rsidR="00A34D0D" w:rsidRPr="00A34D0D" w:rsidTr="00A34D0D">
        <w:trPr>
          <w:trHeight w:val="144"/>
        </w:trPr>
        <w:tc>
          <w:tcPr>
            <w:tcW w:w="1030" w:type="dxa"/>
            <w:tcBorders>
              <w:top w:val="single" w:sz="4" w:space="0" w:color="auto"/>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Live</w:t>
            </w:r>
          </w:p>
        </w:tc>
        <w:tc>
          <w:tcPr>
            <w:tcW w:w="704" w:type="dxa"/>
            <w:tcBorders>
              <w:top w:val="single" w:sz="4" w:space="0" w:color="auto"/>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w:t>
            </w:r>
          </w:p>
        </w:tc>
        <w:tc>
          <w:tcPr>
            <w:tcW w:w="419"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17</w:t>
            </w:r>
          </w:p>
        </w:tc>
        <w:tc>
          <w:tcPr>
            <w:tcW w:w="731"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307</w:t>
            </w:r>
          </w:p>
        </w:tc>
        <w:tc>
          <w:tcPr>
            <w:tcW w:w="68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350</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362</w:t>
            </w:r>
          </w:p>
        </w:tc>
        <w:tc>
          <w:tcPr>
            <w:tcW w:w="6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342</w:t>
            </w:r>
          </w:p>
        </w:tc>
        <w:tc>
          <w:tcPr>
            <w:tcW w:w="622"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373</w:t>
            </w:r>
          </w:p>
        </w:tc>
        <w:tc>
          <w:tcPr>
            <w:tcW w:w="222"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-43.1 ± 26.9</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-55.5 ± 32.5</w:t>
            </w:r>
          </w:p>
        </w:tc>
        <w:tc>
          <w:tcPr>
            <w:tcW w:w="1260" w:type="dxa"/>
            <w:tcBorders>
              <w:top w:val="single" w:sz="4" w:space="0" w:color="auto"/>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-35.2 ± 24.7</w:t>
            </w:r>
          </w:p>
        </w:tc>
        <w:tc>
          <w:tcPr>
            <w:tcW w:w="1260" w:type="dxa"/>
            <w:tcBorders>
              <w:top w:val="single" w:sz="4" w:space="0" w:color="auto"/>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-66.7 ± 48.2</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Volume</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18</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373</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411</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397</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419</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417</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-37.6 ± 28.2</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-23.6 ± 31</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-46.3 ± 54.9</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-43.5 ± 37.2</w:t>
            </w:r>
          </w:p>
        </w:tc>
      </w:tr>
      <w:tr w:rsidR="00A34D0D" w:rsidRPr="00A34D0D" w:rsidTr="00A34D0D">
        <w:trPr>
          <w:trHeight w:val="144"/>
        </w:trPr>
        <w:tc>
          <w:tcPr>
            <w:tcW w:w="1030" w:type="dxa"/>
            <w:tcBorders>
              <w:top w:val="nil"/>
              <w:left w:val="nil"/>
              <w:bottom w:val="nil"/>
              <w:right w:val="nil"/>
            </w:tcBorders>
          </w:tcPr>
          <w:p w:rsidR="00A34D0D" w:rsidRPr="00A34D0D" w:rsidRDefault="00A34D0D" w:rsidP="00A34D0D">
            <w:pPr>
              <w:spacing w:before="0"/>
              <w:rPr>
                <w:rFonts w:asciiTheme="minorHAnsi" w:hAnsiTheme="minorHAnsi"/>
                <w:color w:val="000000"/>
              </w:rPr>
            </w:pPr>
            <w:proofErr w:type="spellStart"/>
            <w:r w:rsidRPr="00A34D0D">
              <w:rPr>
                <w:rFonts w:asciiTheme="minorHAnsi" w:hAnsiTheme="minorHAnsi"/>
                <w:color w:val="000000"/>
              </w:rPr>
              <w:t>Dbh</w:t>
            </w:r>
            <w:proofErr w:type="spellEnd"/>
            <w:r w:rsidRPr="00A34D0D">
              <w:rPr>
                <w:rFonts w:asciiTheme="minorHAnsi" w:hAnsiTheme="minorHAnsi"/>
                <w:color w:val="000000"/>
              </w:rPr>
              <w:t xml:space="preserve"> ≥ 7.5</w:t>
            </w:r>
          </w:p>
        </w:tc>
        <w:tc>
          <w:tcPr>
            <w:tcW w:w="704" w:type="dxa"/>
            <w:tcBorders>
              <w:top w:val="nil"/>
              <w:left w:val="nil"/>
              <w:bottom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w:t>
            </w:r>
          </w:p>
        </w:tc>
        <w:tc>
          <w:tcPr>
            <w:tcW w:w="419" w:type="dxa"/>
            <w:tcBorders>
              <w:top w:val="nil"/>
              <w:left w:val="nil"/>
              <w:bottom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11</w:t>
            </w:r>
          </w:p>
        </w:tc>
        <w:tc>
          <w:tcPr>
            <w:tcW w:w="731"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223</w:t>
            </w:r>
          </w:p>
        </w:tc>
        <w:tc>
          <w:tcPr>
            <w:tcW w:w="68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195</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182</w:t>
            </w:r>
          </w:p>
        </w:tc>
        <w:tc>
          <w:tcPr>
            <w:tcW w:w="6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180</w:t>
            </w:r>
          </w:p>
        </w:tc>
        <w:tc>
          <w:tcPr>
            <w:tcW w:w="622"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198</w:t>
            </w:r>
          </w:p>
        </w:tc>
        <w:tc>
          <w:tcPr>
            <w:tcW w:w="222"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27.9 ± 24.2</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40.1 ± 24.9</w:t>
            </w:r>
          </w:p>
        </w:tc>
        <w:tc>
          <w:tcPr>
            <w:tcW w:w="1260" w:type="dxa"/>
            <w:tcBorders>
              <w:top w:val="nil"/>
              <w:left w:val="nil"/>
              <w:bottom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42.8 ± 26.9</w:t>
            </w:r>
          </w:p>
        </w:tc>
        <w:tc>
          <w:tcPr>
            <w:tcW w:w="1260" w:type="dxa"/>
            <w:tcBorders>
              <w:top w:val="nil"/>
              <w:left w:val="nil"/>
              <w:bottom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24.8 ± 15</w:t>
            </w:r>
          </w:p>
        </w:tc>
      </w:tr>
      <w:tr w:rsidR="00A34D0D" w:rsidRPr="00A34D0D" w:rsidTr="00A34D0D">
        <w:trPr>
          <w:trHeight w:val="144"/>
        </w:trPr>
        <w:tc>
          <w:tcPr>
            <w:tcW w:w="1030" w:type="dxa"/>
            <w:tcBorders>
              <w:top w:val="nil"/>
              <w:left w:val="nil"/>
              <w:right w:val="nil"/>
            </w:tcBorders>
          </w:tcPr>
          <w:p w:rsidR="00A34D0D" w:rsidRPr="00A34D0D" w:rsidRDefault="00A34D0D" w:rsidP="00A34D0D">
            <w:pPr>
              <w:spacing w:before="0"/>
              <w:rPr>
                <w:rFonts w:asciiTheme="minorHAnsi" w:hAnsiTheme="minorHAnsi"/>
                <w:color w:val="000000"/>
              </w:rPr>
            </w:pPr>
            <w:r w:rsidRPr="00A34D0D">
              <w:rPr>
                <w:rFonts w:asciiTheme="minorHAnsi" w:hAnsiTheme="minorHAnsi"/>
                <w:color w:val="000000"/>
              </w:rPr>
              <w:t>(m</w:t>
            </w:r>
            <w:r w:rsidRPr="00A34D0D">
              <w:rPr>
                <w:rFonts w:asciiTheme="minorHAnsi" w:hAnsiTheme="minorHAnsi"/>
                <w:color w:val="000000"/>
                <w:vertAlign w:val="superscript"/>
              </w:rPr>
              <w:t>3</w:t>
            </w:r>
            <w:r w:rsidRPr="00A34D0D">
              <w:rPr>
                <w:rFonts w:asciiTheme="minorHAnsi" w:hAnsiTheme="minorHAnsi"/>
                <w:color w:val="000000"/>
              </w:rPr>
              <w:t>/ha)</w:t>
            </w:r>
          </w:p>
        </w:tc>
        <w:tc>
          <w:tcPr>
            <w:tcW w:w="704" w:type="dxa"/>
            <w:tcBorders>
              <w:top w:val="nil"/>
              <w:left w:val="nil"/>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w:t>
            </w:r>
          </w:p>
        </w:tc>
        <w:tc>
          <w:tcPr>
            <w:tcW w:w="419" w:type="dxa"/>
            <w:tcBorders>
              <w:top w:val="nil"/>
              <w:left w:val="nil"/>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16</w:t>
            </w:r>
          </w:p>
        </w:tc>
        <w:tc>
          <w:tcPr>
            <w:tcW w:w="731"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229</w:t>
            </w:r>
          </w:p>
        </w:tc>
        <w:tc>
          <w:tcPr>
            <w:tcW w:w="68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206</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215</w:t>
            </w:r>
          </w:p>
        </w:tc>
        <w:tc>
          <w:tcPr>
            <w:tcW w:w="6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188</w:t>
            </w:r>
          </w:p>
        </w:tc>
        <w:tc>
          <w:tcPr>
            <w:tcW w:w="622"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221</w:t>
            </w:r>
          </w:p>
        </w:tc>
        <w:tc>
          <w:tcPr>
            <w:tcW w:w="222" w:type="dxa"/>
            <w:tcBorders>
              <w:top w:val="nil"/>
              <w:left w:val="nil"/>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23.6 ± 15.1</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14.8 ± 15.5</w:t>
            </w:r>
          </w:p>
        </w:tc>
        <w:tc>
          <w:tcPr>
            <w:tcW w:w="1260" w:type="dxa"/>
            <w:tcBorders>
              <w:top w:val="nil"/>
              <w:left w:val="nil"/>
              <w:right w:val="nil"/>
            </w:tcBorders>
            <w:shd w:val="clear" w:color="auto" w:fill="BFBFBF" w:themeFill="background1" w:themeFillShade="BF"/>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41.3 ± 17.7</w:t>
            </w:r>
          </w:p>
        </w:tc>
        <w:tc>
          <w:tcPr>
            <w:tcW w:w="1260" w:type="dxa"/>
            <w:tcBorders>
              <w:top w:val="nil"/>
              <w:left w:val="nil"/>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8.3 ± 25.4</w:t>
            </w:r>
          </w:p>
        </w:tc>
      </w:tr>
      <w:tr w:rsidR="00A34D0D" w:rsidRPr="00A34D0D" w:rsidTr="00A34D0D">
        <w:trPr>
          <w:trHeight w:val="144"/>
        </w:trPr>
        <w:tc>
          <w:tcPr>
            <w:tcW w:w="1030" w:type="dxa"/>
            <w:tcBorders>
              <w:top w:val="nil"/>
              <w:left w:val="nil"/>
              <w:bottom w:val="single" w:sz="4" w:space="0" w:color="auto"/>
              <w:right w:val="nil"/>
            </w:tcBorders>
          </w:tcPr>
          <w:p w:rsidR="00A34D0D" w:rsidRPr="00A34D0D" w:rsidRDefault="00A34D0D" w:rsidP="00A34D0D">
            <w:pPr>
              <w:spacing w:before="0"/>
              <w:rPr>
                <w:rFonts w:asciiTheme="minorHAnsi" w:hAnsiTheme="minorHAnsi"/>
                <w:color w:val="000000"/>
              </w:rPr>
            </w:pPr>
          </w:p>
        </w:tc>
        <w:tc>
          <w:tcPr>
            <w:tcW w:w="704" w:type="dxa"/>
            <w:tcBorders>
              <w:top w:val="nil"/>
              <w:left w:val="nil"/>
              <w:bottom w:val="single" w:sz="4" w:space="0" w:color="auto"/>
              <w:right w:val="nil"/>
            </w:tcBorders>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All</w:t>
            </w:r>
          </w:p>
        </w:tc>
        <w:tc>
          <w:tcPr>
            <w:tcW w:w="419"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color w:val="000000"/>
              </w:rPr>
            </w:pPr>
            <w:r w:rsidRPr="00A34D0D">
              <w:rPr>
                <w:color w:val="000000"/>
              </w:rPr>
              <w:t>65</w:t>
            </w:r>
          </w:p>
        </w:tc>
        <w:tc>
          <w:tcPr>
            <w:tcW w:w="731"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291</w:t>
            </w:r>
          </w:p>
        </w:tc>
        <w:tc>
          <w:tcPr>
            <w:tcW w:w="68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302</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301</w:t>
            </w:r>
          </w:p>
        </w:tc>
        <w:tc>
          <w:tcPr>
            <w:tcW w:w="6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295</w:t>
            </w:r>
          </w:p>
        </w:tc>
        <w:tc>
          <w:tcPr>
            <w:tcW w:w="622"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315</w:t>
            </w:r>
          </w:p>
        </w:tc>
        <w:tc>
          <w:tcPr>
            <w:tcW w:w="222"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p>
        </w:tc>
        <w:tc>
          <w:tcPr>
            <w:tcW w:w="1198"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-11.4 ± 12.4</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-10.8 ± 14</w:t>
            </w:r>
          </w:p>
        </w:tc>
        <w:tc>
          <w:tcPr>
            <w:tcW w:w="1260" w:type="dxa"/>
            <w:tcBorders>
              <w:top w:val="nil"/>
              <w:left w:val="nil"/>
              <w:bottom w:val="single" w:sz="4" w:space="0" w:color="auto"/>
              <w:right w:val="nil"/>
            </w:tcBorders>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-4.5 ± 18.4</w:t>
            </w:r>
          </w:p>
        </w:tc>
        <w:tc>
          <w:tcPr>
            <w:tcW w:w="1260" w:type="dxa"/>
            <w:tcBorders>
              <w:top w:val="nil"/>
              <w:left w:val="nil"/>
              <w:bottom w:val="single" w:sz="4" w:space="0" w:color="auto"/>
              <w:right w:val="nil"/>
            </w:tcBorders>
            <w:shd w:val="clear" w:color="auto" w:fill="auto"/>
            <w:noWrap/>
            <w:vAlign w:val="bottom"/>
          </w:tcPr>
          <w:p w:rsidR="00A34D0D" w:rsidRPr="00A34D0D" w:rsidRDefault="00A34D0D" w:rsidP="00A34D0D">
            <w:pPr>
              <w:spacing w:before="0"/>
              <w:jc w:val="right"/>
              <w:rPr>
                <w:rFonts w:asciiTheme="minorHAnsi" w:hAnsiTheme="minorHAnsi"/>
                <w:color w:val="000000"/>
              </w:rPr>
            </w:pPr>
            <w:r w:rsidRPr="00A34D0D">
              <w:rPr>
                <w:rFonts w:asciiTheme="minorHAnsi" w:hAnsiTheme="minorHAnsi"/>
                <w:color w:val="000000"/>
              </w:rPr>
              <w:t>-24.1 ± 18.4</w:t>
            </w:r>
          </w:p>
        </w:tc>
      </w:tr>
    </w:tbl>
    <w:p w:rsidR="003C2E4D" w:rsidRDefault="003C2E4D">
      <w:pPr>
        <w:spacing w:before="0"/>
        <w:rPr>
          <w:rFonts w:cs="Arial"/>
          <w:color w:val="000000"/>
        </w:rPr>
      </w:pPr>
      <w:r>
        <w:br w:type="page"/>
      </w:r>
    </w:p>
    <w:p w:rsidR="00552CED" w:rsidRPr="00552CED" w:rsidRDefault="00552CED" w:rsidP="00552CED"/>
    <w:p w:rsidR="00552CED" w:rsidRPr="00552CED" w:rsidRDefault="00552CED" w:rsidP="0069371D">
      <w:pPr>
        <w:pStyle w:val="Heading1"/>
      </w:pPr>
      <w:bookmarkStart w:id="95" w:name="_Toc449596366"/>
      <w:r w:rsidRPr="00552CED">
        <w:t>Discussion</w:t>
      </w:r>
      <w:bookmarkEnd w:id="95"/>
    </w:p>
    <w:p w:rsidR="007D3321" w:rsidRDefault="007D3321" w:rsidP="00552CED">
      <w:r w:rsidRPr="007D3321">
        <w:t xml:space="preserve">Several methodological steps, analytical workflows, and assumptions are needed to generate a reliable, model-based LEFI. First, the LiDAR point cloud, spatial support layers, and ground-reference datasets must be spatially and </w:t>
      </w:r>
      <w:proofErr w:type="spellStart"/>
      <w:r w:rsidRPr="007D3321">
        <w:t>aspatially</w:t>
      </w:r>
      <w:proofErr w:type="spellEnd"/>
      <w:r w:rsidRPr="007D3321">
        <w:t xml:space="preserve"> complete, and as error free as possible. Second, ground-reference sampling must effectively cover the full range of structural and compositional variability at an intensity that is commensurate with the planned modelling framework. For example, modelling techniques that are incapable of numerical interpolation and extrapolation (e.g., </w:t>
      </w:r>
      <w:proofErr w:type="spellStart"/>
      <w:r w:rsidRPr="007D3321">
        <w:t>kNN</w:t>
      </w:r>
      <w:proofErr w:type="spellEnd"/>
      <w:r w:rsidRPr="007D3321">
        <w:t xml:space="preserve">, Random Forests, etc.) must be supported by a larger number of sample points uniformly distributed in multidimensional feature space to ensure the presence of one or more plausible (valid) nearest </w:t>
      </w:r>
      <w:proofErr w:type="spellStart"/>
      <w:r w:rsidRPr="007D3321">
        <w:t>neighbours</w:t>
      </w:r>
      <w:proofErr w:type="spellEnd"/>
      <w:r w:rsidRPr="007D3321">
        <w:t xml:space="preserve">. Third, ground-reference data represent the response variable in a model-based LEFI and should be collected and compiled using timber utilization standards and appraisal methods, which are compatible with the planned inventory objectives and forest management needs. Fourth, predictor (explanatory) variables selected for inclusion in any LEFI prediction model must also exist in the out-of-sample target population at the same level of precision, reliability, and spatial scale in order to maintain model integrity. Species composition, for instance, is usually directly measured on the ground at tree and plot levels for in-sample training datasets (i.e., datasets used for model specification and fitting), and derived indirectly by </w:t>
      </w:r>
      <w:proofErr w:type="spellStart"/>
      <w:r w:rsidRPr="007D3321">
        <w:t>airphoto</w:t>
      </w:r>
      <w:proofErr w:type="spellEnd"/>
      <w:r w:rsidRPr="007D3321">
        <w:t xml:space="preserve"> interpretation at the stand level for the target population. These kinds of data incompatibilities can be the source of unexpected and unknown prediction error when models are applied to new, out-of-sample datasets. Last, critical LEFI models (e.g., height, volume, biomass, etc.) should be validated at plot and stand levels across a range of forest cover types before layers are published for operational use or for appraisal purposes.</w:t>
      </w:r>
    </w:p>
    <w:p w:rsidR="00552CED" w:rsidRPr="00552CED" w:rsidRDefault="00552CED" w:rsidP="00552CED">
      <w:r w:rsidRPr="00552CED">
        <w:t xml:space="preserve">There are some advantages to the parametric approach.  Some attributes, such as height, are relatively insensitive to strata and it may be possible to develop a relatively general model, applicable over a wide area.  This would reduce the amount of calibration data required.   With a parametric model it is possible to specify the shape of the relationships and choose whether or not to include an </w:t>
      </w:r>
      <w:proofErr w:type="spellStart"/>
      <w:r w:rsidRPr="00552CED">
        <w:t>intercept or</w:t>
      </w:r>
      <w:proofErr w:type="spellEnd"/>
      <w:r w:rsidRPr="00552CED">
        <w:t xml:space="preserve"> an asymptote.</w:t>
      </w:r>
    </w:p>
    <w:p w:rsidR="00C44495" w:rsidRDefault="00552CED" w:rsidP="00552CED">
      <w:r w:rsidRPr="00552CED">
        <w:t xml:space="preserve">There are some advantages to the nonparametric approach.  In the implementation here, unsupervised training, the closest match is found in the reference dataset and used to impute all the field attributes.  This ensures the attributes are plausible and internally compatible.  RF can handle large numbers of predictor variables and collinearity among the predictors is not an issue.  There is no need to try and reduce the number of predictors.  There is generally no need for stratification since the closest match is found.  RF is generally robust to outliers.  If additional reference observations are taken, only those target observations that are now closest to the additional observations will have new predictions.  Predictions for the other targets will remain unchanged.  </w:t>
      </w:r>
    </w:p>
    <w:p w:rsidR="00552CED" w:rsidRPr="00552CED" w:rsidRDefault="00C44495" w:rsidP="00552CED">
      <w:r>
        <w:t>TBD:  Cost of the ground sampling.  Cost and benefit of LEFI</w:t>
      </w:r>
      <w:proofErr w:type="gramStart"/>
      <w:r>
        <w:t>,  things</w:t>
      </w:r>
      <w:proofErr w:type="gramEnd"/>
      <w:r>
        <w:t xml:space="preserve"> learned, district/BCTS/Licensees perspective, etc. </w:t>
      </w:r>
      <w:r w:rsidR="00552CED" w:rsidRPr="00552CED">
        <w:t xml:space="preserve"> </w:t>
      </w:r>
    </w:p>
    <w:p w:rsidR="00552CED" w:rsidRPr="00552CED" w:rsidRDefault="00552CED" w:rsidP="0069371D">
      <w:pPr>
        <w:pStyle w:val="Heading1"/>
      </w:pPr>
      <w:bookmarkStart w:id="96" w:name="_Toc446500355"/>
      <w:bookmarkStart w:id="97" w:name="_Toc449596367"/>
      <w:r w:rsidRPr="00552CED">
        <w:t>Summary</w:t>
      </w:r>
      <w:bookmarkEnd w:id="96"/>
      <w:bookmarkEnd w:id="97"/>
    </w:p>
    <w:p w:rsidR="00552CED" w:rsidRPr="00552CED" w:rsidRDefault="00552CED" w:rsidP="00552CED">
      <w:r w:rsidRPr="00552CED">
        <w:t xml:space="preserve">The gains from fitting models by strata were small.  Stratification may be more effective if, for instance, the inventory could be stratified accurately and precisely by MPB kill.  </w:t>
      </w:r>
    </w:p>
    <w:p w:rsidR="00552CED" w:rsidRPr="00552CED" w:rsidRDefault="00552CED" w:rsidP="00552CED">
      <w:r w:rsidRPr="00552CED">
        <w:t>The effect of number of ground samples was examined by comparing a parametric model using all the data (100%), 70% of the data and 50% of the data.  In terms of basal area, all led to unbiased estimates at the population level.  At the strata level, the bias increased slightly at the strata level but was not statistically significant.</w:t>
      </w:r>
    </w:p>
    <w:p w:rsidR="00552CED" w:rsidRPr="00552CED" w:rsidRDefault="00552CED" w:rsidP="00552CED">
      <w:r w:rsidRPr="00552CED">
        <w:t>Parametric predictions using 70% of the data were compared to RF predictions using 70% of the data.  Using the remaining 30% of the data as validation data, overall both methods lead to unbiased estimates.  The standard error of the RF estimates was higher than that associated with the parametric predictions.</w:t>
      </w:r>
    </w:p>
    <w:p w:rsidR="00552CED" w:rsidRDefault="00552CED" w:rsidP="00552CED">
      <w:r w:rsidRPr="00552CED">
        <w:lastRenderedPageBreak/>
        <w:t>Parametric models can be used to extrapolate beyond the range of data while RF cannot.  In unsupervised mode, RF uses the closest observation in the reference data set to impute all the dependent variable.  Thus the predictions for a target pixel are internally compatible (e.g., the relationships between the dependent variables are preserved) since they come from an actual ground measurement.</w:t>
      </w:r>
    </w:p>
    <w:p w:rsidR="00C44495" w:rsidRDefault="00993917" w:rsidP="00552CED">
      <w:r>
        <w:t xml:space="preserve">What has been accomplished in </w:t>
      </w:r>
      <w:proofErr w:type="gramStart"/>
      <w:r w:rsidR="00C44495">
        <w:t>2015:</w:t>
      </w:r>
      <w:proofErr w:type="gramEnd"/>
    </w:p>
    <w:p w:rsidR="00C44495" w:rsidRPr="00C44495" w:rsidRDefault="00C44495" w:rsidP="008E63C7">
      <w:pPr>
        <w:pStyle w:val="ListParagraph"/>
        <w:numPr>
          <w:ilvl w:val="0"/>
          <w:numId w:val="13"/>
        </w:numPr>
        <w:rPr>
          <w:rFonts w:asciiTheme="minorHAnsi" w:hAnsiTheme="minorHAnsi" w:cstheme="minorHAnsi"/>
          <w:sz w:val="20"/>
          <w:szCs w:val="20"/>
        </w:rPr>
      </w:pPr>
      <w:r w:rsidRPr="00C44495">
        <w:rPr>
          <w:rFonts w:asciiTheme="minorHAnsi" w:hAnsiTheme="minorHAnsi" w:cstheme="minorHAnsi"/>
          <w:sz w:val="20"/>
          <w:szCs w:val="20"/>
        </w:rPr>
        <w:t>Ground sampling design, ground measurements, and compilation</w:t>
      </w:r>
    </w:p>
    <w:p w:rsidR="00C44495" w:rsidRPr="00C44495" w:rsidRDefault="00C44495" w:rsidP="008E63C7">
      <w:pPr>
        <w:pStyle w:val="ListParagraph"/>
        <w:numPr>
          <w:ilvl w:val="0"/>
          <w:numId w:val="13"/>
        </w:numPr>
        <w:rPr>
          <w:rFonts w:asciiTheme="minorHAnsi" w:hAnsiTheme="minorHAnsi" w:cstheme="minorHAnsi"/>
          <w:sz w:val="20"/>
          <w:szCs w:val="20"/>
        </w:rPr>
      </w:pPr>
      <w:r w:rsidRPr="00C44495">
        <w:rPr>
          <w:rFonts w:asciiTheme="minorHAnsi" w:hAnsiTheme="minorHAnsi" w:cstheme="minorHAnsi"/>
          <w:sz w:val="20"/>
          <w:szCs w:val="20"/>
        </w:rPr>
        <w:t>LiDAR data QA, pre-processing, CHM/DTM, and LiDAR metrics</w:t>
      </w:r>
    </w:p>
    <w:p w:rsidR="00C44495" w:rsidRPr="00C44495" w:rsidRDefault="00C44495" w:rsidP="008E63C7">
      <w:pPr>
        <w:pStyle w:val="ListParagraph"/>
        <w:numPr>
          <w:ilvl w:val="0"/>
          <w:numId w:val="13"/>
        </w:numPr>
        <w:rPr>
          <w:rFonts w:asciiTheme="minorHAnsi" w:hAnsiTheme="minorHAnsi" w:cstheme="minorHAnsi"/>
          <w:sz w:val="20"/>
          <w:szCs w:val="20"/>
        </w:rPr>
      </w:pPr>
      <w:r w:rsidRPr="00C44495">
        <w:rPr>
          <w:rFonts w:asciiTheme="minorHAnsi" w:hAnsiTheme="minorHAnsi" w:cstheme="minorHAnsi"/>
          <w:sz w:val="20"/>
          <w:szCs w:val="20"/>
        </w:rPr>
        <w:t>Statistical analysis and model development</w:t>
      </w:r>
    </w:p>
    <w:p w:rsidR="00C44495" w:rsidRPr="00C44495" w:rsidRDefault="00C44495" w:rsidP="008E63C7">
      <w:pPr>
        <w:pStyle w:val="ListParagraph"/>
        <w:numPr>
          <w:ilvl w:val="0"/>
          <w:numId w:val="13"/>
        </w:numPr>
        <w:rPr>
          <w:rFonts w:asciiTheme="minorHAnsi" w:hAnsiTheme="minorHAnsi" w:cstheme="minorHAnsi"/>
          <w:sz w:val="20"/>
          <w:szCs w:val="20"/>
        </w:rPr>
      </w:pPr>
      <w:r w:rsidRPr="00C44495">
        <w:rPr>
          <w:rFonts w:asciiTheme="minorHAnsi" w:hAnsiTheme="minorHAnsi" w:cstheme="minorHAnsi"/>
          <w:sz w:val="20"/>
          <w:szCs w:val="20"/>
        </w:rPr>
        <w:t xml:space="preserve">Initial inventory products of predicted Basal Area, Quadratic Diameter, </w:t>
      </w:r>
      <w:proofErr w:type="spellStart"/>
      <w:r w:rsidRPr="00C44495">
        <w:rPr>
          <w:rFonts w:asciiTheme="minorHAnsi" w:hAnsiTheme="minorHAnsi" w:cstheme="minorHAnsi"/>
          <w:sz w:val="20"/>
          <w:szCs w:val="20"/>
        </w:rPr>
        <w:t>Lorey</w:t>
      </w:r>
      <w:proofErr w:type="spellEnd"/>
      <w:r w:rsidRPr="00C44495">
        <w:rPr>
          <w:rFonts w:asciiTheme="minorHAnsi" w:hAnsiTheme="minorHAnsi" w:cstheme="minorHAnsi"/>
          <w:sz w:val="20"/>
          <w:szCs w:val="20"/>
        </w:rPr>
        <w:t xml:space="preserve"> height, Top Height, Whole Stem Volume at 4cm, Net Volume at 12.5cm, and Dead Volume (gross at 4cm)</w:t>
      </w:r>
    </w:p>
    <w:p w:rsidR="00C44495" w:rsidRPr="00C44495" w:rsidRDefault="00C44495" w:rsidP="008E63C7">
      <w:pPr>
        <w:pStyle w:val="ListParagraph"/>
        <w:numPr>
          <w:ilvl w:val="0"/>
          <w:numId w:val="13"/>
        </w:numPr>
        <w:rPr>
          <w:rFonts w:asciiTheme="minorHAnsi" w:hAnsiTheme="minorHAnsi" w:cstheme="minorHAnsi"/>
          <w:sz w:val="20"/>
          <w:szCs w:val="20"/>
        </w:rPr>
      </w:pPr>
      <w:r w:rsidRPr="00C44495">
        <w:rPr>
          <w:rFonts w:asciiTheme="minorHAnsi" w:hAnsiTheme="minorHAnsi" w:cstheme="minorHAnsi"/>
          <w:sz w:val="20"/>
          <w:szCs w:val="20"/>
        </w:rPr>
        <w:t>The draft summary report</w:t>
      </w:r>
    </w:p>
    <w:p w:rsidR="00C44495" w:rsidRDefault="00C44495" w:rsidP="00C44495"/>
    <w:p w:rsidR="00C44495" w:rsidRDefault="00C44495" w:rsidP="00C44495">
      <w:r>
        <w:t>What is planned to be complete</w:t>
      </w:r>
      <w:r w:rsidR="00593644">
        <w:t>d</w:t>
      </w:r>
      <w:r>
        <w:t xml:space="preserve"> in 2016:</w:t>
      </w:r>
    </w:p>
    <w:p w:rsidR="00C44495" w:rsidRPr="00A83173" w:rsidRDefault="00C44495" w:rsidP="008E63C7">
      <w:pPr>
        <w:pStyle w:val="ListParagraph"/>
        <w:numPr>
          <w:ilvl w:val="0"/>
          <w:numId w:val="14"/>
        </w:numPr>
        <w:rPr>
          <w:sz w:val="20"/>
          <w:szCs w:val="20"/>
        </w:rPr>
      </w:pPr>
      <w:r w:rsidRPr="00A83173">
        <w:rPr>
          <w:rFonts w:asciiTheme="minorHAnsi" w:hAnsiTheme="minorHAnsi" w:cstheme="minorHAnsi"/>
          <w:sz w:val="20"/>
          <w:szCs w:val="20"/>
        </w:rPr>
        <w:t>LEFI integration with VRIMS</w:t>
      </w:r>
    </w:p>
    <w:p w:rsidR="00C44495" w:rsidRPr="00A83173" w:rsidRDefault="00A83173" w:rsidP="008E63C7">
      <w:pPr>
        <w:pStyle w:val="ListParagraph"/>
        <w:numPr>
          <w:ilvl w:val="0"/>
          <w:numId w:val="14"/>
        </w:numPr>
        <w:rPr>
          <w:sz w:val="20"/>
          <w:szCs w:val="20"/>
        </w:rPr>
      </w:pPr>
      <w:r w:rsidRPr="00A83173">
        <w:rPr>
          <w:rFonts w:asciiTheme="minorHAnsi" w:hAnsiTheme="minorHAnsi" w:cstheme="minorHAnsi"/>
          <w:sz w:val="20"/>
          <w:szCs w:val="20"/>
        </w:rPr>
        <w:t>New spatial products with new attribution using the non-parametric approach</w:t>
      </w:r>
    </w:p>
    <w:p w:rsidR="00A83173" w:rsidRPr="00A83173" w:rsidRDefault="00A83173" w:rsidP="008E63C7">
      <w:pPr>
        <w:pStyle w:val="ListParagraph"/>
        <w:numPr>
          <w:ilvl w:val="0"/>
          <w:numId w:val="14"/>
        </w:numPr>
        <w:rPr>
          <w:sz w:val="20"/>
          <w:szCs w:val="20"/>
        </w:rPr>
      </w:pPr>
      <w:r w:rsidRPr="00A83173">
        <w:rPr>
          <w:rFonts w:asciiTheme="minorHAnsi" w:hAnsiTheme="minorHAnsi" w:cstheme="minorHAnsi"/>
          <w:sz w:val="20"/>
          <w:szCs w:val="20"/>
        </w:rPr>
        <w:t>Evaluation and assessment (comparing the existing VRI)</w:t>
      </w:r>
    </w:p>
    <w:p w:rsidR="00A83173" w:rsidRPr="00A83173" w:rsidRDefault="00A83173" w:rsidP="008E63C7">
      <w:pPr>
        <w:pStyle w:val="ListParagraph"/>
        <w:numPr>
          <w:ilvl w:val="0"/>
          <w:numId w:val="14"/>
        </w:numPr>
        <w:rPr>
          <w:sz w:val="20"/>
          <w:szCs w:val="20"/>
        </w:rPr>
      </w:pPr>
      <w:r w:rsidRPr="00A83173">
        <w:rPr>
          <w:rFonts w:asciiTheme="minorHAnsi" w:hAnsiTheme="minorHAnsi" w:cstheme="minorHAnsi"/>
          <w:sz w:val="20"/>
          <w:szCs w:val="20"/>
        </w:rPr>
        <w:t>Implementation (seminar, demo, training workshop</w:t>
      </w:r>
      <w:r w:rsidR="00993917">
        <w:rPr>
          <w:rFonts w:asciiTheme="minorHAnsi" w:hAnsiTheme="minorHAnsi" w:cstheme="minorHAnsi"/>
          <w:sz w:val="20"/>
          <w:szCs w:val="20"/>
        </w:rPr>
        <w:t>,</w:t>
      </w:r>
      <w:r w:rsidRPr="00A83173">
        <w:rPr>
          <w:rFonts w:asciiTheme="minorHAnsi" w:hAnsiTheme="minorHAnsi" w:cstheme="minorHAnsi"/>
          <w:sz w:val="20"/>
          <w:szCs w:val="20"/>
        </w:rPr>
        <w:t xml:space="preserve"> etc</w:t>
      </w:r>
      <w:r w:rsidR="00993917">
        <w:rPr>
          <w:rFonts w:asciiTheme="minorHAnsi" w:hAnsiTheme="minorHAnsi" w:cstheme="minorHAnsi"/>
          <w:sz w:val="20"/>
          <w:szCs w:val="20"/>
        </w:rPr>
        <w:t>.</w:t>
      </w:r>
      <w:r w:rsidRPr="00A83173">
        <w:rPr>
          <w:rFonts w:asciiTheme="minorHAnsi" w:hAnsiTheme="minorHAnsi" w:cstheme="minorHAnsi"/>
          <w:sz w:val="20"/>
          <w:szCs w:val="20"/>
        </w:rPr>
        <w:t>)</w:t>
      </w:r>
    </w:p>
    <w:p w:rsidR="00A83173" w:rsidRPr="00A83173" w:rsidRDefault="00A83173" w:rsidP="008E63C7">
      <w:pPr>
        <w:pStyle w:val="ListParagraph"/>
        <w:numPr>
          <w:ilvl w:val="0"/>
          <w:numId w:val="14"/>
        </w:numPr>
        <w:rPr>
          <w:sz w:val="20"/>
          <w:szCs w:val="20"/>
        </w:rPr>
      </w:pPr>
      <w:r w:rsidRPr="00A83173">
        <w:rPr>
          <w:rFonts w:asciiTheme="minorHAnsi" w:hAnsiTheme="minorHAnsi" w:cstheme="minorHAnsi"/>
          <w:sz w:val="20"/>
          <w:szCs w:val="20"/>
        </w:rPr>
        <w:t>Final summary report</w:t>
      </w:r>
    </w:p>
    <w:p w:rsidR="00AC5D77" w:rsidRPr="00C44495" w:rsidRDefault="00AC5D77" w:rsidP="00552CED"/>
    <w:p w:rsidR="00E55516" w:rsidRDefault="00E55516" w:rsidP="00E55516">
      <w:pPr>
        <w:pStyle w:val="Heading1"/>
      </w:pPr>
      <w:bookmarkStart w:id="98" w:name="_Toc449596368"/>
      <w:r>
        <w:t>References</w:t>
      </w:r>
      <w:bookmarkEnd w:id="98"/>
    </w:p>
    <w:p w:rsidR="00E55516" w:rsidRPr="00E55516" w:rsidRDefault="00E55516" w:rsidP="00E55516"/>
    <w:p w:rsidR="00A7267C" w:rsidRDefault="00A7267C" w:rsidP="00A7267C">
      <w:proofErr w:type="spellStart"/>
      <w:r>
        <w:t>Meidinger</w:t>
      </w:r>
      <w:proofErr w:type="spellEnd"/>
      <w:r>
        <w:t xml:space="preserve">, D. and </w:t>
      </w:r>
      <w:proofErr w:type="spellStart"/>
      <w:r>
        <w:t>Pojar</w:t>
      </w:r>
      <w:proofErr w:type="spellEnd"/>
      <w:r>
        <w:t xml:space="preserve">, J. 1991. </w:t>
      </w:r>
      <w:proofErr w:type="gramStart"/>
      <w:r>
        <w:t>Ecosystems of British Colombia.</w:t>
      </w:r>
      <w:proofErr w:type="gramEnd"/>
      <w:r>
        <w:t xml:space="preserve"> </w:t>
      </w:r>
      <w:proofErr w:type="gramStart"/>
      <w:r>
        <w:t>B.C. Ministry of Forests, Victoria, B.C.</w:t>
      </w:r>
      <w:proofErr w:type="gramEnd"/>
      <w:r>
        <w:t xml:space="preserve"> </w:t>
      </w:r>
    </w:p>
    <w:p w:rsidR="007C220F" w:rsidRPr="007C220F" w:rsidRDefault="008C0369" w:rsidP="007C220F">
      <w:r w:rsidRPr="008C0369">
        <w:t xml:space="preserve">The American Society for Photogrammetry &amp; Remote Sensing (ASPRS) </w:t>
      </w:r>
      <w:proofErr w:type="spellStart"/>
      <w:r w:rsidRPr="008C0369">
        <w:t>LASer</w:t>
      </w:r>
      <w:proofErr w:type="spellEnd"/>
      <w:r w:rsidRPr="008C0369">
        <w:t xml:space="preserve"> (LAS) File Format for the interchange of 3-D point cloud data among data users</w:t>
      </w:r>
      <w:r>
        <w:t xml:space="preserve">, </w:t>
      </w:r>
      <w:r w:rsidRPr="008C0369">
        <w:t xml:space="preserve"> ASPRS LAS v1.2 Point Classification and Point Classification Flags (source: http://www.asprs.org/a/society/committees/standards/asprs_las_format_v12.pdf)</w:t>
      </w:r>
      <w:r w:rsidR="007C220F" w:rsidRPr="007C220F">
        <w:t>.</w:t>
      </w:r>
    </w:p>
    <w:p w:rsidR="008C0369" w:rsidRDefault="008C0369" w:rsidP="008C0369">
      <w:proofErr w:type="spellStart"/>
      <w:r>
        <w:t>LAStools</w:t>
      </w:r>
      <w:proofErr w:type="spellEnd"/>
      <w:r>
        <w:t xml:space="preserve"> is a comprehensive suite of open source (GNU LGPL 2.1) and commercial software tools developed by </w:t>
      </w:r>
      <w:proofErr w:type="spellStart"/>
      <w:r>
        <w:t>rapidlasso</w:t>
      </w:r>
      <w:proofErr w:type="spellEnd"/>
      <w:r>
        <w:t xml:space="preserve"> GmbH (http://rapidlasso.com/lastools/) for manipulating LiDAR data stored in LAS formatted files.</w:t>
      </w:r>
    </w:p>
    <w:p w:rsidR="007C220F" w:rsidRDefault="008C0369" w:rsidP="008C0369">
      <w:r>
        <w:t>R is a widely used open source (GNU General Public License v2) programming language and environment for statistical computing and graphics (</w:t>
      </w:r>
      <w:hyperlink r:id="rId59" w:history="1">
        <w:r w:rsidR="003B2816" w:rsidRPr="00461447">
          <w:rPr>
            <w:rStyle w:val="Hyperlink"/>
          </w:rPr>
          <w:t>https://www.r-project.org/</w:t>
        </w:r>
      </w:hyperlink>
      <w:r>
        <w:t>).</w:t>
      </w:r>
    </w:p>
    <w:p w:rsidR="003B2816" w:rsidRDefault="003B2816" w:rsidP="008C0369">
      <w:proofErr w:type="gramStart"/>
      <w:r>
        <w:t xml:space="preserve">White, J.C., Wulder, M.A., </w:t>
      </w:r>
      <w:proofErr w:type="spellStart"/>
      <w:r>
        <w:t>Varhola</w:t>
      </w:r>
      <w:proofErr w:type="spellEnd"/>
      <w:r>
        <w:t xml:space="preserve">, A. </w:t>
      </w:r>
      <w:proofErr w:type="spellStart"/>
      <w:r>
        <w:t>Vastaranta</w:t>
      </w:r>
      <w:proofErr w:type="spellEnd"/>
      <w:r>
        <w:t>, M., Coops, N.C., Cook, B.D., Pitt, D., Woods, M., 2013.</w:t>
      </w:r>
      <w:proofErr w:type="gramEnd"/>
      <w:r>
        <w:t xml:space="preserve">  A best Practices Guide for Generating Forest Inventory Attributes from Airborne Laser Scanning Data Using Area-based Approach.  Information Report FI-X-10. </w:t>
      </w:r>
      <w:proofErr w:type="gramStart"/>
      <w:r>
        <w:t xml:space="preserve">Natural Resources Canada, Canadian Forest Service, Canadian Wood </w:t>
      </w:r>
      <w:proofErr w:type="spellStart"/>
      <w:r>
        <w:t>Fibre</w:t>
      </w:r>
      <w:proofErr w:type="spellEnd"/>
      <w:r>
        <w:t xml:space="preserve"> Centre, Pacific Forestry Centre, Victoria, BC, 39 pp.</w:t>
      </w:r>
      <w:proofErr w:type="gramEnd"/>
    </w:p>
    <w:p w:rsidR="00993917" w:rsidRPr="00A7267C" w:rsidRDefault="00993917" w:rsidP="008C0369"/>
    <w:p w:rsidR="002B3792" w:rsidRDefault="00001BE6" w:rsidP="002B3792">
      <w:pPr>
        <w:pStyle w:val="Heading1"/>
      </w:pPr>
      <w:bookmarkStart w:id="99" w:name="_Toc449596369"/>
      <w:r>
        <w:t>Appendix</w:t>
      </w:r>
      <w:bookmarkEnd w:id="99"/>
    </w:p>
    <w:p w:rsidR="00173AD0" w:rsidRPr="00173AD0" w:rsidRDefault="00173AD0" w:rsidP="00173AD0"/>
    <w:sectPr w:rsidR="00173AD0" w:rsidRPr="00173AD0" w:rsidSect="003605EB">
      <w:pgSz w:w="12240" w:h="15840" w:code="1"/>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FA6" w:rsidRDefault="005C1FA6">
      <w:pPr>
        <w:spacing w:before="0"/>
      </w:pPr>
      <w:r>
        <w:separator/>
      </w:r>
    </w:p>
  </w:endnote>
  <w:endnote w:type="continuationSeparator" w:id="0">
    <w:p w:rsidR="005C1FA6" w:rsidRDefault="005C1FA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644" w:rsidRDefault="005936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93644" w:rsidRDefault="0059364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644" w:rsidRDefault="00593644">
    <w:pPr>
      <w:pStyle w:val="Footer"/>
      <w:pBdr>
        <w:top w:val="single" w:sz="4" w:space="1" w:color="auto"/>
      </w:pBdr>
      <w:tabs>
        <w:tab w:val="clear" w:pos="8640"/>
        <w:tab w:val="right" w:pos="8370"/>
      </w:tabs>
      <w:rPr>
        <w:b/>
        <w:i/>
        <w:iCs/>
        <w:sz w:val="20"/>
      </w:rPr>
    </w:pPr>
    <w:r>
      <w:rPr>
        <w:b/>
        <w:i/>
        <w:sz w:val="20"/>
      </w:rPr>
      <w:t>LEFI</w:t>
    </w:r>
    <w:r w:rsidRPr="0014663F">
      <w:rPr>
        <w:b/>
        <w:i/>
        <w:sz w:val="20"/>
      </w:rPr>
      <w:t xml:space="preserve"> Summary Report </w:t>
    </w:r>
    <w:r>
      <w:rPr>
        <w:b/>
        <w:i/>
        <w:sz w:val="20"/>
      </w:rPr>
      <w:t>April 20, 2016</w:t>
    </w:r>
    <w:r>
      <w:rPr>
        <w:b/>
        <w:i/>
        <w:sz w:val="20"/>
      </w:rPr>
      <w:tab/>
    </w:r>
    <w:r>
      <w:rPr>
        <w:b/>
        <w:i/>
        <w:sz w:val="20"/>
      </w:rPr>
      <w:tab/>
      <w:t xml:space="preserve">Page </w:t>
    </w:r>
    <w:r w:rsidRPr="00CD530D">
      <w:rPr>
        <w:rStyle w:val="PageNumber"/>
        <w:b/>
        <w:i/>
        <w:sz w:val="20"/>
      </w:rPr>
      <w:fldChar w:fldCharType="begin"/>
    </w:r>
    <w:r w:rsidRPr="00CD530D">
      <w:rPr>
        <w:rStyle w:val="PageNumber"/>
        <w:b/>
        <w:i/>
        <w:sz w:val="20"/>
      </w:rPr>
      <w:instrText xml:space="preserve"> PAGE  </w:instrText>
    </w:r>
    <w:r w:rsidRPr="00CD530D">
      <w:rPr>
        <w:rStyle w:val="PageNumber"/>
        <w:b/>
        <w:i/>
        <w:sz w:val="20"/>
      </w:rPr>
      <w:fldChar w:fldCharType="separate"/>
    </w:r>
    <w:r w:rsidR="008E0E5D">
      <w:rPr>
        <w:rStyle w:val="PageNumber"/>
        <w:b/>
        <w:i/>
        <w:noProof/>
        <w:sz w:val="20"/>
      </w:rPr>
      <w:t>23</w:t>
    </w:r>
    <w:r w:rsidRPr="00CD530D">
      <w:rPr>
        <w:rStyle w:val="PageNumber"/>
        <w:b/>
        <w:i/>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644" w:rsidRDefault="00593644">
    <w:pPr>
      <w:pStyle w:val="Footer"/>
      <w:tabs>
        <w:tab w:val="clear" w:pos="8640"/>
        <w:tab w:val="right" w:pos="8370"/>
      </w:tabs>
      <w:rPr>
        <w:b/>
        <w:i/>
        <w:iCs/>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644" w:rsidRDefault="00593644" w:rsidP="008E63C7">
    <w:pPr>
      <w:pStyle w:val="Footer"/>
      <w:numPr>
        <w:ilvl w:val="0"/>
        <w:numId w:val="8"/>
      </w:numPr>
      <w:pBdr>
        <w:top w:val="single" w:sz="4" w:space="1" w:color="auto"/>
      </w:pBdr>
      <w:tabs>
        <w:tab w:val="clear" w:pos="8640"/>
        <w:tab w:val="right" w:pos="8370"/>
      </w:tabs>
      <w:rPr>
        <w:b/>
        <w:i/>
        <w:iCs/>
        <w:sz w:val="20"/>
      </w:rPr>
    </w:pPr>
    <w:r>
      <w:rPr>
        <w:b/>
        <w:i/>
        <w:sz w:val="20"/>
      </w:rPr>
      <w:t xml:space="preserve"> Contact Xiaoping Yuan of FAIB for more information, phone: 250-953-3626, e-mail: Xiaoping.Yuan@gov.bc.ca</w:t>
    </w:r>
    <w:r>
      <w:rPr>
        <w:b/>
        <w:i/>
        <w:sz w:val="20"/>
      </w:rPr>
      <w:tab/>
    </w:r>
    <w:r>
      <w:rPr>
        <w:b/>
        <w:i/>
        <w:sz w:val="20"/>
      </w:rPr>
      <w:tab/>
      <w:t xml:space="preserve">Page </w:t>
    </w:r>
    <w:r>
      <w:rPr>
        <w:rStyle w:val="PageNumber"/>
        <w:i/>
      </w:rPr>
      <w:fldChar w:fldCharType="begin"/>
    </w:r>
    <w:r>
      <w:rPr>
        <w:rStyle w:val="PageNumber"/>
        <w:i/>
      </w:rPr>
      <w:instrText xml:space="preserve"> PAGE  </w:instrText>
    </w:r>
    <w:r>
      <w:rPr>
        <w:rStyle w:val="PageNumber"/>
        <w:i/>
      </w:rPr>
      <w:fldChar w:fldCharType="separate"/>
    </w:r>
    <w:r w:rsidR="008E0E5D">
      <w:rPr>
        <w:rStyle w:val="PageNumber"/>
        <w:i/>
        <w:noProof/>
      </w:rPr>
      <w:t>i</w:t>
    </w:r>
    <w:r>
      <w:rPr>
        <w:rStyle w:val="PageNumber"/>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FA6" w:rsidRDefault="005C1FA6">
      <w:pPr>
        <w:spacing w:before="0"/>
      </w:pPr>
      <w:r>
        <w:separator/>
      </w:r>
    </w:p>
  </w:footnote>
  <w:footnote w:type="continuationSeparator" w:id="0">
    <w:p w:rsidR="005C1FA6" w:rsidRDefault="005C1FA6">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644" w:rsidRDefault="008E0E5D">
    <w:pPr>
      <w:pStyle w:val="Figur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65623" o:spid="_x0000_s2050" type="#_x0000_t136" style="position:absolute;left:0;text-align:left;margin-left:0;margin-top:0;width:380.7pt;height:228.4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644" w:rsidRDefault="008E0E5D">
    <w:pPr>
      <w:pStyle w:val="Figur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65624" o:spid="_x0000_s2051" type="#_x0000_t136" style="position:absolute;left:0;text-align:left;margin-left:0;margin-top:0;width:380.7pt;height:228.4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644" w:rsidRDefault="008E0E5D" w:rsidP="00552CED">
    <w:pPr>
      <w:pStyle w:val="Figure"/>
      <w:numPr>
        <w:ilvl w:val="0"/>
        <w:numId w:val="0"/>
      </w:numPr>
      <w:ind w:left="28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65622" o:spid="_x0000_s2049" type="#_x0000_t136" style="position:absolute;left:0;text-align:left;margin-left:0;margin-top:0;width:380.7pt;height:228.4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644" w:rsidRDefault="008E0E5D">
    <w:pPr>
      <w:pStyle w:val="Figur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65626" o:spid="_x0000_s2053" type="#_x0000_t136" style="position:absolute;left:0;text-align:left;margin-left:0;margin-top:0;width:380.7pt;height:228.4pt;rotation:315;z-index:-25164800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644" w:rsidRDefault="008E0E5D" w:rsidP="00552CED">
    <w:pPr>
      <w:pStyle w:val="Figure"/>
      <w:numPr>
        <w:ilvl w:val="0"/>
        <w:numId w:val="0"/>
      </w:numPr>
      <w:ind w:left="28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65627" o:spid="_x0000_s2054" type="#_x0000_t136" style="position:absolute;left:0;text-align:left;margin-left:0;margin-top:0;width:380.7pt;height:228.4pt;rotation:315;z-index:-2516459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644" w:rsidRDefault="008E0E5D" w:rsidP="00552CED">
    <w:pPr>
      <w:pStyle w:val="Figure"/>
      <w:numPr>
        <w:ilvl w:val="0"/>
        <w:numId w:val="0"/>
      </w:numPr>
      <w:ind w:left="28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65625" o:spid="_x0000_s2052" type="#_x0000_t136" style="position:absolute;left:0;text-align:left;margin-left:0;margin-top:0;width:380.7pt;height:228.4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80253E"/>
    <w:lvl w:ilvl="0">
      <w:start w:val="1"/>
      <w:numFmt w:val="decimal"/>
      <w:pStyle w:val="Heading1"/>
      <w:lvlText w:val="%1."/>
      <w:lvlJc w:val="left"/>
      <w:pPr>
        <w:ind w:left="0" w:firstLine="0"/>
      </w:pPr>
      <w:rPr>
        <w:rFonts w:hint="default"/>
      </w:rPr>
    </w:lvl>
    <w:lvl w:ilvl="1">
      <w:start w:val="1"/>
      <w:numFmt w:val="decimal"/>
      <w:pStyle w:val="Heading2"/>
      <w:lvlText w:val="%1.%2"/>
      <w:lvlJc w:val="left"/>
      <w:pPr>
        <w:ind w:left="0" w:firstLine="0"/>
      </w:pPr>
      <w:rPr>
        <w:rFonts w:hint="default"/>
        <w:b/>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
    <w:nsid w:val="FFFFFFFE"/>
    <w:multiLevelType w:val="singleLevel"/>
    <w:tmpl w:val="7230327E"/>
    <w:lvl w:ilvl="0">
      <w:numFmt w:val="decimal"/>
      <w:pStyle w:val="ListBullet"/>
      <w:lvlText w:val="*"/>
      <w:lvlJc w:val="left"/>
    </w:lvl>
  </w:abstractNum>
  <w:abstractNum w:abstractNumId="2">
    <w:nsid w:val="07ED39D7"/>
    <w:multiLevelType w:val="hybridMultilevel"/>
    <w:tmpl w:val="6D88570C"/>
    <w:lvl w:ilvl="0" w:tplc="8BBC266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62246D1"/>
    <w:multiLevelType w:val="hybridMultilevel"/>
    <w:tmpl w:val="339A1526"/>
    <w:lvl w:ilvl="0" w:tplc="55D8D8BA">
      <w:start w:val="1"/>
      <w:numFmt w:val="decimal"/>
      <w:pStyle w:val="Figure"/>
      <w:lvlText w:val="Figure %1."/>
      <w:lvlJc w:val="left"/>
      <w:pPr>
        <w:tabs>
          <w:tab w:val="num" w:pos="57"/>
        </w:tabs>
        <w:ind w:left="284" w:hanging="284"/>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A42F1"/>
    <w:multiLevelType w:val="hybridMultilevel"/>
    <w:tmpl w:val="CB48249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1EC0BED"/>
    <w:multiLevelType w:val="hybridMultilevel"/>
    <w:tmpl w:val="2F0EA204"/>
    <w:lvl w:ilvl="0" w:tplc="04090001">
      <w:start w:val="1"/>
      <w:numFmt w:val="decimal"/>
      <w:pStyle w:val="Table"/>
      <w:lvlText w:val="Table %1."/>
      <w:lvlJc w:val="left"/>
      <w:pPr>
        <w:ind w:left="360" w:hanging="360"/>
      </w:pPr>
      <w:rPr>
        <w:rFonts w:ascii="Calibri" w:hAnsi="Calibri" w:hint="default"/>
        <w:b/>
        <w:i w:val="0"/>
        <w:caps w:val="0"/>
        <w:strike w:val="0"/>
        <w:dstrike w:val="0"/>
        <w:vanish w:val="0"/>
        <w:sz w:val="20"/>
        <w:vertAlign w:val="baseline"/>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
    <w:nsid w:val="23257F60"/>
    <w:multiLevelType w:val="hybridMultilevel"/>
    <w:tmpl w:val="43EAB57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37D3810"/>
    <w:multiLevelType w:val="singleLevel"/>
    <w:tmpl w:val="E4E6086C"/>
    <w:lvl w:ilvl="0">
      <w:start w:val="1"/>
      <w:numFmt w:val="bullet"/>
      <w:pStyle w:val="bullet"/>
      <w:lvlText w:val=""/>
      <w:lvlJc w:val="left"/>
      <w:pPr>
        <w:tabs>
          <w:tab w:val="num" w:pos="360"/>
        </w:tabs>
        <w:ind w:left="360" w:hanging="360"/>
      </w:pPr>
      <w:rPr>
        <w:rFonts w:ascii="Wingdings" w:hAnsi="Wingdings" w:hint="default"/>
      </w:rPr>
    </w:lvl>
  </w:abstractNum>
  <w:abstractNum w:abstractNumId="8">
    <w:nsid w:val="327E3B66"/>
    <w:multiLevelType w:val="hybridMultilevel"/>
    <w:tmpl w:val="E96A146C"/>
    <w:lvl w:ilvl="0" w:tplc="EB9206FA">
      <w:start w:val="1"/>
      <w:numFmt w:val="decimal"/>
      <w:pStyle w:val="equation"/>
      <w:lvlText w:val="(eqn. %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9">
    <w:nsid w:val="598B64C0"/>
    <w:multiLevelType w:val="hybridMultilevel"/>
    <w:tmpl w:val="4A587B62"/>
    <w:lvl w:ilvl="0" w:tplc="65BA079C">
      <w:start w:val="1"/>
      <w:numFmt w:val="decimal"/>
      <w:pStyle w:val="table0"/>
      <w:lvlText w:val="Table %1."/>
      <w:lvlJc w:val="left"/>
      <w:pPr>
        <w:ind w:left="360" w:hanging="36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20"/>
        <w:szCs w:val="0"/>
        <w:u w:val="none"/>
        <w:vertAlign w:val="baseline"/>
        <w:em w:val="none"/>
      </w:rPr>
    </w:lvl>
    <w:lvl w:ilvl="1" w:tplc="10090003">
      <w:start w:val="1"/>
      <w:numFmt w:val="decimal"/>
      <w:lvlText w:val="%2."/>
      <w:lvlJc w:val="left"/>
      <w:pPr>
        <w:tabs>
          <w:tab w:val="num" w:pos="1440"/>
        </w:tabs>
        <w:ind w:left="1440" w:hanging="360"/>
      </w:pPr>
    </w:lvl>
    <w:lvl w:ilvl="2" w:tplc="10090005" w:tentative="1">
      <w:start w:val="1"/>
      <w:numFmt w:val="lowerRoman"/>
      <w:lvlText w:val="%3."/>
      <w:lvlJc w:val="right"/>
      <w:pPr>
        <w:tabs>
          <w:tab w:val="num" w:pos="2160"/>
        </w:tabs>
        <w:ind w:left="2160" w:hanging="180"/>
      </w:pPr>
    </w:lvl>
    <w:lvl w:ilvl="3" w:tplc="10090001" w:tentative="1">
      <w:start w:val="1"/>
      <w:numFmt w:val="decimal"/>
      <w:lvlText w:val="%4."/>
      <w:lvlJc w:val="left"/>
      <w:pPr>
        <w:tabs>
          <w:tab w:val="num" w:pos="2880"/>
        </w:tabs>
        <w:ind w:left="2880" w:hanging="360"/>
      </w:pPr>
    </w:lvl>
    <w:lvl w:ilvl="4" w:tplc="10090003" w:tentative="1">
      <w:start w:val="1"/>
      <w:numFmt w:val="lowerLetter"/>
      <w:lvlText w:val="%5."/>
      <w:lvlJc w:val="left"/>
      <w:pPr>
        <w:tabs>
          <w:tab w:val="num" w:pos="3600"/>
        </w:tabs>
        <w:ind w:left="3600" w:hanging="360"/>
      </w:pPr>
    </w:lvl>
    <w:lvl w:ilvl="5" w:tplc="10090005" w:tentative="1">
      <w:start w:val="1"/>
      <w:numFmt w:val="lowerRoman"/>
      <w:lvlText w:val="%6."/>
      <w:lvlJc w:val="right"/>
      <w:pPr>
        <w:tabs>
          <w:tab w:val="num" w:pos="4320"/>
        </w:tabs>
        <w:ind w:left="4320" w:hanging="180"/>
      </w:pPr>
    </w:lvl>
    <w:lvl w:ilvl="6" w:tplc="10090001" w:tentative="1">
      <w:start w:val="1"/>
      <w:numFmt w:val="decimal"/>
      <w:lvlText w:val="%7."/>
      <w:lvlJc w:val="left"/>
      <w:pPr>
        <w:tabs>
          <w:tab w:val="num" w:pos="5040"/>
        </w:tabs>
        <w:ind w:left="5040" w:hanging="360"/>
      </w:pPr>
    </w:lvl>
    <w:lvl w:ilvl="7" w:tplc="10090003" w:tentative="1">
      <w:start w:val="1"/>
      <w:numFmt w:val="lowerLetter"/>
      <w:lvlText w:val="%8."/>
      <w:lvlJc w:val="left"/>
      <w:pPr>
        <w:tabs>
          <w:tab w:val="num" w:pos="5760"/>
        </w:tabs>
        <w:ind w:left="5760" w:hanging="360"/>
      </w:pPr>
    </w:lvl>
    <w:lvl w:ilvl="8" w:tplc="10090005" w:tentative="1">
      <w:start w:val="1"/>
      <w:numFmt w:val="lowerRoman"/>
      <w:lvlText w:val="%9."/>
      <w:lvlJc w:val="right"/>
      <w:pPr>
        <w:tabs>
          <w:tab w:val="num" w:pos="6480"/>
        </w:tabs>
        <w:ind w:left="6480" w:hanging="180"/>
      </w:pPr>
    </w:lvl>
  </w:abstractNum>
  <w:abstractNum w:abstractNumId="10">
    <w:nsid w:val="612B7145"/>
    <w:multiLevelType w:val="hybridMultilevel"/>
    <w:tmpl w:val="8BAE2976"/>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11">
    <w:nsid w:val="7BDB5BCB"/>
    <w:multiLevelType w:val="hybridMultilevel"/>
    <w:tmpl w:val="A926B3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7C9A60B4"/>
    <w:multiLevelType w:val="hybridMultilevel"/>
    <w:tmpl w:val="45EE1B90"/>
    <w:lvl w:ilvl="0" w:tplc="DA3E1D58">
      <w:start w:val="1"/>
      <w:numFmt w:val="decimal"/>
      <w:lvlText w:val="(%1)"/>
      <w:lvlJc w:val="right"/>
      <w:pPr>
        <w:ind w:left="720" w:hanging="360"/>
      </w:pPr>
      <w:rPr>
        <w:rFonts w:hint="default"/>
      </w:rPr>
    </w:lvl>
    <w:lvl w:ilvl="1" w:tplc="04090019">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lvlOverride w:ilvl="0">
      <w:lvl w:ilvl="0">
        <w:start w:val="1"/>
        <w:numFmt w:val="bullet"/>
        <w:pStyle w:val="ListBullet"/>
        <w:lvlText w:val=""/>
        <w:legacy w:legacy="1" w:legacySpace="0" w:legacyIndent="360"/>
        <w:lvlJc w:val="left"/>
        <w:pPr>
          <w:ind w:left="360" w:hanging="360"/>
        </w:pPr>
        <w:rPr>
          <w:rFonts w:ascii="Symbol" w:hAnsi="Symbol" w:hint="default"/>
        </w:rPr>
      </w:lvl>
    </w:lvlOverride>
  </w:num>
  <w:num w:numId="3">
    <w:abstractNumId w:val="7"/>
  </w:num>
  <w:num w:numId="4">
    <w:abstractNumId w:val="9"/>
  </w:num>
  <w:num w:numId="5">
    <w:abstractNumId w:val="8"/>
  </w:num>
  <w:num w:numId="6">
    <w:abstractNumId w:val="3"/>
  </w:num>
  <w:num w:numId="7">
    <w:abstractNumId w:val="5"/>
  </w:num>
  <w:num w:numId="8">
    <w:abstractNumId w:val="6"/>
  </w:num>
  <w:num w:numId="9">
    <w:abstractNumId w:val="12"/>
  </w:num>
  <w:num w:numId="10">
    <w:abstractNumId w:val="12"/>
    <w:lvlOverride w:ilvl="0">
      <w:startOverride w:val="1"/>
    </w:lvlOverride>
  </w:num>
  <w:num w:numId="11">
    <w:abstractNumId w:val="2"/>
  </w:num>
  <w:num w:numId="12">
    <w:abstractNumId w:val="4"/>
  </w:num>
  <w:num w:numId="13">
    <w:abstractNumId w:val="11"/>
  </w:num>
  <w:num w:numId="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B62"/>
    <w:rsid w:val="00001BE6"/>
    <w:rsid w:val="00003DC5"/>
    <w:rsid w:val="00007F1D"/>
    <w:rsid w:val="00010FB2"/>
    <w:rsid w:val="00013D86"/>
    <w:rsid w:val="00020654"/>
    <w:rsid w:val="000208F4"/>
    <w:rsid w:val="000220B6"/>
    <w:rsid w:val="00023C6B"/>
    <w:rsid w:val="00026A95"/>
    <w:rsid w:val="00030B5D"/>
    <w:rsid w:val="0003245A"/>
    <w:rsid w:val="000371E5"/>
    <w:rsid w:val="000426AC"/>
    <w:rsid w:val="00045593"/>
    <w:rsid w:val="000464F0"/>
    <w:rsid w:val="000478B9"/>
    <w:rsid w:val="0005497A"/>
    <w:rsid w:val="000569B2"/>
    <w:rsid w:val="00057AB8"/>
    <w:rsid w:val="00060D36"/>
    <w:rsid w:val="000619FD"/>
    <w:rsid w:val="000627B6"/>
    <w:rsid w:val="00064BE1"/>
    <w:rsid w:val="00066320"/>
    <w:rsid w:val="00067375"/>
    <w:rsid w:val="000703C4"/>
    <w:rsid w:val="00071EC4"/>
    <w:rsid w:val="00071EDE"/>
    <w:rsid w:val="000736FD"/>
    <w:rsid w:val="0007512E"/>
    <w:rsid w:val="00084B16"/>
    <w:rsid w:val="00084C0B"/>
    <w:rsid w:val="00084FC3"/>
    <w:rsid w:val="00094C93"/>
    <w:rsid w:val="00096E99"/>
    <w:rsid w:val="00097520"/>
    <w:rsid w:val="000A238F"/>
    <w:rsid w:val="000A2903"/>
    <w:rsid w:val="000A4F6F"/>
    <w:rsid w:val="000A6010"/>
    <w:rsid w:val="000C2343"/>
    <w:rsid w:val="000C4AE1"/>
    <w:rsid w:val="000C6DAF"/>
    <w:rsid w:val="000D69DC"/>
    <w:rsid w:val="000D7040"/>
    <w:rsid w:val="000E1A6D"/>
    <w:rsid w:val="000E287B"/>
    <w:rsid w:val="000E306A"/>
    <w:rsid w:val="000E4A1C"/>
    <w:rsid w:val="000E516D"/>
    <w:rsid w:val="000F1DDB"/>
    <w:rsid w:val="000F30BE"/>
    <w:rsid w:val="000F3D92"/>
    <w:rsid w:val="000F6FC5"/>
    <w:rsid w:val="000F730D"/>
    <w:rsid w:val="001024E2"/>
    <w:rsid w:val="00102A71"/>
    <w:rsid w:val="00103FDD"/>
    <w:rsid w:val="00112DEF"/>
    <w:rsid w:val="001144E9"/>
    <w:rsid w:val="001173F0"/>
    <w:rsid w:val="001261DA"/>
    <w:rsid w:val="00126E2D"/>
    <w:rsid w:val="001325C3"/>
    <w:rsid w:val="001326D8"/>
    <w:rsid w:val="00136853"/>
    <w:rsid w:val="00146364"/>
    <w:rsid w:val="0014663F"/>
    <w:rsid w:val="00146C91"/>
    <w:rsid w:val="00156372"/>
    <w:rsid w:val="00160BA1"/>
    <w:rsid w:val="001656A1"/>
    <w:rsid w:val="00167B67"/>
    <w:rsid w:val="00173AD0"/>
    <w:rsid w:val="00182FFE"/>
    <w:rsid w:val="00183B52"/>
    <w:rsid w:val="0018448D"/>
    <w:rsid w:val="00184A60"/>
    <w:rsid w:val="0018636F"/>
    <w:rsid w:val="00193AFF"/>
    <w:rsid w:val="00195DC4"/>
    <w:rsid w:val="001A02C5"/>
    <w:rsid w:val="001A0721"/>
    <w:rsid w:val="001A262A"/>
    <w:rsid w:val="001A6DD6"/>
    <w:rsid w:val="001B17DC"/>
    <w:rsid w:val="001B2B14"/>
    <w:rsid w:val="001B5D86"/>
    <w:rsid w:val="001B694D"/>
    <w:rsid w:val="001C1EED"/>
    <w:rsid w:val="001C6584"/>
    <w:rsid w:val="001D2ED6"/>
    <w:rsid w:val="001D4087"/>
    <w:rsid w:val="001E109E"/>
    <w:rsid w:val="001E19F5"/>
    <w:rsid w:val="001E4B62"/>
    <w:rsid w:val="001E59D1"/>
    <w:rsid w:val="001E77B0"/>
    <w:rsid w:val="001F4032"/>
    <w:rsid w:val="001F44B4"/>
    <w:rsid w:val="001F66F5"/>
    <w:rsid w:val="001F7400"/>
    <w:rsid w:val="002011EF"/>
    <w:rsid w:val="00203A7E"/>
    <w:rsid w:val="002041B7"/>
    <w:rsid w:val="00205C13"/>
    <w:rsid w:val="00205C84"/>
    <w:rsid w:val="0020778B"/>
    <w:rsid w:val="00215D29"/>
    <w:rsid w:val="00216178"/>
    <w:rsid w:val="002170E3"/>
    <w:rsid w:val="00220145"/>
    <w:rsid w:val="002211CC"/>
    <w:rsid w:val="00223A42"/>
    <w:rsid w:val="00226604"/>
    <w:rsid w:val="0023478C"/>
    <w:rsid w:val="00234CCD"/>
    <w:rsid w:val="002358BE"/>
    <w:rsid w:val="002371B4"/>
    <w:rsid w:val="00237CD4"/>
    <w:rsid w:val="002405F5"/>
    <w:rsid w:val="002438CF"/>
    <w:rsid w:val="002441E8"/>
    <w:rsid w:val="00245CF1"/>
    <w:rsid w:val="00247801"/>
    <w:rsid w:val="00251C16"/>
    <w:rsid w:val="00254F77"/>
    <w:rsid w:val="00255940"/>
    <w:rsid w:val="002667D1"/>
    <w:rsid w:val="00267B31"/>
    <w:rsid w:val="002717DC"/>
    <w:rsid w:val="002719AB"/>
    <w:rsid w:val="00276932"/>
    <w:rsid w:val="00287C63"/>
    <w:rsid w:val="00291FC1"/>
    <w:rsid w:val="00295A6C"/>
    <w:rsid w:val="00296039"/>
    <w:rsid w:val="002A27BC"/>
    <w:rsid w:val="002A2877"/>
    <w:rsid w:val="002A404A"/>
    <w:rsid w:val="002A5597"/>
    <w:rsid w:val="002B3792"/>
    <w:rsid w:val="002B47B4"/>
    <w:rsid w:val="002B5BFA"/>
    <w:rsid w:val="002B5DEC"/>
    <w:rsid w:val="002B6AE6"/>
    <w:rsid w:val="002C1CB6"/>
    <w:rsid w:val="002C6D45"/>
    <w:rsid w:val="002C6D49"/>
    <w:rsid w:val="002D0AFC"/>
    <w:rsid w:val="002D214B"/>
    <w:rsid w:val="002D2540"/>
    <w:rsid w:val="002E07D7"/>
    <w:rsid w:val="002E147C"/>
    <w:rsid w:val="002E17CD"/>
    <w:rsid w:val="002E1E49"/>
    <w:rsid w:val="002E3C83"/>
    <w:rsid w:val="002E4B92"/>
    <w:rsid w:val="002E7EE4"/>
    <w:rsid w:val="002F34AE"/>
    <w:rsid w:val="00303CFF"/>
    <w:rsid w:val="003044D4"/>
    <w:rsid w:val="003047C3"/>
    <w:rsid w:val="003047D9"/>
    <w:rsid w:val="00311BA4"/>
    <w:rsid w:val="00312065"/>
    <w:rsid w:val="00314848"/>
    <w:rsid w:val="00315023"/>
    <w:rsid w:val="00317728"/>
    <w:rsid w:val="003243A7"/>
    <w:rsid w:val="00325CC8"/>
    <w:rsid w:val="00330148"/>
    <w:rsid w:val="00331BDC"/>
    <w:rsid w:val="00337616"/>
    <w:rsid w:val="003527D0"/>
    <w:rsid w:val="00353678"/>
    <w:rsid w:val="003605EB"/>
    <w:rsid w:val="00360F4A"/>
    <w:rsid w:val="00361576"/>
    <w:rsid w:val="0036579A"/>
    <w:rsid w:val="00366E3E"/>
    <w:rsid w:val="00371EFD"/>
    <w:rsid w:val="00373FC6"/>
    <w:rsid w:val="00374AF8"/>
    <w:rsid w:val="00375ECD"/>
    <w:rsid w:val="00382738"/>
    <w:rsid w:val="003908E5"/>
    <w:rsid w:val="00392DD1"/>
    <w:rsid w:val="00395E37"/>
    <w:rsid w:val="003962A7"/>
    <w:rsid w:val="003A3CA4"/>
    <w:rsid w:val="003A5092"/>
    <w:rsid w:val="003B2816"/>
    <w:rsid w:val="003C172A"/>
    <w:rsid w:val="003C2E4D"/>
    <w:rsid w:val="003C4665"/>
    <w:rsid w:val="003C789D"/>
    <w:rsid w:val="003D4C55"/>
    <w:rsid w:val="003D50E1"/>
    <w:rsid w:val="003D7EFB"/>
    <w:rsid w:val="003E0B8C"/>
    <w:rsid w:val="003E33C4"/>
    <w:rsid w:val="003E557E"/>
    <w:rsid w:val="003E5B10"/>
    <w:rsid w:val="003E6F14"/>
    <w:rsid w:val="003F0C5E"/>
    <w:rsid w:val="003F6EA8"/>
    <w:rsid w:val="0040293F"/>
    <w:rsid w:val="004032AC"/>
    <w:rsid w:val="00404E3F"/>
    <w:rsid w:val="00412FDB"/>
    <w:rsid w:val="00416FFC"/>
    <w:rsid w:val="00420AA2"/>
    <w:rsid w:val="00421E8C"/>
    <w:rsid w:val="00423DAC"/>
    <w:rsid w:val="00427597"/>
    <w:rsid w:val="00431BDE"/>
    <w:rsid w:val="004320FA"/>
    <w:rsid w:val="00434EE1"/>
    <w:rsid w:val="00442A79"/>
    <w:rsid w:val="004447E5"/>
    <w:rsid w:val="004450EF"/>
    <w:rsid w:val="00453BF2"/>
    <w:rsid w:val="00453C7B"/>
    <w:rsid w:val="0045555F"/>
    <w:rsid w:val="00456870"/>
    <w:rsid w:val="00456A66"/>
    <w:rsid w:val="00460128"/>
    <w:rsid w:val="00461431"/>
    <w:rsid w:val="00462243"/>
    <w:rsid w:val="00466ECD"/>
    <w:rsid w:val="0047067E"/>
    <w:rsid w:val="0047587B"/>
    <w:rsid w:val="0047613F"/>
    <w:rsid w:val="0049028D"/>
    <w:rsid w:val="00493B20"/>
    <w:rsid w:val="004A37C7"/>
    <w:rsid w:val="004A390A"/>
    <w:rsid w:val="004A3B3D"/>
    <w:rsid w:val="004A468D"/>
    <w:rsid w:val="004A4CE3"/>
    <w:rsid w:val="004A6576"/>
    <w:rsid w:val="004B0754"/>
    <w:rsid w:val="004B5A20"/>
    <w:rsid w:val="004C1E22"/>
    <w:rsid w:val="004C417C"/>
    <w:rsid w:val="004C564D"/>
    <w:rsid w:val="004C644F"/>
    <w:rsid w:val="004C695A"/>
    <w:rsid w:val="004D0254"/>
    <w:rsid w:val="004D6651"/>
    <w:rsid w:val="004E01A3"/>
    <w:rsid w:val="004E1274"/>
    <w:rsid w:val="004E1B85"/>
    <w:rsid w:val="004E2A23"/>
    <w:rsid w:val="004E4508"/>
    <w:rsid w:val="004E50F1"/>
    <w:rsid w:val="004E5B64"/>
    <w:rsid w:val="004F3EC1"/>
    <w:rsid w:val="004F6671"/>
    <w:rsid w:val="005017C7"/>
    <w:rsid w:val="005023B4"/>
    <w:rsid w:val="00505920"/>
    <w:rsid w:val="005118A4"/>
    <w:rsid w:val="00511A63"/>
    <w:rsid w:val="005121A1"/>
    <w:rsid w:val="00514574"/>
    <w:rsid w:val="005178D1"/>
    <w:rsid w:val="00520C23"/>
    <w:rsid w:val="00522DF4"/>
    <w:rsid w:val="00523BFF"/>
    <w:rsid w:val="005250B5"/>
    <w:rsid w:val="00527BE3"/>
    <w:rsid w:val="00527F5D"/>
    <w:rsid w:val="00530055"/>
    <w:rsid w:val="0053250F"/>
    <w:rsid w:val="005345E7"/>
    <w:rsid w:val="005379AC"/>
    <w:rsid w:val="00543946"/>
    <w:rsid w:val="00545986"/>
    <w:rsid w:val="00550C2D"/>
    <w:rsid w:val="00552CED"/>
    <w:rsid w:val="005543AF"/>
    <w:rsid w:val="0055478B"/>
    <w:rsid w:val="0056434B"/>
    <w:rsid w:val="00566375"/>
    <w:rsid w:val="00567355"/>
    <w:rsid w:val="005721A1"/>
    <w:rsid w:val="00574D17"/>
    <w:rsid w:val="00593644"/>
    <w:rsid w:val="005A0A8D"/>
    <w:rsid w:val="005A254B"/>
    <w:rsid w:val="005A2D04"/>
    <w:rsid w:val="005A4D6E"/>
    <w:rsid w:val="005A4E3B"/>
    <w:rsid w:val="005A7689"/>
    <w:rsid w:val="005B0D31"/>
    <w:rsid w:val="005B6329"/>
    <w:rsid w:val="005B6779"/>
    <w:rsid w:val="005B6787"/>
    <w:rsid w:val="005C0E08"/>
    <w:rsid w:val="005C1FA6"/>
    <w:rsid w:val="005C2357"/>
    <w:rsid w:val="005C50E2"/>
    <w:rsid w:val="005C5E44"/>
    <w:rsid w:val="005D1CD3"/>
    <w:rsid w:val="005D3D48"/>
    <w:rsid w:val="005D67CD"/>
    <w:rsid w:val="005D7BC8"/>
    <w:rsid w:val="005E4FF3"/>
    <w:rsid w:val="005E7519"/>
    <w:rsid w:val="005F1893"/>
    <w:rsid w:val="005F30FB"/>
    <w:rsid w:val="005F456B"/>
    <w:rsid w:val="00601150"/>
    <w:rsid w:val="006043CE"/>
    <w:rsid w:val="00605624"/>
    <w:rsid w:val="006067DF"/>
    <w:rsid w:val="0061064A"/>
    <w:rsid w:val="00611038"/>
    <w:rsid w:val="006161DD"/>
    <w:rsid w:val="006212CC"/>
    <w:rsid w:val="00622910"/>
    <w:rsid w:val="006254B9"/>
    <w:rsid w:val="0062713F"/>
    <w:rsid w:val="006314EE"/>
    <w:rsid w:val="00631F1B"/>
    <w:rsid w:val="00632C83"/>
    <w:rsid w:val="0063310E"/>
    <w:rsid w:val="00634188"/>
    <w:rsid w:val="00637A89"/>
    <w:rsid w:val="00643639"/>
    <w:rsid w:val="00644B92"/>
    <w:rsid w:val="0065284B"/>
    <w:rsid w:val="00655C4F"/>
    <w:rsid w:val="00660600"/>
    <w:rsid w:val="006644C9"/>
    <w:rsid w:val="00664F11"/>
    <w:rsid w:val="00673D61"/>
    <w:rsid w:val="00676549"/>
    <w:rsid w:val="00677EF1"/>
    <w:rsid w:val="006819C4"/>
    <w:rsid w:val="00692099"/>
    <w:rsid w:val="006930CE"/>
    <w:rsid w:val="0069371D"/>
    <w:rsid w:val="00697538"/>
    <w:rsid w:val="006A2562"/>
    <w:rsid w:val="006A4250"/>
    <w:rsid w:val="006A46E9"/>
    <w:rsid w:val="006A4C9B"/>
    <w:rsid w:val="006B0747"/>
    <w:rsid w:val="006B0786"/>
    <w:rsid w:val="006B1F0C"/>
    <w:rsid w:val="006B48D5"/>
    <w:rsid w:val="006B6EA7"/>
    <w:rsid w:val="006C14E6"/>
    <w:rsid w:val="006C1E82"/>
    <w:rsid w:val="006C4FEE"/>
    <w:rsid w:val="006D0634"/>
    <w:rsid w:val="006D18D9"/>
    <w:rsid w:val="006D6C59"/>
    <w:rsid w:val="006E3579"/>
    <w:rsid w:val="006E422C"/>
    <w:rsid w:val="006E58E5"/>
    <w:rsid w:val="006F4DE9"/>
    <w:rsid w:val="006F5644"/>
    <w:rsid w:val="006F766F"/>
    <w:rsid w:val="006F7A4B"/>
    <w:rsid w:val="00700115"/>
    <w:rsid w:val="007009C5"/>
    <w:rsid w:val="00702ACF"/>
    <w:rsid w:val="00702B01"/>
    <w:rsid w:val="00703D40"/>
    <w:rsid w:val="00704FC6"/>
    <w:rsid w:val="0071408D"/>
    <w:rsid w:val="00717A5C"/>
    <w:rsid w:val="00733631"/>
    <w:rsid w:val="007340E9"/>
    <w:rsid w:val="00734D97"/>
    <w:rsid w:val="00735AAF"/>
    <w:rsid w:val="00740A3E"/>
    <w:rsid w:val="0074182A"/>
    <w:rsid w:val="007423DF"/>
    <w:rsid w:val="007426BB"/>
    <w:rsid w:val="00743643"/>
    <w:rsid w:val="007451F8"/>
    <w:rsid w:val="0074629D"/>
    <w:rsid w:val="007475DC"/>
    <w:rsid w:val="007545F8"/>
    <w:rsid w:val="00754DB9"/>
    <w:rsid w:val="007578ED"/>
    <w:rsid w:val="0076176B"/>
    <w:rsid w:val="00761882"/>
    <w:rsid w:val="0076218A"/>
    <w:rsid w:val="00763B9D"/>
    <w:rsid w:val="00763CC9"/>
    <w:rsid w:val="007667B4"/>
    <w:rsid w:val="00770597"/>
    <w:rsid w:val="0077308C"/>
    <w:rsid w:val="007749FE"/>
    <w:rsid w:val="007838AD"/>
    <w:rsid w:val="00786997"/>
    <w:rsid w:val="00787D0A"/>
    <w:rsid w:val="00790689"/>
    <w:rsid w:val="00791AF5"/>
    <w:rsid w:val="00794EC1"/>
    <w:rsid w:val="00795015"/>
    <w:rsid w:val="007971F8"/>
    <w:rsid w:val="00797EFF"/>
    <w:rsid w:val="007A02E4"/>
    <w:rsid w:val="007A336B"/>
    <w:rsid w:val="007A4D8F"/>
    <w:rsid w:val="007B0DC3"/>
    <w:rsid w:val="007B0E9A"/>
    <w:rsid w:val="007B116A"/>
    <w:rsid w:val="007B1ABC"/>
    <w:rsid w:val="007B2442"/>
    <w:rsid w:val="007B6FB5"/>
    <w:rsid w:val="007C220F"/>
    <w:rsid w:val="007C3AFA"/>
    <w:rsid w:val="007D16BD"/>
    <w:rsid w:val="007D28F1"/>
    <w:rsid w:val="007D3321"/>
    <w:rsid w:val="007D53ED"/>
    <w:rsid w:val="007D65C1"/>
    <w:rsid w:val="007E2B66"/>
    <w:rsid w:val="007E2C82"/>
    <w:rsid w:val="007F1817"/>
    <w:rsid w:val="007F7AEE"/>
    <w:rsid w:val="007F7FD5"/>
    <w:rsid w:val="0080087A"/>
    <w:rsid w:val="008030C5"/>
    <w:rsid w:val="00803667"/>
    <w:rsid w:val="00803D79"/>
    <w:rsid w:val="00805190"/>
    <w:rsid w:val="008062EA"/>
    <w:rsid w:val="00810422"/>
    <w:rsid w:val="008132BC"/>
    <w:rsid w:val="00816134"/>
    <w:rsid w:val="00816508"/>
    <w:rsid w:val="00816728"/>
    <w:rsid w:val="00817A45"/>
    <w:rsid w:val="00820049"/>
    <w:rsid w:val="00824367"/>
    <w:rsid w:val="00825597"/>
    <w:rsid w:val="008315B8"/>
    <w:rsid w:val="008338E6"/>
    <w:rsid w:val="00833D8A"/>
    <w:rsid w:val="0083474E"/>
    <w:rsid w:val="00844042"/>
    <w:rsid w:val="0084517F"/>
    <w:rsid w:val="008505D3"/>
    <w:rsid w:val="008514FA"/>
    <w:rsid w:val="0085377D"/>
    <w:rsid w:val="00853F2C"/>
    <w:rsid w:val="00864BDC"/>
    <w:rsid w:val="0086598D"/>
    <w:rsid w:val="0086798C"/>
    <w:rsid w:val="00871139"/>
    <w:rsid w:val="0087154A"/>
    <w:rsid w:val="00871892"/>
    <w:rsid w:val="0087199A"/>
    <w:rsid w:val="00871C7B"/>
    <w:rsid w:val="00873879"/>
    <w:rsid w:val="00881096"/>
    <w:rsid w:val="008820CE"/>
    <w:rsid w:val="00882230"/>
    <w:rsid w:val="008862B2"/>
    <w:rsid w:val="008911BE"/>
    <w:rsid w:val="00891FB0"/>
    <w:rsid w:val="008924CB"/>
    <w:rsid w:val="0089458C"/>
    <w:rsid w:val="0089464B"/>
    <w:rsid w:val="008A6232"/>
    <w:rsid w:val="008B50EC"/>
    <w:rsid w:val="008C0369"/>
    <w:rsid w:val="008C0953"/>
    <w:rsid w:val="008C3016"/>
    <w:rsid w:val="008C342A"/>
    <w:rsid w:val="008C6E12"/>
    <w:rsid w:val="008C7D6A"/>
    <w:rsid w:val="008D05FB"/>
    <w:rsid w:val="008D1751"/>
    <w:rsid w:val="008D5AF3"/>
    <w:rsid w:val="008D7274"/>
    <w:rsid w:val="008E04EC"/>
    <w:rsid w:val="008E0E5D"/>
    <w:rsid w:val="008E3EEA"/>
    <w:rsid w:val="008E5E35"/>
    <w:rsid w:val="008E63C7"/>
    <w:rsid w:val="00902C3A"/>
    <w:rsid w:val="00903C57"/>
    <w:rsid w:val="00904411"/>
    <w:rsid w:val="00907590"/>
    <w:rsid w:val="00914F32"/>
    <w:rsid w:val="00915223"/>
    <w:rsid w:val="00920149"/>
    <w:rsid w:val="00920350"/>
    <w:rsid w:val="0092275B"/>
    <w:rsid w:val="009244FB"/>
    <w:rsid w:val="00924A5A"/>
    <w:rsid w:val="009271E0"/>
    <w:rsid w:val="00927B82"/>
    <w:rsid w:val="009304FC"/>
    <w:rsid w:val="00930827"/>
    <w:rsid w:val="00933C97"/>
    <w:rsid w:val="00945175"/>
    <w:rsid w:val="00945CB4"/>
    <w:rsid w:val="00946F15"/>
    <w:rsid w:val="00951082"/>
    <w:rsid w:val="00953425"/>
    <w:rsid w:val="009615EE"/>
    <w:rsid w:val="009655F0"/>
    <w:rsid w:val="00965971"/>
    <w:rsid w:val="00967200"/>
    <w:rsid w:val="00973259"/>
    <w:rsid w:val="00976369"/>
    <w:rsid w:val="0097679E"/>
    <w:rsid w:val="00976B64"/>
    <w:rsid w:val="009803AA"/>
    <w:rsid w:val="00980D8F"/>
    <w:rsid w:val="00981F7F"/>
    <w:rsid w:val="00984468"/>
    <w:rsid w:val="00985CE1"/>
    <w:rsid w:val="00987424"/>
    <w:rsid w:val="0098773E"/>
    <w:rsid w:val="00987E16"/>
    <w:rsid w:val="00987EC9"/>
    <w:rsid w:val="00990285"/>
    <w:rsid w:val="00993917"/>
    <w:rsid w:val="00995F40"/>
    <w:rsid w:val="009A57D2"/>
    <w:rsid w:val="009A60C6"/>
    <w:rsid w:val="009B21AD"/>
    <w:rsid w:val="009B287A"/>
    <w:rsid w:val="009B327F"/>
    <w:rsid w:val="009B3DF2"/>
    <w:rsid w:val="009B5E5A"/>
    <w:rsid w:val="009D04DE"/>
    <w:rsid w:val="009D1F6F"/>
    <w:rsid w:val="009D4527"/>
    <w:rsid w:val="009D5B38"/>
    <w:rsid w:val="009D6760"/>
    <w:rsid w:val="009D79A3"/>
    <w:rsid w:val="009F2F76"/>
    <w:rsid w:val="00A13BD4"/>
    <w:rsid w:val="00A1403F"/>
    <w:rsid w:val="00A202C9"/>
    <w:rsid w:val="00A24C95"/>
    <w:rsid w:val="00A26134"/>
    <w:rsid w:val="00A26829"/>
    <w:rsid w:val="00A26FE1"/>
    <w:rsid w:val="00A34D0D"/>
    <w:rsid w:val="00A36938"/>
    <w:rsid w:val="00A403E3"/>
    <w:rsid w:val="00A4111E"/>
    <w:rsid w:val="00A435AF"/>
    <w:rsid w:val="00A45837"/>
    <w:rsid w:val="00A47F3B"/>
    <w:rsid w:val="00A5132D"/>
    <w:rsid w:val="00A5713E"/>
    <w:rsid w:val="00A60DB0"/>
    <w:rsid w:val="00A619B0"/>
    <w:rsid w:val="00A646B1"/>
    <w:rsid w:val="00A6502B"/>
    <w:rsid w:val="00A662C4"/>
    <w:rsid w:val="00A7123E"/>
    <w:rsid w:val="00A7267C"/>
    <w:rsid w:val="00A7319C"/>
    <w:rsid w:val="00A81F2D"/>
    <w:rsid w:val="00A83173"/>
    <w:rsid w:val="00A8683F"/>
    <w:rsid w:val="00A936E2"/>
    <w:rsid w:val="00A9492F"/>
    <w:rsid w:val="00AA256E"/>
    <w:rsid w:val="00AB007E"/>
    <w:rsid w:val="00AB094F"/>
    <w:rsid w:val="00AB5508"/>
    <w:rsid w:val="00AB5981"/>
    <w:rsid w:val="00AB7E2E"/>
    <w:rsid w:val="00AC54AE"/>
    <w:rsid w:val="00AC5D77"/>
    <w:rsid w:val="00AD347D"/>
    <w:rsid w:val="00AE0D63"/>
    <w:rsid w:val="00AE33F2"/>
    <w:rsid w:val="00AE3944"/>
    <w:rsid w:val="00AE5269"/>
    <w:rsid w:val="00AE5FDB"/>
    <w:rsid w:val="00AE7511"/>
    <w:rsid w:val="00B019EF"/>
    <w:rsid w:val="00B02F22"/>
    <w:rsid w:val="00B05972"/>
    <w:rsid w:val="00B06C26"/>
    <w:rsid w:val="00B102DD"/>
    <w:rsid w:val="00B15457"/>
    <w:rsid w:val="00B1628E"/>
    <w:rsid w:val="00B17012"/>
    <w:rsid w:val="00B17FDC"/>
    <w:rsid w:val="00B23408"/>
    <w:rsid w:val="00B23586"/>
    <w:rsid w:val="00B243A4"/>
    <w:rsid w:val="00B31AD1"/>
    <w:rsid w:val="00B34373"/>
    <w:rsid w:val="00B4174F"/>
    <w:rsid w:val="00B41E4F"/>
    <w:rsid w:val="00B46514"/>
    <w:rsid w:val="00B478FE"/>
    <w:rsid w:val="00B5135C"/>
    <w:rsid w:val="00B5343A"/>
    <w:rsid w:val="00B61BE7"/>
    <w:rsid w:val="00B6398E"/>
    <w:rsid w:val="00B65BAC"/>
    <w:rsid w:val="00B66577"/>
    <w:rsid w:val="00B666C3"/>
    <w:rsid w:val="00B72C6B"/>
    <w:rsid w:val="00B8367A"/>
    <w:rsid w:val="00B8430E"/>
    <w:rsid w:val="00B91154"/>
    <w:rsid w:val="00B94CEE"/>
    <w:rsid w:val="00B97454"/>
    <w:rsid w:val="00BA0BF2"/>
    <w:rsid w:val="00BA1EE0"/>
    <w:rsid w:val="00BA7CCA"/>
    <w:rsid w:val="00BA7DB9"/>
    <w:rsid w:val="00BB4CE6"/>
    <w:rsid w:val="00BB58C6"/>
    <w:rsid w:val="00BC109F"/>
    <w:rsid w:val="00BC23D6"/>
    <w:rsid w:val="00BC3EFD"/>
    <w:rsid w:val="00BD1D5F"/>
    <w:rsid w:val="00BD1FBC"/>
    <w:rsid w:val="00BD5B94"/>
    <w:rsid w:val="00BE10C6"/>
    <w:rsid w:val="00BE40A9"/>
    <w:rsid w:val="00BE471E"/>
    <w:rsid w:val="00BE5D5C"/>
    <w:rsid w:val="00BF0E82"/>
    <w:rsid w:val="00BF3148"/>
    <w:rsid w:val="00C01B09"/>
    <w:rsid w:val="00C0324B"/>
    <w:rsid w:val="00C036A9"/>
    <w:rsid w:val="00C0424B"/>
    <w:rsid w:val="00C05DEF"/>
    <w:rsid w:val="00C0655B"/>
    <w:rsid w:val="00C068FF"/>
    <w:rsid w:val="00C070A2"/>
    <w:rsid w:val="00C073D0"/>
    <w:rsid w:val="00C11648"/>
    <w:rsid w:val="00C2360C"/>
    <w:rsid w:val="00C310E9"/>
    <w:rsid w:val="00C345DD"/>
    <w:rsid w:val="00C34D44"/>
    <w:rsid w:val="00C4134B"/>
    <w:rsid w:val="00C41454"/>
    <w:rsid w:val="00C4238F"/>
    <w:rsid w:val="00C42755"/>
    <w:rsid w:val="00C44495"/>
    <w:rsid w:val="00C44FA3"/>
    <w:rsid w:val="00C52222"/>
    <w:rsid w:val="00C54ECE"/>
    <w:rsid w:val="00C55582"/>
    <w:rsid w:val="00C5594E"/>
    <w:rsid w:val="00C55B9B"/>
    <w:rsid w:val="00C55F90"/>
    <w:rsid w:val="00C5703E"/>
    <w:rsid w:val="00C57D8F"/>
    <w:rsid w:val="00C600A8"/>
    <w:rsid w:val="00C63465"/>
    <w:rsid w:val="00C6571E"/>
    <w:rsid w:val="00C72E00"/>
    <w:rsid w:val="00C75C31"/>
    <w:rsid w:val="00C76812"/>
    <w:rsid w:val="00C76B8E"/>
    <w:rsid w:val="00C77EF4"/>
    <w:rsid w:val="00C8000B"/>
    <w:rsid w:val="00C80534"/>
    <w:rsid w:val="00C82372"/>
    <w:rsid w:val="00C85C6E"/>
    <w:rsid w:val="00C85E51"/>
    <w:rsid w:val="00C9262B"/>
    <w:rsid w:val="00C93D24"/>
    <w:rsid w:val="00C965FE"/>
    <w:rsid w:val="00C97BEF"/>
    <w:rsid w:val="00CA0BA8"/>
    <w:rsid w:val="00CA12FE"/>
    <w:rsid w:val="00CA2062"/>
    <w:rsid w:val="00CB0F48"/>
    <w:rsid w:val="00CB2CB9"/>
    <w:rsid w:val="00CB36A2"/>
    <w:rsid w:val="00CC078B"/>
    <w:rsid w:val="00CC08FD"/>
    <w:rsid w:val="00CC2C96"/>
    <w:rsid w:val="00CC5571"/>
    <w:rsid w:val="00CD45C9"/>
    <w:rsid w:val="00CD530D"/>
    <w:rsid w:val="00CD73A7"/>
    <w:rsid w:val="00CD7A16"/>
    <w:rsid w:val="00CE30A9"/>
    <w:rsid w:val="00CE5CDE"/>
    <w:rsid w:val="00CF0840"/>
    <w:rsid w:val="00CF2661"/>
    <w:rsid w:val="00CF3EF1"/>
    <w:rsid w:val="00CF4854"/>
    <w:rsid w:val="00CF5D4E"/>
    <w:rsid w:val="00CF6079"/>
    <w:rsid w:val="00D00358"/>
    <w:rsid w:val="00D01002"/>
    <w:rsid w:val="00D03DC5"/>
    <w:rsid w:val="00D0503B"/>
    <w:rsid w:val="00D062C6"/>
    <w:rsid w:val="00D101D2"/>
    <w:rsid w:val="00D103C5"/>
    <w:rsid w:val="00D10D5B"/>
    <w:rsid w:val="00D127DC"/>
    <w:rsid w:val="00D148C4"/>
    <w:rsid w:val="00D248F8"/>
    <w:rsid w:val="00D30BA3"/>
    <w:rsid w:val="00D30D9D"/>
    <w:rsid w:val="00D34ADF"/>
    <w:rsid w:val="00D449F2"/>
    <w:rsid w:val="00D45DE5"/>
    <w:rsid w:val="00D51C02"/>
    <w:rsid w:val="00D551B3"/>
    <w:rsid w:val="00D55B4C"/>
    <w:rsid w:val="00D614CE"/>
    <w:rsid w:val="00D64558"/>
    <w:rsid w:val="00D6685B"/>
    <w:rsid w:val="00D67ABA"/>
    <w:rsid w:val="00D67BE6"/>
    <w:rsid w:val="00D701ED"/>
    <w:rsid w:val="00D73522"/>
    <w:rsid w:val="00D74A4E"/>
    <w:rsid w:val="00D81B39"/>
    <w:rsid w:val="00D82DE9"/>
    <w:rsid w:val="00D907E4"/>
    <w:rsid w:val="00D923D8"/>
    <w:rsid w:val="00D96D06"/>
    <w:rsid w:val="00D9707D"/>
    <w:rsid w:val="00DA1870"/>
    <w:rsid w:val="00DA2E4D"/>
    <w:rsid w:val="00DA3584"/>
    <w:rsid w:val="00DA35EE"/>
    <w:rsid w:val="00DA440E"/>
    <w:rsid w:val="00DB0450"/>
    <w:rsid w:val="00DB7BFB"/>
    <w:rsid w:val="00DC067B"/>
    <w:rsid w:val="00DC1E06"/>
    <w:rsid w:val="00DC27C8"/>
    <w:rsid w:val="00DC3E49"/>
    <w:rsid w:val="00DC5595"/>
    <w:rsid w:val="00DC69D9"/>
    <w:rsid w:val="00DD0677"/>
    <w:rsid w:val="00DD49BA"/>
    <w:rsid w:val="00DD5E2E"/>
    <w:rsid w:val="00DE3190"/>
    <w:rsid w:val="00DE3E99"/>
    <w:rsid w:val="00DE5AF1"/>
    <w:rsid w:val="00DF3A5F"/>
    <w:rsid w:val="00DF4739"/>
    <w:rsid w:val="00DF66D2"/>
    <w:rsid w:val="00E0133B"/>
    <w:rsid w:val="00E02204"/>
    <w:rsid w:val="00E070E4"/>
    <w:rsid w:val="00E10C2D"/>
    <w:rsid w:val="00E10C7D"/>
    <w:rsid w:val="00E162BE"/>
    <w:rsid w:val="00E17F9D"/>
    <w:rsid w:val="00E246B3"/>
    <w:rsid w:val="00E2754E"/>
    <w:rsid w:val="00E411D2"/>
    <w:rsid w:val="00E4276F"/>
    <w:rsid w:val="00E5247E"/>
    <w:rsid w:val="00E55516"/>
    <w:rsid w:val="00E62433"/>
    <w:rsid w:val="00E63836"/>
    <w:rsid w:val="00E7006B"/>
    <w:rsid w:val="00E728D5"/>
    <w:rsid w:val="00E72A26"/>
    <w:rsid w:val="00E80287"/>
    <w:rsid w:val="00E9115C"/>
    <w:rsid w:val="00E95C44"/>
    <w:rsid w:val="00E95F47"/>
    <w:rsid w:val="00E96469"/>
    <w:rsid w:val="00EA314A"/>
    <w:rsid w:val="00EA480F"/>
    <w:rsid w:val="00EA6AA2"/>
    <w:rsid w:val="00EA7D34"/>
    <w:rsid w:val="00EB11DF"/>
    <w:rsid w:val="00EB1C63"/>
    <w:rsid w:val="00EB256A"/>
    <w:rsid w:val="00EB290D"/>
    <w:rsid w:val="00EC0558"/>
    <w:rsid w:val="00EC4D68"/>
    <w:rsid w:val="00ED0325"/>
    <w:rsid w:val="00ED06E8"/>
    <w:rsid w:val="00ED2592"/>
    <w:rsid w:val="00EE0B76"/>
    <w:rsid w:val="00EE44F5"/>
    <w:rsid w:val="00EF234B"/>
    <w:rsid w:val="00EF2C2D"/>
    <w:rsid w:val="00EF3506"/>
    <w:rsid w:val="00EF4D17"/>
    <w:rsid w:val="00EF5485"/>
    <w:rsid w:val="00EF7666"/>
    <w:rsid w:val="00F00BD9"/>
    <w:rsid w:val="00F020D2"/>
    <w:rsid w:val="00F04B14"/>
    <w:rsid w:val="00F04F46"/>
    <w:rsid w:val="00F0654D"/>
    <w:rsid w:val="00F07714"/>
    <w:rsid w:val="00F07B85"/>
    <w:rsid w:val="00F11854"/>
    <w:rsid w:val="00F11CB3"/>
    <w:rsid w:val="00F11FA9"/>
    <w:rsid w:val="00F12A31"/>
    <w:rsid w:val="00F1682B"/>
    <w:rsid w:val="00F20A57"/>
    <w:rsid w:val="00F22C75"/>
    <w:rsid w:val="00F24F39"/>
    <w:rsid w:val="00F26E3D"/>
    <w:rsid w:val="00F270CD"/>
    <w:rsid w:val="00F308D8"/>
    <w:rsid w:val="00F314B0"/>
    <w:rsid w:val="00F41398"/>
    <w:rsid w:val="00F42BFD"/>
    <w:rsid w:val="00F42EFC"/>
    <w:rsid w:val="00F4381B"/>
    <w:rsid w:val="00F45204"/>
    <w:rsid w:val="00F47149"/>
    <w:rsid w:val="00F539CB"/>
    <w:rsid w:val="00F600C1"/>
    <w:rsid w:val="00F62F4B"/>
    <w:rsid w:val="00F63DBA"/>
    <w:rsid w:val="00F66E74"/>
    <w:rsid w:val="00F71AF8"/>
    <w:rsid w:val="00F72B8E"/>
    <w:rsid w:val="00F746FB"/>
    <w:rsid w:val="00F7682F"/>
    <w:rsid w:val="00F81DA8"/>
    <w:rsid w:val="00F8240C"/>
    <w:rsid w:val="00F829A0"/>
    <w:rsid w:val="00F82D56"/>
    <w:rsid w:val="00F83B19"/>
    <w:rsid w:val="00F86166"/>
    <w:rsid w:val="00F86A60"/>
    <w:rsid w:val="00F87CB5"/>
    <w:rsid w:val="00F93878"/>
    <w:rsid w:val="00F97D47"/>
    <w:rsid w:val="00FA0CC0"/>
    <w:rsid w:val="00FB1606"/>
    <w:rsid w:val="00FB1686"/>
    <w:rsid w:val="00FB3355"/>
    <w:rsid w:val="00FB3A9E"/>
    <w:rsid w:val="00FB6BAE"/>
    <w:rsid w:val="00FC3848"/>
    <w:rsid w:val="00FC6CC4"/>
    <w:rsid w:val="00FD085A"/>
    <w:rsid w:val="00FD3F31"/>
    <w:rsid w:val="00FE0345"/>
    <w:rsid w:val="00FE1F86"/>
    <w:rsid w:val="00FE688E"/>
    <w:rsid w:val="00FE6E18"/>
    <w:rsid w:val="00FF2C4A"/>
    <w:rsid w:val="00FF2F1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footer" w:uiPriority="0"/>
    <w:lsdException w:name="caption" w:uiPriority="35"/>
    <w:lsdException w:name="annotation reference" w:uiPriority="0"/>
    <w:lsdException w:name="page number" w:uiPriority="0"/>
    <w:lsdException w:name="List Bullet" w:uiPriority="0"/>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qFormat="1"/>
    <w:lsdException w:name="Document Map" w:uiPriority="0"/>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97EFF"/>
    <w:pPr>
      <w:spacing w:before="120"/>
    </w:pPr>
    <w:rPr>
      <w:rFonts w:ascii="Calibri" w:hAnsi="Calibri"/>
      <w:lang w:val="en-US" w:eastAsia="en-US"/>
    </w:rPr>
  </w:style>
  <w:style w:type="paragraph" w:styleId="Heading1">
    <w:name w:val="heading 1"/>
    <w:basedOn w:val="Normal"/>
    <w:next w:val="Normal"/>
    <w:qFormat/>
    <w:rsid w:val="00797EFF"/>
    <w:pPr>
      <w:keepNext/>
      <w:numPr>
        <w:numId w:val="1"/>
      </w:numPr>
      <w:spacing w:before="240" w:after="60"/>
      <w:outlineLvl w:val="0"/>
    </w:pPr>
    <w:rPr>
      <w:b/>
      <w:kern w:val="28"/>
      <w:sz w:val="24"/>
    </w:rPr>
  </w:style>
  <w:style w:type="paragraph" w:styleId="Heading2">
    <w:name w:val="heading 2"/>
    <w:basedOn w:val="Normal"/>
    <w:next w:val="Normal"/>
    <w:qFormat/>
    <w:rsid w:val="00797EFF"/>
    <w:pPr>
      <w:keepNext/>
      <w:numPr>
        <w:ilvl w:val="1"/>
        <w:numId w:val="1"/>
      </w:numPr>
      <w:spacing w:before="240" w:after="60"/>
      <w:outlineLvl w:val="1"/>
    </w:pPr>
    <w:rPr>
      <w:b/>
      <w:i/>
      <w:sz w:val="22"/>
    </w:rPr>
  </w:style>
  <w:style w:type="paragraph" w:styleId="Heading3">
    <w:name w:val="heading 3"/>
    <w:basedOn w:val="Normal"/>
    <w:next w:val="Normal"/>
    <w:rsid w:val="00797EFF"/>
    <w:pPr>
      <w:keepNext/>
      <w:numPr>
        <w:ilvl w:val="2"/>
        <w:numId w:val="1"/>
      </w:numPr>
      <w:spacing w:after="60"/>
      <w:outlineLvl w:val="2"/>
    </w:pPr>
    <w:rPr>
      <w:b/>
    </w:rPr>
  </w:style>
  <w:style w:type="paragraph" w:styleId="Heading4">
    <w:name w:val="heading 4"/>
    <w:basedOn w:val="Normal"/>
    <w:next w:val="Normal"/>
    <w:rsid w:val="00FE6E18"/>
    <w:pPr>
      <w:keepNext/>
      <w:numPr>
        <w:ilvl w:val="3"/>
        <w:numId w:val="1"/>
      </w:numPr>
      <w:spacing w:before="240" w:after="60"/>
      <w:outlineLvl w:val="3"/>
    </w:pPr>
    <w:rPr>
      <w:i/>
    </w:rPr>
  </w:style>
  <w:style w:type="paragraph" w:styleId="Heading5">
    <w:name w:val="heading 5"/>
    <w:basedOn w:val="Normal"/>
    <w:next w:val="Normal"/>
    <w:rsid w:val="00797EFF"/>
    <w:pPr>
      <w:numPr>
        <w:ilvl w:val="4"/>
        <w:numId w:val="1"/>
      </w:numPr>
      <w:spacing w:before="240" w:after="60"/>
      <w:outlineLvl w:val="4"/>
    </w:pPr>
    <w:rPr>
      <w:rFonts w:ascii="Arial" w:hAnsi="Arial"/>
      <w:sz w:val="22"/>
    </w:rPr>
  </w:style>
  <w:style w:type="paragraph" w:styleId="Heading6">
    <w:name w:val="heading 6"/>
    <w:basedOn w:val="Normal"/>
    <w:next w:val="Normal"/>
    <w:rsid w:val="00797EFF"/>
    <w:pPr>
      <w:numPr>
        <w:ilvl w:val="5"/>
        <w:numId w:val="1"/>
      </w:numPr>
      <w:spacing w:before="240" w:after="60"/>
      <w:outlineLvl w:val="5"/>
    </w:pPr>
    <w:rPr>
      <w:rFonts w:ascii="Arial" w:hAnsi="Arial"/>
      <w:i/>
      <w:sz w:val="22"/>
    </w:rPr>
  </w:style>
  <w:style w:type="paragraph" w:styleId="Heading7">
    <w:name w:val="heading 7"/>
    <w:basedOn w:val="Normal"/>
    <w:next w:val="Normal"/>
    <w:rsid w:val="00797EFF"/>
    <w:pPr>
      <w:numPr>
        <w:ilvl w:val="6"/>
        <w:numId w:val="1"/>
      </w:numPr>
      <w:spacing w:before="240" w:after="60"/>
      <w:outlineLvl w:val="6"/>
    </w:pPr>
    <w:rPr>
      <w:rFonts w:ascii="Arial" w:hAnsi="Arial"/>
    </w:rPr>
  </w:style>
  <w:style w:type="paragraph" w:styleId="Heading8">
    <w:name w:val="heading 8"/>
    <w:basedOn w:val="Normal"/>
    <w:next w:val="Normal"/>
    <w:rsid w:val="00797EFF"/>
    <w:pPr>
      <w:numPr>
        <w:ilvl w:val="7"/>
        <w:numId w:val="1"/>
      </w:numPr>
      <w:spacing w:before="240" w:after="60"/>
      <w:outlineLvl w:val="7"/>
    </w:pPr>
    <w:rPr>
      <w:rFonts w:ascii="Arial" w:hAnsi="Arial"/>
      <w:i/>
    </w:rPr>
  </w:style>
  <w:style w:type="paragraph" w:styleId="Heading9">
    <w:name w:val="heading 9"/>
    <w:basedOn w:val="Normal"/>
    <w:next w:val="Normal"/>
    <w:rsid w:val="00797EFF"/>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e">
    <w:name w:val="cite"/>
    <w:basedOn w:val="Normal"/>
    <w:rsid w:val="00797EFF"/>
    <w:pPr>
      <w:ind w:left="720" w:hanging="720"/>
    </w:pPr>
  </w:style>
  <w:style w:type="paragraph" w:styleId="Footer">
    <w:name w:val="footer"/>
    <w:basedOn w:val="Normal"/>
    <w:semiHidden/>
    <w:rsid w:val="00797EFF"/>
    <w:pPr>
      <w:tabs>
        <w:tab w:val="center" w:pos="4320"/>
        <w:tab w:val="right" w:pos="8640"/>
      </w:tabs>
    </w:pPr>
    <w:rPr>
      <w:sz w:val="24"/>
    </w:rPr>
  </w:style>
  <w:style w:type="paragraph" w:styleId="PlainText">
    <w:name w:val="Plain Text"/>
    <w:basedOn w:val="Normal"/>
    <w:link w:val="PlainTextChar"/>
    <w:rsid w:val="00B23586"/>
    <w:pPr>
      <w:spacing w:before="0"/>
    </w:pPr>
    <w:rPr>
      <w:rFonts w:ascii="Courier New" w:hAnsi="Courier New"/>
      <w:sz w:val="24"/>
      <w:szCs w:val="24"/>
    </w:rPr>
  </w:style>
  <w:style w:type="character" w:customStyle="1" w:styleId="PlainTextChar">
    <w:name w:val="Plain Text Char"/>
    <w:basedOn w:val="DefaultParagraphFont"/>
    <w:link w:val="PlainText"/>
    <w:rsid w:val="00B23586"/>
    <w:rPr>
      <w:rFonts w:ascii="Courier New" w:hAnsi="Courier New"/>
      <w:sz w:val="24"/>
      <w:szCs w:val="24"/>
    </w:rPr>
  </w:style>
  <w:style w:type="paragraph" w:customStyle="1" w:styleId="table0">
    <w:name w:val="table"/>
    <w:basedOn w:val="Normal"/>
    <w:rsid w:val="00D907E4"/>
    <w:pPr>
      <w:numPr>
        <w:numId w:val="4"/>
      </w:numPr>
    </w:pPr>
  </w:style>
  <w:style w:type="character" w:styleId="PageNumber">
    <w:name w:val="page number"/>
    <w:basedOn w:val="DefaultParagraphFont"/>
    <w:semiHidden/>
    <w:rsid w:val="00797EFF"/>
  </w:style>
  <w:style w:type="paragraph" w:styleId="TOC1">
    <w:name w:val="toc 1"/>
    <w:basedOn w:val="Normal"/>
    <w:next w:val="Normal"/>
    <w:autoRedefine/>
    <w:uiPriority w:val="39"/>
    <w:rsid w:val="00797EFF"/>
    <w:pPr>
      <w:tabs>
        <w:tab w:val="left" w:pos="480"/>
        <w:tab w:val="right" w:leader="dot" w:pos="9360"/>
      </w:tabs>
    </w:pPr>
    <w:rPr>
      <w:b/>
      <w:caps/>
    </w:rPr>
  </w:style>
  <w:style w:type="paragraph" w:styleId="TOC2">
    <w:name w:val="toc 2"/>
    <w:basedOn w:val="Normal"/>
    <w:next w:val="Normal"/>
    <w:autoRedefine/>
    <w:uiPriority w:val="39"/>
    <w:rsid w:val="00797EFF"/>
    <w:pPr>
      <w:tabs>
        <w:tab w:val="left" w:pos="720"/>
        <w:tab w:val="right" w:leader="dot" w:pos="9360"/>
      </w:tabs>
      <w:spacing w:before="0"/>
    </w:pPr>
    <w:rPr>
      <w:smallCaps/>
    </w:rPr>
  </w:style>
  <w:style w:type="paragraph" w:styleId="TOC3">
    <w:name w:val="toc 3"/>
    <w:basedOn w:val="Normal"/>
    <w:next w:val="Normal"/>
    <w:autoRedefine/>
    <w:uiPriority w:val="39"/>
    <w:rsid w:val="00797EFF"/>
    <w:pPr>
      <w:tabs>
        <w:tab w:val="left" w:pos="960"/>
        <w:tab w:val="right" w:leader="dot" w:pos="9360"/>
      </w:tabs>
      <w:spacing w:before="0"/>
      <w:ind w:left="238"/>
    </w:pPr>
  </w:style>
  <w:style w:type="paragraph" w:styleId="TOC4">
    <w:name w:val="toc 4"/>
    <w:basedOn w:val="Normal"/>
    <w:next w:val="Normal"/>
    <w:autoRedefine/>
    <w:semiHidden/>
    <w:rsid w:val="00797EFF"/>
    <w:pPr>
      <w:tabs>
        <w:tab w:val="right" w:leader="dot" w:pos="9360"/>
      </w:tabs>
      <w:ind w:left="480"/>
    </w:pPr>
    <w:rPr>
      <w:sz w:val="18"/>
    </w:rPr>
  </w:style>
  <w:style w:type="paragraph" w:styleId="TOC5">
    <w:name w:val="toc 5"/>
    <w:basedOn w:val="Normal"/>
    <w:next w:val="Normal"/>
    <w:autoRedefine/>
    <w:semiHidden/>
    <w:rsid w:val="00797EFF"/>
    <w:pPr>
      <w:tabs>
        <w:tab w:val="right" w:leader="dot" w:pos="9360"/>
      </w:tabs>
      <w:ind w:left="720"/>
    </w:pPr>
    <w:rPr>
      <w:sz w:val="18"/>
    </w:rPr>
  </w:style>
  <w:style w:type="paragraph" w:styleId="TOC6">
    <w:name w:val="toc 6"/>
    <w:basedOn w:val="Normal"/>
    <w:next w:val="Normal"/>
    <w:autoRedefine/>
    <w:semiHidden/>
    <w:rsid w:val="00797EFF"/>
    <w:pPr>
      <w:tabs>
        <w:tab w:val="right" w:leader="dot" w:pos="9360"/>
      </w:tabs>
      <w:ind w:left="960"/>
    </w:pPr>
    <w:rPr>
      <w:sz w:val="18"/>
    </w:rPr>
  </w:style>
  <w:style w:type="paragraph" w:styleId="TOC7">
    <w:name w:val="toc 7"/>
    <w:basedOn w:val="Normal"/>
    <w:next w:val="Normal"/>
    <w:autoRedefine/>
    <w:semiHidden/>
    <w:rsid w:val="00797EFF"/>
    <w:pPr>
      <w:tabs>
        <w:tab w:val="right" w:leader="dot" w:pos="9360"/>
      </w:tabs>
      <w:ind w:left="1200"/>
    </w:pPr>
    <w:rPr>
      <w:sz w:val="18"/>
    </w:rPr>
  </w:style>
  <w:style w:type="paragraph" w:styleId="TOC8">
    <w:name w:val="toc 8"/>
    <w:basedOn w:val="Normal"/>
    <w:next w:val="Normal"/>
    <w:autoRedefine/>
    <w:semiHidden/>
    <w:rsid w:val="00797EFF"/>
    <w:pPr>
      <w:tabs>
        <w:tab w:val="right" w:leader="dot" w:pos="9360"/>
      </w:tabs>
      <w:ind w:left="1440"/>
    </w:pPr>
    <w:rPr>
      <w:sz w:val="18"/>
    </w:rPr>
  </w:style>
  <w:style w:type="paragraph" w:styleId="TOC9">
    <w:name w:val="toc 9"/>
    <w:basedOn w:val="Normal"/>
    <w:next w:val="Normal"/>
    <w:autoRedefine/>
    <w:semiHidden/>
    <w:rsid w:val="00797EFF"/>
    <w:pPr>
      <w:tabs>
        <w:tab w:val="right" w:leader="dot" w:pos="9360"/>
      </w:tabs>
      <w:ind w:left="1680"/>
    </w:pPr>
    <w:rPr>
      <w:sz w:val="18"/>
    </w:rPr>
  </w:style>
  <w:style w:type="paragraph" w:styleId="FootnoteText">
    <w:name w:val="footnote text"/>
    <w:basedOn w:val="Normal"/>
    <w:link w:val="FootnoteTextChar"/>
    <w:uiPriority w:val="99"/>
    <w:rsid w:val="00797EFF"/>
  </w:style>
  <w:style w:type="paragraph" w:customStyle="1" w:styleId="equation">
    <w:name w:val="equation"/>
    <w:basedOn w:val="Normal"/>
    <w:autoRedefine/>
    <w:qFormat/>
    <w:rsid w:val="00D551B3"/>
    <w:pPr>
      <w:numPr>
        <w:numId w:val="5"/>
      </w:numPr>
    </w:pPr>
  </w:style>
  <w:style w:type="character" w:styleId="FootnoteReference">
    <w:name w:val="footnote reference"/>
    <w:basedOn w:val="DefaultParagraphFont"/>
    <w:uiPriority w:val="99"/>
    <w:rsid w:val="00797EFF"/>
    <w:rPr>
      <w:vertAlign w:val="superscript"/>
    </w:rPr>
  </w:style>
  <w:style w:type="character" w:styleId="CommentReference">
    <w:name w:val="annotation reference"/>
    <w:basedOn w:val="DefaultParagraphFont"/>
    <w:semiHidden/>
    <w:rsid w:val="00797EFF"/>
    <w:rPr>
      <w:sz w:val="16"/>
    </w:rPr>
  </w:style>
  <w:style w:type="paragraph" w:customStyle="1" w:styleId="HintPointyFinger">
    <w:name w:val="Hint: Pointy Finger"/>
    <w:basedOn w:val="Normal"/>
    <w:next w:val="Normal"/>
    <w:rsid w:val="00797EFF"/>
    <w:pPr>
      <w:keepLines/>
      <w:pBdr>
        <w:top w:val="single" w:sz="4" w:space="1" w:color="auto"/>
        <w:bottom w:val="single" w:sz="4" w:space="6" w:color="auto"/>
      </w:pBdr>
      <w:tabs>
        <w:tab w:val="left" w:pos="360"/>
        <w:tab w:val="left" w:pos="720"/>
        <w:tab w:val="num" w:pos="1080"/>
      </w:tabs>
      <w:spacing w:before="240" w:after="120"/>
      <w:ind w:left="1080" w:hanging="720"/>
    </w:pPr>
    <w:rPr>
      <w:rFonts w:ascii="Times New Roman" w:hAnsi="Times New Roman"/>
      <w:sz w:val="22"/>
      <w:lang w:val="en-CA"/>
    </w:rPr>
  </w:style>
  <w:style w:type="paragraph" w:styleId="ListBullet">
    <w:name w:val="List Bullet"/>
    <w:basedOn w:val="Normal"/>
    <w:autoRedefine/>
    <w:semiHidden/>
    <w:rsid w:val="00797EFF"/>
    <w:pPr>
      <w:numPr>
        <w:numId w:val="2"/>
      </w:numPr>
      <w:spacing w:before="80" w:after="80"/>
      <w:ind w:left="1080"/>
    </w:pPr>
    <w:rPr>
      <w:sz w:val="22"/>
    </w:rPr>
  </w:style>
  <w:style w:type="paragraph" w:customStyle="1" w:styleId="Listbulletarrow">
    <w:name w:val="List bullet arrow"/>
    <w:basedOn w:val="ListBullet"/>
    <w:rsid w:val="00797EFF"/>
    <w:pPr>
      <w:spacing w:before="120"/>
    </w:pPr>
    <w:rPr>
      <w:b/>
    </w:rPr>
  </w:style>
  <w:style w:type="paragraph" w:styleId="CommentText">
    <w:name w:val="annotation text"/>
    <w:basedOn w:val="Normal"/>
    <w:link w:val="CommentTextChar1"/>
    <w:semiHidden/>
    <w:rsid w:val="00797EFF"/>
  </w:style>
  <w:style w:type="paragraph" w:customStyle="1" w:styleId="bullet">
    <w:name w:val="bullet"/>
    <w:basedOn w:val="Normal"/>
    <w:rsid w:val="00797EFF"/>
    <w:pPr>
      <w:numPr>
        <w:numId w:val="3"/>
      </w:numPr>
      <w:tabs>
        <w:tab w:val="clear" w:pos="360"/>
      </w:tabs>
      <w:spacing w:before="40" w:after="40" w:line="281" w:lineRule="auto"/>
      <w:ind w:left="1080" w:right="-547"/>
    </w:pPr>
    <w:rPr>
      <w:rFonts w:ascii="Times New Roman" w:hAnsi="Times New Roman"/>
      <w:color w:val="000000"/>
      <w:sz w:val="22"/>
    </w:rPr>
  </w:style>
  <w:style w:type="paragraph" w:styleId="BodyText">
    <w:name w:val="Body Text"/>
    <w:basedOn w:val="Normal"/>
    <w:semiHidden/>
    <w:rsid w:val="00797EFF"/>
    <w:pPr>
      <w:spacing w:before="240" w:line="220" w:lineRule="atLeast"/>
    </w:pPr>
  </w:style>
  <w:style w:type="paragraph" w:styleId="DocumentMap">
    <w:name w:val="Document Map"/>
    <w:basedOn w:val="Normal"/>
    <w:semiHidden/>
    <w:rsid w:val="00797EFF"/>
    <w:pPr>
      <w:shd w:val="clear" w:color="auto" w:fill="000080"/>
    </w:pPr>
    <w:rPr>
      <w:rFonts w:ascii="Tahoma" w:hAnsi="Tahoma"/>
    </w:rPr>
  </w:style>
  <w:style w:type="paragraph" w:styleId="Header">
    <w:name w:val="header"/>
    <w:basedOn w:val="Normal"/>
    <w:link w:val="HeaderChar"/>
    <w:uiPriority w:val="99"/>
    <w:unhideWhenUsed/>
    <w:rsid w:val="00B46514"/>
    <w:pPr>
      <w:tabs>
        <w:tab w:val="center" w:pos="4680"/>
        <w:tab w:val="right" w:pos="9360"/>
      </w:tabs>
    </w:pPr>
  </w:style>
  <w:style w:type="character" w:customStyle="1" w:styleId="HeaderChar">
    <w:name w:val="Header Char"/>
    <w:basedOn w:val="DefaultParagraphFont"/>
    <w:link w:val="Header"/>
    <w:uiPriority w:val="99"/>
    <w:rsid w:val="00B46514"/>
    <w:rPr>
      <w:rFonts w:ascii="Calibri" w:hAnsi="Calibri"/>
    </w:rPr>
  </w:style>
  <w:style w:type="paragraph" w:customStyle="1" w:styleId="Figure">
    <w:name w:val="Figure"/>
    <w:basedOn w:val="Normal"/>
    <w:qFormat/>
    <w:rsid w:val="005345E7"/>
    <w:pPr>
      <w:numPr>
        <w:numId w:val="6"/>
      </w:numPr>
      <w:autoSpaceDE w:val="0"/>
      <w:autoSpaceDN w:val="0"/>
      <w:adjustRightInd w:val="0"/>
      <w:spacing w:before="0"/>
    </w:pPr>
    <w:rPr>
      <w:color w:val="000000"/>
      <w:shd w:val="clear" w:color="auto" w:fill="FFFFFF"/>
    </w:rPr>
  </w:style>
  <w:style w:type="paragraph" w:styleId="BalloonText">
    <w:name w:val="Balloon Text"/>
    <w:basedOn w:val="Normal"/>
    <w:semiHidden/>
    <w:rsid w:val="00797EFF"/>
    <w:rPr>
      <w:rFonts w:ascii="Tahoma" w:hAnsi="Tahoma" w:cs="Tahoma"/>
      <w:sz w:val="16"/>
      <w:szCs w:val="16"/>
    </w:rPr>
  </w:style>
  <w:style w:type="paragraph" w:styleId="BodyText3">
    <w:name w:val="Body Text 3"/>
    <w:basedOn w:val="Normal"/>
    <w:semiHidden/>
    <w:unhideWhenUsed/>
    <w:rsid w:val="00797EFF"/>
    <w:pPr>
      <w:spacing w:after="120"/>
    </w:pPr>
    <w:rPr>
      <w:sz w:val="16"/>
      <w:szCs w:val="16"/>
    </w:rPr>
  </w:style>
  <w:style w:type="character" w:customStyle="1" w:styleId="BodyText3Char">
    <w:name w:val="Body Text 3 Char"/>
    <w:basedOn w:val="DefaultParagraphFont"/>
    <w:semiHidden/>
    <w:rsid w:val="00797EFF"/>
    <w:rPr>
      <w:rFonts w:ascii="Calibri" w:hAnsi="Calibri"/>
      <w:sz w:val="16"/>
      <w:szCs w:val="16"/>
    </w:rPr>
  </w:style>
  <w:style w:type="table" w:styleId="TableGrid">
    <w:name w:val="Table Grid"/>
    <w:basedOn w:val="TableNormal"/>
    <w:uiPriority w:val="59"/>
    <w:rsid w:val="00AE33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rsid w:val="00295A6C"/>
    <w:pPr>
      <w:spacing w:before="240" w:after="60"/>
      <w:jc w:val="center"/>
      <w:outlineLvl w:val="0"/>
    </w:pPr>
    <w:rPr>
      <w:b/>
      <w:bCs/>
      <w:kern w:val="28"/>
      <w:sz w:val="32"/>
      <w:szCs w:val="32"/>
    </w:rPr>
  </w:style>
  <w:style w:type="character" w:customStyle="1" w:styleId="TitleChar">
    <w:name w:val="Title Char"/>
    <w:basedOn w:val="DefaultParagraphFont"/>
    <w:link w:val="Title"/>
    <w:uiPriority w:val="10"/>
    <w:rsid w:val="00295A6C"/>
    <w:rPr>
      <w:rFonts w:ascii="Calibri" w:eastAsia="Times New Roman" w:hAnsi="Calibri" w:cs="Times New Roman"/>
      <w:b/>
      <w:bCs/>
      <w:kern w:val="28"/>
      <w:sz w:val="32"/>
      <w:szCs w:val="32"/>
    </w:rPr>
  </w:style>
  <w:style w:type="paragraph" w:customStyle="1" w:styleId="Default">
    <w:name w:val="Default"/>
    <w:rsid w:val="00927B82"/>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9A57D2"/>
    <w:pPr>
      <w:spacing w:before="0"/>
      <w:ind w:left="720"/>
      <w:contextualSpacing/>
    </w:pPr>
    <w:rPr>
      <w:rFonts w:ascii="Times New Roman" w:eastAsia="SimSun" w:hAnsi="Times New Roman"/>
      <w:sz w:val="24"/>
      <w:szCs w:val="24"/>
      <w:lang w:val="en-CA" w:eastAsia="zh-CN"/>
    </w:rPr>
  </w:style>
  <w:style w:type="paragraph" w:styleId="Caption">
    <w:name w:val="caption"/>
    <w:basedOn w:val="Normal"/>
    <w:next w:val="Normal"/>
    <w:uiPriority w:val="35"/>
    <w:unhideWhenUsed/>
    <w:rsid w:val="009A57D2"/>
    <w:pPr>
      <w:spacing w:before="0" w:after="200"/>
    </w:pPr>
    <w:rPr>
      <w:rFonts w:ascii="Times New Roman" w:eastAsia="SimSun" w:hAnsi="Times New Roman"/>
      <w:b/>
      <w:bCs/>
      <w:color w:val="4F81BD"/>
      <w:sz w:val="24"/>
      <w:szCs w:val="18"/>
      <w:lang w:val="en-CA" w:eastAsia="zh-CN"/>
    </w:rPr>
  </w:style>
  <w:style w:type="table" w:customStyle="1" w:styleId="LightShading1">
    <w:name w:val="Light Shading1"/>
    <w:basedOn w:val="TableNormal"/>
    <w:uiPriority w:val="60"/>
    <w:rsid w:val="00D907E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semiHidden/>
    <w:unhideWhenUsed/>
    <w:rsid w:val="00CD45C9"/>
    <w:pPr>
      <w:spacing w:before="0" w:after="360" w:line="360" w:lineRule="atLeast"/>
    </w:pPr>
    <w:rPr>
      <w:rFonts w:ascii="Times New Roman" w:hAnsi="Times New Roman"/>
      <w:sz w:val="24"/>
      <w:szCs w:val="24"/>
    </w:rPr>
  </w:style>
  <w:style w:type="paragraph" w:customStyle="1" w:styleId="Table">
    <w:name w:val="Table"/>
    <w:basedOn w:val="Normal"/>
    <w:qFormat/>
    <w:rsid w:val="00B8430E"/>
    <w:pPr>
      <w:numPr>
        <w:numId w:val="7"/>
      </w:numPr>
      <w:spacing w:before="0"/>
    </w:pPr>
    <w:rPr>
      <w:szCs w:val="22"/>
    </w:rPr>
  </w:style>
  <w:style w:type="character" w:styleId="Hyperlink">
    <w:name w:val="Hyperlink"/>
    <w:basedOn w:val="DefaultParagraphFont"/>
    <w:uiPriority w:val="99"/>
    <w:unhideWhenUsed/>
    <w:rsid w:val="004C417C"/>
    <w:rPr>
      <w:color w:val="0000FF"/>
      <w:u w:val="single"/>
    </w:rPr>
  </w:style>
  <w:style w:type="character" w:customStyle="1" w:styleId="citation">
    <w:name w:val="citation"/>
    <w:basedOn w:val="DefaultParagraphFont"/>
    <w:rsid w:val="004C417C"/>
  </w:style>
  <w:style w:type="character" w:styleId="PlaceholderText">
    <w:name w:val="Placeholder Text"/>
    <w:basedOn w:val="DefaultParagraphFont"/>
    <w:uiPriority w:val="99"/>
    <w:semiHidden/>
    <w:rsid w:val="00BC3EFD"/>
    <w:rPr>
      <w:color w:val="808080"/>
    </w:rPr>
  </w:style>
  <w:style w:type="character" w:styleId="FollowedHyperlink">
    <w:name w:val="FollowedHyperlink"/>
    <w:basedOn w:val="DefaultParagraphFont"/>
    <w:uiPriority w:val="99"/>
    <w:semiHidden/>
    <w:unhideWhenUsed/>
    <w:rsid w:val="003C2E4D"/>
    <w:rPr>
      <w:color w:val="800080"/>
      <w:u w:val="single"/>
    </w:rPr>
  </w:style>
  <w:style w:type="paragraph" w:customStyle="1" w:styleId="xl65">
    <w:name w:val="xl65"/>
    <w:basedOn w:val="Normal"/>
    <w:rsid w:val="003C2E4D"/>
    <w:pP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66">
    <w:name w:val="xl66"/>
    <w:basedOn w:val="Normal"/>
    <w:rsid w:val="003C2E4D"/>
    <w:pP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67">
    <w:name w:val="xl67"/>
    <w:basedOn w:val="Normal"/>
    <w:rsid w:val="003C2E4D"/>
    <w:pPr>
      <w:pBdr>
        <w:top w:val="single" w:sz="4" w:space="0" w:color="auto"/>
        <w:left w:val="single" w:sz="12"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68">
    <w:name w:val="xl68"/>
    <w:basedOn w:val="Normal"/>
    <w:rsid w:val="003C2E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69">
    <w:name w:val="xl69"/>
    <w:basedOn w:val="Normal"/>
    <w:rsid w:val="003C2E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0">
    <w:name w:val="xl70"/>
    <w:basedOn w:val="Normal"/>
    <w:rsid w:val="003C2E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1">
    <w:name w:val="xl71"/>
    <w:basedOn w:val="Normal"/>
    <w:rsid w:val="003C2E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72">
    <w:name w:val="xl72"/>
    <w:basedOn w:val="Normal"/>
    <w:rsid w:val="003C2E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73">
    <w:name w:val="xl73"/>
    <w:basedOn w:val="Normal"/>
    <w:rsid w:val="003C2E4D"/>
    <w:pPr>
      <w:pBdr>
        <w:top w:val="single" w:sz="4" w:space="0" w:color="auto"/>
        <w:left w:val="single" w:sz="4" w:space="0" w:color="auto"/>
        <w:bottom w:val="single" w:sz="4" w:space="0" w:color="auto"/>
        <w:right w:val="single" w:sz="12" w:space="0" w:color="auto"/>
      </w:pBdr>
      <w:spacing w:before="100" w:beforeAutospacing="1" w:after="100" w:afterAutospacing="1"/>
    </w:pPr>
    <w:rPr>
      <w:rFonts w:ascii="Times New Roman" w:hAnsi="Times New Roman"/>
      <w:sz w:val="24"/>
      <w:szCs w:val="24"/>
      <w:lang w:val="en-CA" w:eastAsia="zh-CN"/>
    </w:rPr>
  </w:style>
  <w:style w:type="paragraph" w:customStyle="1" w:styleId="xl74">
    <w:name w:val="xl74"/>
    <w:basedOn w:val="Normal"/>
    <w:rsid w:val="003C2E4D"/>
    <w:pPr>
      <w:pBdr>
        <w:top w:val="single" w:sz="4" w:space="0" w:color="auto"/>
        <w:left w:val="single" w:sz="12" w:space="0" w:color="auto"/>
        <w:bottom w:val="single" w:sz="12"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5">
    <w:name w:val="xl75"/>
    <w:basedOn w:val="Normal"/>
    <w:rsid w:val="003C2E4D"/>
    <w:pPr>
      <w:pBdr>
        <w:top w:val="single" w:sz="4"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6">
    <w:name w:val="xl76"/>
    <w:basedOn w:val="Normal"/>
    <w:rsid w:val="003C2E4D"/>
    <w:pPr>
      <w:pBdr>
        <w:top w:val="single" w:sz="4"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7">
    <w:name w:val="xl77"/>
    <w:basedOn w:val="Normal"/>
    <w:rsid w:val="003C2E4D"/>
    <w:pPr>
      <w:pBdr>
        <w:top w:val="single" w:sz="4"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8">
    <w:name w:val="xl78"/>
    <w:basedOn w:val="Normal"/>
    <w:rsid w:val="003C2E4D"/>
    <w:pPr>
      <w:pBdr>
        <w:top w:val="single" w:sz="4" w:space="0" w:color="auto"/>
        <w:left w:val="single" w:sz="4" w:space="0" w:color="auto"/>
        <w:bottom w:val="single" w:sz="12"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79">
    <w:name w:val="xl79"/>
    <w:basedOn w:val="Normal"/>
    <w:rsid w:val="003C2E4D"/>
    <w:pPr>
      <w:pBdr>
        <w:top w:val="single" w:sz="4" w:space="0" w:color="auto"/>
        <w:left w:val="single" w:sz="4" w:space="0" w:color="auto"/>
        <w:bottom w:val="single" w:sz="12"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80">
    <w:name w:val="xl80"/>
    <w:basedOn w:val="Normal"/>
    <w:rsid w:val="003C2E4D"/>
    <w:pPr>
      <w:pBdr>
        <w:top w:val="single" w:sz="4" w:space="0" w:color="auto"/>
        <w:left w:val="single" w:sz="4" w:space="0" w:color="auto"/>
        <w:bottom w:val="single" w:sz="12" w:space="0" w:color="auto"/>
        <w:right w:val="single" w:sz="12" w:space="0" w:color="auto"/>
      </w:pBdr>
      <w:spacing w:before="100" w:beforeAutospacing="1" w:after="100" w:afterAutospacing="1"/>
    </w:pPr>
    <w:rPr>
      <w:rFonts w:ascii="Times New Roman" w:hAnsi="Times New Roman"/>
      <w:sz w:val="24"/>
      <w:szCs w:val="24"/>
      <w:lang w:val="en-CA" w:eastAsia="zh-CN"/>
    </w:rPr>
  </w:style>
  <w:style w:type="paragraph" w:customStyle="1" w:styleId="xl81">
    <w:name w:val="xl81"/>
    <w:basedOn w:val="Normal"/>
    <w:rsid w:val="003C2E4D"/>
    <w:pPr>
      <w:pBdr>
        <w:left w:val="single" w:sz="12"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82">
    <w:name w:val="xl82"/>
    <w:basedOn w:val="Normal"/>
    <w:rsid w:val="003C2E4D"/>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83">
    <w:name w:val="xl83"/>
    <w:basedOn w:val="Normal"/>
    <w:rsid w:val="003C2E4D"/>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84">
    <w:name w:val="xl84"/>
    <w:basedOn w:val="Normal"/>
    <w:rsid w:val="003C2E4D"/>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85">
    <w:name w:val="xl85"/>
    <w:basedOn w:val="Normal"/>
    <w:rsid w:val="003C2E4D"/>
    <w:pPr>
      <w:pBdr>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86">
    <w:name w:val="xl86"/>
    <w:basedOn w:val="Normal"/>
    <w:rsid w:val="003C2E4D"/>
    <w:pPr>
      <w:pBdr>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87">
    <w:name w:val="xl87"/>
    <w:basedOn w:val="Normal"/>
    <w:rsid w:val="003C2E4D"/>
    <w:pPr>
      <w:pBdr>
        <w:left w:val="single" w:sz="4" w:space="0" w:color="auto"/>
        <w:bottom w:val="single" w:sz="4" w:space="0" w:color="auto"/>
        <w:right w:val="single" w:sz="12" w:space="0" w:color="auto"/>
      </w:pBdr>
      <w:spacing w:before="100" w:beforeAutospacing="1" w:after="100" w:afterAutospacing="1"/>
    </w:pPr>
    <w:rPr>
      <w:rFonts w:ascii="Times New Roman" w:hAnsi="Times New Roman"/>
      <w:sz w:val="24"/>
      <w:szCs w:val="24"/>
      <w:lang w:val="en-CA" w:eastAsia="zh-CN"/>
    </w:rPr>
  </w:style>
  <w:style w:type="paragraph" w:customStyle="1" w:styleId="xl88">
    <w:name w:val="xl88"/>
    <w:basedOn w:val="Normal"/>
    <w:rsid w:val="003C2E4D"/>
    <w:pPr>
      <w:pBdr>
        <w:top w:val="single" w:sz="12" w:space="0" w:color="auto"/>
        <w:left w:val="single" w:sz="12" w:space="0" w:color="auto"/>
        <w:bottom w:val="single" w:sz="12" w:space="0" w:color="auto"/>
        <w:right w:val="single" w:sz="4" w:space="0" w:color="auto"/>
      </w:pBdr>
      <w:spacing w:before="100" w:beforeAutospacing="1" w:after="100" w:afterAutospacing="1"/>
    </w:pPr>
    <w:rPr>
      <w:rFonts w:ascii="Times New Roman" w:hAnsi="Times New Roman"/>
      <w:b/>
      <w:bCs/>
      <w:sz w:val="24"/>
      <w:szCs w:val="24"/>
      <w:lang w:val="en-CA" w:eastAsia="zh-CN"/>
    </w:rPr>
  </w:style>
  <w:style w:type="paragraph" w:customStyle="1" w:styleId="xl89">
    <w:name w:val="xl89"/>
    <w:basedOn w:val="Normal"/>
    <w:rsid w:val="003C2E4D"/>
    <w:pPr>
      <w:pBdr>
        <w:top w:val="single" w:sz="12"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b/>
      <w:bCs/>
      <w:sz w:val="24"/>
      <w:szCs w:val="24"/>
      <w:lang w:val="en-CA" w:eastAsia="zh-CN"/>
    </w:rPr>
  </w:style>
  <w:style w:type="paragraph" w:customStyle="1" w:styleId="xl90">
    <w:name w:val="xl90"/>
    <w:basedOn w:val="Normal"/>
    <w:rsid w:val="003C2E4D"/>
    <w:pPr>
      <w:pBdr>
        <w:top w:val="single" w:sz="12"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b/>
      <w:bCs/>
      <w:sz w:val="24"/>
      <w:szCs w:val="24"/>
      <w:lang w:val="en-CA" w:eastAsia="zh-CN"/>
    </w:rPr>
  </w:style>
  <w:style w:type="paragraph" w:customStyle="1" w:styleId="xl91">
    <w:name w:val="xl91"/>
    <w:basedOn w:val="Normal"/>
    <w:rsid w:val="003C2E4D"/>
    <w:pPr>
      <w:pBdr>
        <w:top w:val="single" w:sz="12"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b/>
      <w:bCs/>
      <w:sz w:val="24"/>
      <w:szCs w:val="24"/>
      <w:lang w:val="en-CA" w:eastAsia="zh-CN"/>
    </w:rPr>
  </w:style>
  <w:style w:type="paragraph" w:customStyle="1" w:styleId="xl92">
    <w:name w:val="xl92"/>
    <w:basedOn w:val="Normal"/>
    <w:rsid w:val="003C2E4D"/>
    <w:pPr>
      <w:pBdr>
        <w:top w:val="single" w:sz="12" w:space="0" w:color="auto"/>
        <w:left w:val="single" w:sz="4" w:space="0" w:color="auto"/>
        <w:bottom w:val="single" w:sz="12" w:space="0" w:color="auto"/>
        <w:right w:val="single" w:sz="4" w:space="0" w:color="auto"/>
      </w:pBdr>
      <w:shd w:val="clear" w:color="000000" w:fill="FFFF00"/>
      <w:spacing w:before="100" w:beforeAutospacing="1" w:after="100" w:afterAutospacing="1"/>
    </w:pPr>
    <w:rPr>
      <w:rFonts w:ascii="Times New Roman" w:hAnsi="Times New Roman"/>
      <w:b/>
      <w:bCs/>
      <w:sz w:val="24"/>
      <w:szCs w:val="24"/>
      <w:lang w:val="en-CA" w:eastAsia="zh-CN"/>
    </w:rPr>
  </w:style>
  <w:style w:type="paragraph" w:customStyle="1" w:styleId="xl93">
    <w:name w:val="xl93"/>
    <w:basedOn w:val="Normal"/>
    <w:rsid w:val="003C2E4D"/>
    <w:pPr>
      <w:pBdr>
        <w:top w:val="single" w:sz="12" w:space="0" w:color="auto"/>
        <w:left w:val="single" w:sz="4" w:space="0" w:color="auto"/>
        <w:bottom w:val="single" w:sz="12" w:space="0" w:color="auto"/>
        <w:right w:val="single" w:sz="4" w:space="0" w:color="auto"/>
      </w:pBdr>
      <w:shd w:val="clear" w:color="000000" w:fill="FFFF00"/>
      <w:spacing w:before="100" w:beforeAutospacing="1" w:after="100" w:afterAutospacing="1"/>
    </w:pPr>
    <w:rPr>
      <w:rFonts w:ascii="Times New Roman" w:hAnsi="Times New Roman"/>
      <w:b/>
      <w:bCs/>
      <w:sz w:val="24"/>
      <w:szCs w:val="24"/>
      <w:lang w:val="en-CA" w:eastAsia="zh-CN"/>
    </w:rPr>
  </w:style>
  <w:style w:type="paragraph" w:customStyle="1" w:styleId="xl94">
    <w:name w:val="xl94"/>
    <w:basedOn w:val="Normal"/>
    <w:rsid w:val="003C2E4D"/>
    <w:pPr>
      <w:pBdr>
        <w:top w:val="single" w:sz="12" w:space="0" w:color="auto"/>
        <w:left w:val="single" w:sz="4" w:space="0" w:color="auto"/>
        <w:bottom w:val="single" w:sz="12" w:space="0" w:color="auto"/>
        <w:right w:val="single" w:sz="12" w:space="0" w:color="auto"/>
      </w:pBdr>
      <w:spacing w:before="100" w:beforeAutospacing="1" w:after="100" w:afterAutospacing="1"/>
    </w:pPr>
    <w:rPr>
      <w:rFonts w:ascii="Times New Roman" w:hAnsi="Times New Roman"/>
      <w:b/>
      <w:bCs/>
      <w:sz w:val="24"/>
      <w:szCs w:val="24"/>
      <w:lang w:val="en-CA" w:eastAsia="zh-CN"/>
    </w:rPr>
  </w:style>
  <w:style w:type="paragraph" w:customStyle="1" w:styleId="xl95">
    <w:name w:val="xl95"/>
    <w:basedOn w:val="Normal"/>
    <w:rsid w:val="003C2E4D"/>
    <w:pPr>
      <w:pBdr>
        <w:top w:val="single" w:sz="12" w:space="0" w:color="auto"/>
        <w:bottom w:val="single" w:sz="12" w:space="0" w:color="auto"/>
      </w:pBdr>
      <w:spacing w:before="100" w:beforeAutospacing="1" w:after="100" w:afterAutospacing="1"/>
    </w:pPr>
    <w:rPr>
      <w:rFonts w:ascii="Times New Roman" w:hAnsi="Times New Roman"/>
      <w:b/>
      <w:bCs/>
      <w:sz w:val="24"/>
      <w:szCs w:val="24"/>
      <w:lang w:val="en-CA" w:eastAsia="zh-CN"/>
    </w:rPr>
  </w:style>
  <w:style w:type="paragraph" w:customStyle="1" w:styleId="xl96">
    <w:name w:val="xl96"/>
    <w:basedOn w:val="Normal"/>
    <w:rsid w:val="003C2E4D"/>
    <w:pPr>
      <w:spacing w:before="100" w:beforeAutospacing="1" w:after="100" w:afterAutospacing="1"/>
    </w:pPr>
    <w:rPr>
      <w:rFonts w:ascii="Times New Roman" w:hAnsi="Times New Roman"/>
      <w:sz w:val="16"/>
      <w:szCs w:val="16"/>
      <w:lang w:val="en-CA" w:eastAsia="zh-CN"/>
    </w:rPr>
  </w:style>
  <w:style w:type="paragraph" w:customStyle="1" w:styleId="xl97">
    <w:name w:val="xl97"/>
    <w:basedOn w:val="Normal"/>
    <w:rsid w:val="003C2E4D"/>
    <w:pPr>
      <w:shd w:val="clear" w:color="000000" w:fill="FFFF00"/>
      <w:spacing w:before="100" w:beforeAutospacing="1" w:after="100" w:afterAutospacing="1"/>
    </w:pPr>
    <w:rPr>
      <w:rFonts w:ascii="Times New Roman" w:hAnsi="Times New Roman"/>
      <w:sz w:val="16"/>
      <w:szCs w:val="16"/>
      <w:lang w:val="en-CA" w:eastAsia="zh-CN"/>
    </w:rPr>
  </w:style>
  <w:style w:type="paragraph" w:customStyle="1" w:styleId="xl98">
    <w:name w:val="xl98"/>
    <w:basedOn w:val="Normal"/>
    <w:rsid w:val="003C2E4D"/>
    <w:pPr>
      <w:shd w:val="clear" w:color="000000" w:fill="FFFF00"/>
      <w:spacing w:before="100" w:beforeAutospacing="1" w:after="100" w:afterAutospacing="1"/>
    </w:pPr>
    <w:rPr>
      <w:rFonts w:ascii="Times New Roman" w:hAnsi="Times New Roman"/>
      <w:sz w:val="16"/>
      <w:szCs w:val="16"/>
      <w:lang w:val="en-CA" w:eastAsia="zh-CN"/>
    </w:rPr>
  </w:style>
  <w:style w:type="table" w:customStyle="1" w:styleId="TableGrid1">
    <w:name w:val="Table Grid1"/>
    <w:basedOn w:val="TableNormal"/>
    <w:next w:val="TableGrid"/>
    <w:uiPriority w:val="59"/>
    <w:rsid w:val="000627B6"/>
    <w:pPr>
      <w:spacing w:before="120"/>
      <w:ind w:left="360" w:hanging="360"/>
    </w:pPr>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TextChar">
    <w:name w:val="Footnote Text Char"/>
    <w:basedOn w:val="DefaultParagraphFont"/>
    <w:link w:val="FootnoteText"/>
    <w:uiPriority w:val="99"/>
    <w:rsid w:val="00A34D0D"/>
    <w:rPr>
      <w:rFonts w:ascii="Calibri" w:hAnsi="Calibri"/>
      <w:lang w:val="en-US" w:eastAsia="en-US"/>
    </w:rPr>
  </w:style>
  <w:style w:type="character" w:customStyle="1" w:styleId="CommentTextChar">
    <w:name w:val="Comment Text Char"/>
    <w:basedOn w:val="DefaultParagraphFont"/>
    <w:semiHidden/>
    <w:rsid w:val="00A34D0D"/>
    <w:rPr>
      <w:rFonts w:ascii="Calibri" w:hAnsi="Calibri"/>
    </w:rPr>
  </w:style>
  <w:style w:type="table" w:customStyle="1" w:styleId="TableGrid2">
    <w:name w:val="Table Grid2"/>
    <w:basedOn w:val="TableNormal"/>
    <w:next w:val="TableGrid"/>
    <w:uiPriority w:val="59"/>
    <w:rsid w:val="00A34D0D"/>
    <w:pPr>
      <w:spacing w:before="120"/>
      <w:ind w:left="360" w:hanging="360"/>
    </w:pPr>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A34D0D"/>
    <w:pPr>
      <w:spacing w:before="120"/>
      <w:ind w:left="360" w:hanging="360"/>
    </w:pPr>
    <w:rPr>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ommentSubject">
    <w:name w:val="annotation subject"/>
    <w:basedOn w:val="CommentText"/>
    <w:next w:val="CommentText"/>
    <w:link w:val="CommentSubjectChar"/>
    <w:uiPriority w:val="99"/>
    <w:semiHidden/>
    <w:unhideWhenUsed/>
    <w:rsid w:val="00A34D0D"/>
    <w:rPr>
      <w:b/>
      <w:bCs/>
    </w:rPr>
  </w:style>
  <w:style w:type="character" w:customStyle="1" w:styleId="CommentTextChar1">
    <w:name w:val="Comment Text Char1"/>
    <w:basedOn w:val="DefaultParagraphFont"/>
    <w:link w:val="CommentText"/>
    <w:semiHidden/>
    <w:rsid w:val="00A34D0D"/>
    <w:rPr>
      <w:rFonts w:ascii="Calibri" w:hAnsi="Calibri"/>
      <w:lang w:val="en-US" w:eastAsia="en-US"/>
    </w:rPr>
  </w:style>
  <w:style w:type="character" w:customStyle="1" w:styleId="CommentSubjectChar">
    <w:name w:val="Comment Subject Char"/>
    <w:basedOn w:val="CommentTextChar1"/>
    <w:link w:val="CommentSubject"/>
    <w:uiPriority w:val="99"/>
    <w:semiHidden/>
    <w:rsid w:val="00A34D0D"/>
    <w:rPr>
      <w:rFonts w:ascii="Calibri" w:hAnsi="Calibri"/>
      <w:b/>
      <w:bCs/>
      <w:lang w:val="en-US" w:eastAsia="en-US"/>
    </w:rPr>
  </w:style>
  <w:style w:type="table" w:customStyle="1" w:styleId="LightShading2">
    <w:name w:val="Light Shading2"/>
    <w:basedOn w:val="TableNormal"/>
    <w:uiPriority w:val="60"/>
    <w:rsid w:val="00A34D0D"/>
    <w:pPr>
      <w:spacing w:before="120"/>
      <w:ind w:left="360" w:hanging="360"/>
    </w:pPr>
    <w:rPr>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ndnoteText">
    <w:name w:val="endnote text"/>
    <w:basedOn w:val="Normal"/>
    <w:link w:val="EndnoteTextChar"/>
    <w:uiPriority w:val="99"/>
    <w:semiHidden/>
    <w:unhideWhenUsed/>
    <w:rsid w:val="00A34D0D"/>
    <w:pPr>
      <w:spacing w:before="0"/>
    </w:pPr>
  </w:style>
  <w:style w:type="character" w:customStyle="1" w:styleId="EndnoteTextChar">
    <w:name w:val="Endnote Text Char"/>
    <w:basedOn w:val="DefaultParagraphFont"/>
    <w:link w:val="EndnoteText"/>
    <w:uiPriority w:val="99"/>
    <w:semiHidden/>
    <w:rsid w:val="00A34D0D"/>
    <w:rPr>
      <w:rFonts w:ascii="Calibri" w:hAnsi="Calibri"/>
      <w:lang w:val="en-US" w:eastAsia="en-US"/>
    </w:rPr>
  </w:style>
  <w:style w:type="character" w:styleId="EndnoteReference">
    <w:name w:val="endnote reference"/>
    <w:basedOn w:val="DefaultParagraphFont"/>
    <w:uiPriority w:val="99"/>
    <w:semiHidden/>
    <w:unhideWhenUsed/>
    <w:rsid w:val="00A34D0D"/>
    <w:rPr>
      <w:vertAlign w:val="superscript"/>
    </w:rPr>
  </w:style>
  <w:style w:type="table" w:customStyle="1" w:styleId="TableGridLight1">
    <w:name w:val="Table Grid Light1"/>
    <w:basedOn w:val="TableNormal"/>
    <w:uiPriority w:val="40"/>
    <w:rsid w:val="00A34D0D"/>
    <w:pPr>
      <w:spacing w:before="120"/>
      <w:ind w:left="360" w:hanging="360"/>
    </w:pPr>
    <w:rPr>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F66E74"/>
    <w:rPr>
      <w:i/>
      <w:iCs/>
    </w:rPr>
  </w:style>
  <w:style w:type="paragraph" w:styleId="TableofFigures">
    <w:name w:val="table of figures"/>
    <w:basedOn w:val="Normal"/>
    <w:next w:val="Normal"/>
    <w:uiPriority w:val="99"/>
    <w:unhideWhenUsed/>
    <w:rsid w:val="00902C3A"/>
  </w:style>
  <w:style w:type="table" w:styleId="LightShading-Accent1">
    <w:name w:val="Light Shading Accent 1"/>
    <w:basedOn w:val="TableNormal"/>
    <w:uiPriority w:val="60"/>
    <w:rsid w:val="00EA6AA2"/>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footer" w:uiPriority="0"/>
    <w:lsdException w:name="caption" w:uiPriority="35"/>
    <w:lsdException w:name="annotation reference" w:uiPriority="0"/>
    <w:lsdException w:name="page number" w:uiPriority="0"/>
    <w:lsdException w:name="List Bullet" w:uiPriority="0"/>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qFormat="1"/>
    <w:lsdException w:name="Document Map" w:uiPriority="0"/>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97EFF"/>
    <w:pPr>
      <w:spacing w:before="120"/>
    </w:pPr>
    <w:rPr>
      <w:rFonts w:ascii="Calibri" w:hAnsi="Calibri"/>
      <w:lang w:val="en-US" w:eastAsia="en-US"/>
    </w:rPr>
  </w:style>
  <w:style w:type="paragraph" w:styleId="Heading1">
    <w:name w:val="heading 1"/>
    <w:basedOn w:val="Normal"/>
    <w:next w:val="Normal"/>
    <w:qFormat/>
    <w:rsid w:val="00797EFF"/>
    <w:pPr>
      <w:keepNext/>
      <w:numPr>
        <w:numId w:val="1"/>
      </w:numPr>
      <w:spacing w:before="240" w:after="60"/>
      <w:outlineLvl w:val="0"/>
    </w:pPr>
    <w:rPr>
      <w:b/>
      <w:kern w:val="28"/>
      <w:sz w:val="24"/>
    </w:rPr>
  </w:style>
  <w:style w:type="paragraph" w:styleId="Heading2">
    <w:name w:val="heading 2"/>
    <w:basedOn w:val="Normal"/>
    <w:next w:val="Normal"/>
    <w:qFormat/>
    <w:rsid w:val="00797EFF"/>
    <w:pPr>
      <w:keepNext/>
      <w:numPr>
        <w:ilvl w:val="1"/>
        <w:numId w:val="1"/>
      </w:numPr>
      <w:spacing w:before="240" w:after="60"/>
      <w:outlineLvl w:val="1"/>
    </w:pPr>
    <w:rPr>
      <w:b/>
      <w:i/>
      <w:sz w:val="22"/>
    </w:rPr>
  </w:style>
  <w:style w:type="paragraph" w:styleId="Heading3">
    <w:name w:val="heading 3"/>
    <w:basedOn w:val="Normal"/>
    <w:next w:val="Normal"/>
    <w:rsid w:val="00797EFF"/>
    <w:pPr>
      <w:keepNext/>
      <w:numPr>
        <w:ilvl w:val="2"/>
        <w:numId w:val="1"/>
      </w:numPr>
      <w:spacing w:after="60"/>
      <w:outlineLvl w:val="2"/>
    </w:pPr>
    <w:rPr>
      <w:b/>
    </w:rPr>
  </w:style>
  <w:style w:type="paragraph" w:styleId="Heading4">
    <w:name w:val="heading 4"/>
    <w:basedOn w:val="Normal"/>
    <w:next w:val="Normal"/>
    <w:rsid w:val="00FE6E18"/>
    <w:pPr>
      <w:keepNext/>
      <w:numPr>
        <w:ilvl w:val="3"/>
        <w:numId w:val="1"/>
      </w:numPr>
      <w:spacing w:before="240" w:after="60"/>
      <w:outlineLvl w:val="3"/>
    </w:pPr>
    <w:rPr>
      <w:i/>
    </w:rPr>
  </w:style>
  <w:style w:type="paragraph" w:styleId="Heading5">
    <w:name w:val="heading 5"/>
    <w:basedOn w:val="Normal"/>
    <w:next w:val="Normal"/>
    <w:rsid w:val="00797EFF"/>
    <w:pPr>
      <w:numPr>
        <w:ilvl w:val="4"/>
        <w:numId w:val="1"/>
      </w:numPr>
      <w:spacing w:before="240" w:after="60"/>
      <w:outlineLvl w:val="4"/>
    </w:pPr>
    <w:rPr>
      <w:rFonts w:ascii="Arial" w:hAnsi="Arial"/>
      <w:sz w:val="22"/>
    </w:rPr>
  </w:style>
  <w:style w:type="paragraph" w:styleId="Heading6">
    <w:name w:val="heading 6"/>
    <w:basedOn w:val="Normal"/>
    <w:next w:val="Normal"/>
    <w:rsid w:val="00797EFF"/>
    <w:pPr>
      <w:numPr>
        <w:ilvl w:val="5"/>
        <w:numId w:val="1"/>
      </w:numPr>
      <w:spacing w:before="240" w:after="60"/>
      <w:outlineLvl w:val="5"/>
    </w:pPr>
    <w:rPr>
      <w:rFonts w:ascii="Arial" w:hAnsi="Arial"/>
      <w:i/>
      <w:sz w:val="22"/>
    </w:rPr>
  </w:style>
  <w:style w:type="paragraph" w:styleId="Heading7">
    <w:name w:val="heading 7"/>
    <w:basedOn w:val="Normal"/>
    <w:next w:val="Normal"/>
    <w:rsid w:val="00797EFF"/>
    <w:pPr>
      <w:numPr>
        <w:ilvl w:val="6"/>
        <w:numId w:val="1"/>
      </w:numPr>
      <w:spacing w:before="240" w:after="60"/>
      <w:outlineLvl w:val="6"/>
    </w:pPr>
    <w:rPr>
      <w:rFonts w:ascii="Arial" w:hAnsi="Arial"/>
    </w:rPr>
  </w:style>
  <w:style w:type="paragraph" w:styleId="Heading8">
    <w:name w:val="heading 8"/>
    <w:basedOn w:val="Normal"/>
    <w:next w:val="Normal"/>
    <w:rsid w:val="00797EFF"/>
    <w:pPr>
      <w:numPr>
        <w:ilvl w:val="7"/>
        <w:numId w:val="1"/>
      </w:numPr>
      <w:spacing w:before="240" w:after="60"/>
      <w:outlineLvl w:val="7"/>
    </w:pPr>
    <w:rPr>
      <w:rFonts w:ascii="Arial" w:hAnsi="Arial"/>
      <w:i/>
    </w:rPr>
  </w:style>
  <w:style w:type="paragraph" w:styleId="Heading9">
    <w:name w:val="heading 9"/>
    <w:basedOn w:val="Normal"/>
    <w:next w:val="Normal"/>
    <w:rsid w:val="00797EFF"/>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e">
    <w:name w:val="cite"/>
    <w:basedOn w:val="Normal"/>
    <w:rsid w:val="00797EFF"/>
    <w:pPr>
      <w:ind w:left="720" w:hanging="720"/>
    </w:pPr>
  </w:style>
  <w:style w:type="paragraph" w:styleId="Footer">
    <w:name w:val="footer"/>
    <w:basedOn w:val="Normal"/>
    <w:semiHidden/>
    <w:rsid w:val="00797EFF"/>
    <w:pPr>
      <w:tabs>
        <w:tab w:val="center" w:pos="4320"/>
        <w:tab w:val="right" w:pos="8640"/>
      </w:tabs>
    </w:pPr>
    <w:rPr>
      <w:sz w:val="24"/>
    </w:rPr>
  </w:style>
  <w:style w:type="paragraph" w:styleId="PlainText">
    <w:name w:val="Plain Text"/>
    <w:basedOn w:val="Normal"/>
    <w:link w:val="PlainTextChar"/>
    <w:rsid w:val="00B23586"/>
    <w:pPr>
      <w:spacing w:before="0"/>
    </w:pPr>
    <w:rPr>
      <w:rFonts w:ascii="Courier New" w:hAnsi="Courier New"/>
      <w:sz w:val="24"/>
      <w:szCs w:val="24"/>
    </w:rPr>
  </w:style>
  <w:style w:type="character" w:customStyle="1" w:styleId="PlainTextChar">
    <w:name w:val="Plain Text Char"/>
    <w:basedOn w:val="DefaultParagraphFont"/>
    <w:link w:val="PlainText"/>
    <w:rsid w:val="00B23586"/>
    <w:rPr>
      <w:rFonts w:ascii="Courier New" w:hAnsi="Courier New"/>
      <w:sz w:val="24"/>
      <w:szCs w:val="24"/>
    </w:rPr>
  </w:style>
  <w:style w:type="paragraph" w:customStyle="1" w:styleId="table0">
    <w:name w:val="table"/>
    <w:basedOn w:val="Normal"/>
    <w:rsid w:val="00D907E4"/>
    <w:pPr>
      <w:numPr>
        <w:numId w:val="4"/>
      </w:numPr>
    </w:pPr>
  </w:style>
  <w:style w:type="character" w:styleId="PageNumber">
    <w:name w:val="page number"/>
    <w:basedOn w:val="DefaultParagraphFont"/>
    <w:semiHidden/>
    <w:rsid w:val="00797EFF"/>
  </w:style>
  <w:style w:type="paragraph" w:styleId="TOC1">
    <w:name w:val="toc 1"/>
    <w:basedOn w:val="Normal"/>
    <w:next w:val="Normal"/>
    <w:autoRedefine/>
    <w:uiPriority w:val="39"/>
    <w:rsid w:val="00797EFF"/>
    <w:pPr>
      <w:tabs>
        <w:tab w:val="left" w:pos="480"/>
        <w:tab w:val="right" w:leader="dot" w:pos="9360"/>
      </w:tabs>
    </w:pPr>
    <w:rPr>
      <w:b/>
      <w:caps/>
    </w:rPr>
  </w:style>
  <w:style w:type="paragraph" w:styleId="TOC2">
    <w:name w:val="toc 2"/>
    <w:basedOn w:val="Normal"/>
    <w:next w:val="Normal"/>
    <w:autoRedefine/>
    <w:uiPriority w:val="39"/>
    <w:rsid w:val="00797EFF"/>
    <w:pPr>
      <w:tabs>
        <w:tab w:val="left" w:pos="720"/>
        <w:tab w:val="right" w:leader="dot" w:pos="9360"/>
      </w:tabs>
      <w:spacing w:before="0"/>
    </w:pPr>
    <w:rPr>
      <w:smallCaps/>
    </w:rPr>
  </w:style>
  <w:style w:type="paragraph" w:styleId="TOC3">
    <w:name w:val="toc 3"/>
    <w:basedOn w:val="Normal"/>
    <w:next w:val="Normal"/>
    <w:autoRedefine/>
    <w:uiPriority w:val="39"/>
    <w:rsid w:val="00797EFF"/>
    <w:pPr>
      <w:tabs>
        <w:tab w:val="left" w:pos="960"/>
        <w:tab w:val="right" w:leader="dot" w:pos="9360"/>
      </w:tabs>
      <w:spacing w:before="0"/>
      <w:ind w:left="238"/>
    </w:pPr>
  </w:style>
  <w:style w:type="paragraph" w:styleId="TOC4">
    <w:name w:val="toc 4"/>
    <w:basedOn w:val="Normal"/>
    <w:next w:val="Normal"/>
    <w:autoRedefine/>
    <w:semiHidden/>
    <w:rsid w:val="00797EFF"/>
    <w:pPr>
      <w:tabs>
        <w:tab w:val="right" w:leader="dot" w:pos="9360"/>
      </w:tabs>
      <w:ind w:left="480"/>
    </w:pPr>
    <w:rPr>
      <w:sz w:val="18"/>
    </w:rPr>
  </w:style>
  <w:style w:type="paragraph" w:styleId="TOC5">
    <w:name w:val="toc 5"/>
    <w:basedOn w:val="Normal"/>
    <w:next w:val="Normal"/>
    <w:autoRedefine/>
    <w:semiHidden/>
    <w:rsid w:val="00797EFF"/>
    <w:pPr>
      <w:tabs>
        <w:tab w:val="right" w:leader="dot" w:pos="9360"/>
      </w:tabs>
      <w:ind w:left="720"/>
    </w:pPr>
    <w:rPr>
      <w:sz w:val="18"/>
    </w:rPr>
  </w:style>
  <w:style w:type="paragraph" w:styleId="TOC6">
    <w:name w:val="toc 6"/>
    <w:basedOn w:val="Normal"/>
    <w:next w:val="Normal"/>
    <w:autoRedefine/>
    <w:semiHidden/>
    <w:rsid w:val="00797EFF"/>
    <w:pPr>
      <w:tabs>
        <w:tab w:val="right" w:leader="dot" w:pos="9360"/>
      </w:tabs>
      <w:ind w:left="960"/>
    </w:pPr>
    <w:rPr>
      <w:sz w:val="18"/>
    </w:rPr>
  </w:style>
  <w:style w:type="paragraph" w:styleId="TOC7">
    <w:name w:val="toc 7"/>
    <w:basedOn w:val="Normal"/>
    <w:next w:val="Normal"/>
    <w:autoRedefine/>
    <w:semiHidden/>
    <w:rsid w:val="00797EFF"/>
    <w:pPr>
      <w:tabs>
        <w:tab w:val="right" w:leader="dot" w:pos="9360"/>
      </w:tabs>
      <w:ind w:left="1200"/>
    </w:pPr>
    <w:rPr>
      <w:sz w:val="18"/>
    </w:rPr>
  </w:style>
  <w:style w:type="paragraph" w:styleId="TOC8">
    <w:name w:val="toc 8"/>
    <w:basedOn w:val="Normal"/>
    <w:next w:val="Normal"/>
    <w:autoRedefine/>
    <w:semiHidden/>
    <w:rsid w:val="00797EFF"/>
    <w:pPr>
      <w:tabs>
        <w:tab w:val="right" w:leader="dot" w:pos="9360"/>
      </w:tabs>
      <w:ind w:left="1440"/>
    </w:pPr>
    <w:rPr>
      <w:sz w:val="18"/>
    </w:rPr>
  </w:style>
  <w:style w:type="paragraph" w:styleId="TOC9">
    <w:name w:val="toc 9"/>
    <w:basedOn w:val="Normal"/>
    <w:next w:val="Normal"/>
    <w:autoRedefine/>
    <w:semiHidden/>
    <w:rsid w:val="00797EFF"/>
    <w:pPr>
      <w:tabs>
        <w:tab w:val="right" w:leader="dot" w:pos="9360"/>
      </w:tabs>
      <w:ind w:left="1680"/>
    </w:pPr>
    <w:rPr>
      <w:sz w:val="18"/>
    </w:rPr>
  </w:style>
  <w:style w:type="paragraph" w:styleId="FootnoteText">
    <w:name w:val="footnote text"/>
    <w:basedOn w:val="Normal"/>
    <w:link w:val="FootnoteTextChar"/>
    <w:uiPriority w:val="99"/>
    <w:rsid w:val="00797EFF"/>
  </w:style>
  <w:style w:type="paragraph" w:customStyle="1" w:styleId="equation">
    <w:name w:val="equation"/>
    <w:basedOn w:val="Normal"/>
    <w:autoRedefine/>
    <w:qFormat/>
    <w:rsid w:val="00D551B3"/>
    <w:pPr>
      <w:numPr>
        <w:numId w:val="5"/>
      </w:numPr>
    </w:pPr>
  </w:style>
  <w:style w:type="character" w:styleId="FootnoteReference">
    <w:name w:val="footnote reference"/>
    <w:basedOn w:val="DefaultParagraphFont"/>
    <w:uiPriority w:val="99"/>
    <w:rsid w:val="00797EFF"/>
    <w:rPr>
      <w:vertAlign w:val="superscript"/>
    </w:rPr>
  </w:style>
  <w:style w:type="character" w:styleId="CommentReference">
    <w:name w:val="annotation reference"/>
    <w:basedOn w:val="DefaultParagraphFont"/>
    <w:semiHidden/>
    <w:rsid w:val="00797EFF"/>
    <w:rPr>
      <w:sz w:val="16"/>
    </w:rPr>
  </w:style>
  <w:style w:type="paragraph" w:customStyle="1" w:styleId="HintPointyFinger">
    <w:name w:val="Hint: Pointy Finger"/>
    <w:basedOn w:val="Normal"/>
    <w:next w:val="Normal"/>
    <w:rsid w:val="00797EFF"/>
    <w:pPr>
      <w:keepLines/>
      <w:pBdr>
        <w:top w:val="single" w:sz="4" w:space="1" w:color="auto"/>
        <w:bottom w:val="single" w:sz="4" w:space="6" w:color="auto"/>
      </w:pBdr>
      <w:tabs>
        <w:tab w:val="left" w:pos="360"/>
        <w:tab w:val="left" w:pos="720"/>
        <w:tab w:val="num" w:pos="1080"/>
      </w:tabs>
      <w:spacing w:before="240" w:after="120"/>
      <w:ind w:left="1080" w:hanging="720"/>
    </w:pPr>
    <w:rPr>
      <w:rFonts w:ascii="Times New Roman" w:hAnsi="Times New Roman"/>
      <w:sz w:val="22"/>
      <w:lang w:val="en-CA"/>
    </w:rPr>
  </w:style>
  <w:style w:type="paragraph" w:styleId="ListBullet">
    <w:name w:val="List Bullet"/>
    <w:basedOn w:val="Normal"/>
    <w:autoRedefine/>
    <w:semiHidden/>
    <w:rsid w:val="00797EFF"/>
    <w:pPr>
      <w:numPr>
        <w:numId w:val="2"/>
      </w:numPr>
      <w:spacing w:before="80" w:after="80"/>
      <w:ind w:left="1080"/>
    </w:pPr>
    <w:rPr>
      <w:sz w:val="22"/>
    </w:rPr>
  </w:style>
  <w:style w:type="paragraph" w:customStyle="1" w:styleId="Listbulletarrow">
    <w:name w:val="List bullet arrow"/>
    <w:basedOn w:val="ListBullet"/>
    <w:rsid w:val="00797EFF"/>
    <w:pPr>
      <w:spacing w:before="120"/>
    </w:pPr>
    <w:rPr>
      <w:b/>
    </w:rPr>
  </w:style>
  <w:style w:type="paragraph" w:styleId="CommentText">
    <w:name w:val="annotation text"/>
    <w:basedOn w:val="Normal"/>
    <w:link w:val="CommentTextChar1"/>
    <w:semiHidden/>
    <w:rsid w:val="00797EFF"/>
  </w:style>
  <w:style w:type="paragraph" w:customStyle="1" w:styleId="bullet">
    <w:name w:val="bullet"/>
    <w:basedOn w:val="Normal"/>
    <w:rsid w:val="00797EFF"/>
    <w:pPr>
      <w:numPr>
        <w:numId w:val="3"/>
      </w:numPr>
      <w:tabs>
        <w:tab w:val="clear" w:pos="360"/>
      </w:tabs>
      <w:spacing w:before="40" w:after="40" w:line="281" w:lineRule="auto"/>
      <w:ind w:left="1080" w:right="-547"/>
    </w:pPr>
    <w:rPr>
      <w:rFonts w:ascii="Times New Roman" w:hAnsi="Times New Roman"/>
      <w:color w:val="000000"/>
      <w:sz w:val="22"/>
    </w:rPr>
  </w:style>
  <w:style w:type="paragraph" w:styleId="BodyText">
    <w:name w:val="Body Text"/>
    <w:basedOn w:val="Normal"/>
    <w:semiHidden/>
    <w:rsid w:val="00797EFF"/>
    <w:pPr>
      <w:spacing w:before="240" w:line="220" w:lineRule="atLeast"/>
    </w:pPr>
  </w:style>
  <w:style w:type="paragraph" w:styleId="DocumentMap">
    <w:name w:val="Document Map"/>
    <w:basedOn w:val="Normal"/>
    <w:semiHidden/>
    <w:rsid w:val="00797EFF"/>
    <w:pPr>
      <w:shd w:val="clear" w:color="auto" w:fill="000080"/>
    </w:pPr>
    <w:rPr>
      <w:rFonts w:ascii="Tahoma" w:hAnsi="Tahoma"/>
    </w:rPr>
  </w:style>
  <w:style w:type="paragraph" w:styleId="Header">
    <w:name w:val="header"/>
    <w:basedOn w:val="Normal"/>
    <w:link w:val="HeaderChar"/>
    <w:uiPriority w:val="99"/>
    <w:unhideWhenUsed/>
    <w:rsid w:val="00B46514"/>
    <w:pPr>
      <w:tabs>
        <w:tab w:val="center" w:pos="4680"/>
        <w:tab w:val="right" w:pos="9360"/>
      </w:tabs>
    </w:pPr>
  </w:style>
  <w:style w:type="character" w:customStyle="1" w:styleId="HeaderChar">
    <w:name w:val="Header Char"/>
    <w:basedOn w:val="DefaultParagraphFont"/>
    <w:link w:val="Header"/>
    <w:uiPriority w:val="99"/>
    <w:rsid w:val="00B46514"/>
    <w:rPr>
      <w:rFonts w:ascii="Calibri" w:hAnsi="Calibri"/>
    </w:rPr>
  </w:style>
  <w:style w:type="paragraph" w:customStyle="1" w:styleId="Figure">
    <w:name w:val="Figure"/>
    <w:basedOn w:val="Normal"/>
    <w:qFormat/>
    <w:rsid w:val="005345E7"/>
    <w:pPr>
      <w:numPr>
        <w:numId w:val="6"/>
      </w:numPr>
      <w:autoSpaceDE w:val="0"/>
      <w:autoSpaceDN w:val="0"/>
      <w:adjustRightInd w:val="0"/>
      <w:spacing w:before="0"/>
    </w:pPr>
    <w:rPr>
      <w:color w:val="000000"/>
      <w:shd w:val="clear" w:color="auto" w:fill="FFFFFF"/>
    </w:rPr>
  </w:style>
  <w:style w:type="paragraph" w:styleId="BalloonText">
    <w:name w:val="Balloon Text"/>
    <w:basedOn w:val="Normal"/>
    <w:semiHidden/>
    <w:rsid w:val="00797EFF"/>
    <w:rPr>
      <w:rFonts w:ascii="Tahoma" w:hAnsi="Tahoma" w:cs="Tahoma"/>
      <w:sz w:val="16"/>
      <w:szCs w:val="16"/>
    </w:rPr>
  </w:style>
  <w:style w:type="paragraph" w:styleId="BodyText3">
    <w:name w:val="Body Text 3"/>
    <w:basedOn w:val="Normal"/>
    <w:semiHidden/>
    <w:unhideWhenUsed/>
    <w:rsid w:val="00797EFF"/>
    <w:pPr>
      <w:spacing w:after="120"/>
    </w:pPr>
    <w:rPr>
      <w:sz w:val="16"/>
      <w:szCs w:val="16"/>
    </w:rPr>
  </w:style>
  <w:style w:type="character" w:customStyle="1" w:styleId="BodyText3Char">
    <w:name w:val="Body Text 3 Char"/>
    <w:basedOn w:val="DefaultParagraphFont"/>
    <w:semiHidden/>
    <w:rsid w:val="00797EFF"/>
    <w:rPr>
      <w:rFonts w:ascii="Calibri" w:hAnsi="Calibri"/>
      <w:sz w:val="16"/>
      <w:szCs w:val="16"/>
    </w:rPr>
  </w:style>
  <w:style w:type="table" w:styleId="TableGrid">
    <w:name w:val="Table Grid"/>
    <w:basedOn w:val="TableNormal"/>
    <w:uiPriority w:val="59"/>
    <w:rsid w:val="00AE33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rsid w:val="00295A6C"/>
    <w:pPr>
      <w:spacing w:before="240" w:after="60"/>
      <w:jc w:val="center"/>
      <w:outlineLvl w:val="0"/>
    </w:pPr>
    <w:rPr>
      <w:b/>
      <w:bCs/>
      <w:kern w:val="28"/>
      <w:sz w:val="32"/>
      <w:szCs w:val="32"/>
    </w:rPr>
  </w:style>
  <w:style w:type="character" w:customStyle="1" w:styleId="TitleChar">
    <w:name w:val="Title Char"/>
    <w:basedOn w:val="DefaultParagraphFont"/>
    <w:link w:val="Title"/>
    <w:uiPriority w:val="10"/>
    <w:rsid w:val="00295A6C"/>
    <w:rPr>
      <w:rFonts w:ascii="Calibri" w:eastAsia="Times New Roman" w:hAnsi="Calibri" w:cs="Times New Roman"/>
      <w:b/>
      <w:bCs/>
      <w:kern w:val="28"/>
      <w:sz w:val="32"/>
      <w:szCs w:val="32"/>
    </w:rPr>
  </w:style>
  <w:style w:type="paragraph" w:customStyle="1" w:styleId="Default">
    <w:name w:val="Default"/>
    <w:rsid w:val="00927B82"/>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9A57D2"/>
    <w:pPr>
      <w:spacing w:before="0"/>
      <w:ind w:left="720"/>
      <w:contextualSpacing/>
    </w:pPr>
    <w:rPr>
      <w:rFonts w:ascii="Times New Roman" w:eastAsia="SimSun" w:hAnsi="Times New Roman"/>
      <w:sz w:val="24"/>
      <w:szCs w:val="24"/>
      <w:lang w:val="en-CA" w:eastAsia="zh-CN"/>
    </w:rPr>
  </w:style>
  <w:style w:type="paragraph" w:styleId="Caption">
    <w:name w:val="caption"/>
    <w:basedOn w:val="Normal"/>
    <w:next w:val="Normal"/>
    <w:uiPriority w:val="35"/>
    <w:unhideWhenUsed/>
    <w:rsid w:val="009A57D2"/>
    <w:pPr>
      <w:spacing w:before="0" w:after="200"/>
    </w:pPr>
    <w:rPr>
      <w:rFonts w:ascii="Times New Roman" w:eastAsia="SimSun" w:hAnsi="Times New Roman"/>
      <w:b/>
      <w:bCs/>
      <w:color w:val="4F81BD"/>
      <w:sz w:val="24"/>
      <w:szCs w:val="18"/>
      <w:lang w:val="en-CA" w:eastAsia="zh-CN"/>
    </w:rPr>
  </w:style>
  <w:style w:type="table" w:customStyle="1" w:styleId="LightShading1">
    <w:name w:val="Light Shading1"/>
    <w:basedOn w:val="TableNormal"/>
    <w:uiPriority w:val="60"/>
    <w:rsid w:val="00D907E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semiHidden/>
    <w:unhideWhenUsed/>
    <w:rsid w:val="00CD45C9"/>
    <w:pPr>
      <w:spacing w:before="0" w:after="360" w:line="360" w:lineRule="atLeast"/>
    </w:pPr>
    <w:rPr>
      <w:rFonts w:ascii="Times New Roman" w:hAnsi="Times New Roman"/>
      <w:sz w:val="24"/>
      <w:szCs w:val="24"/>
    </w:rPr>
  </w:style>
  <w:style w:type="paragraph" w:customStyle="1" w:styleId="Table">
    <w:name w:val="Table"/>
    <w:basedOn w:val="Normal"/>
    <w:qFormat/>
    <w:rsid w:val="00B8430E"/>
    <w:pPr>
      <w:numPr>
        <w:numId w:val="7"/>
      </w:numPr>
      <w:spacing w:before="0"/>
    </w:pPr>
    <w:rPr>
      <w:szCs w:val="22"/>
    </w:rPr>
  </w:style>
  <w:style w:type="character" w:styleId="Hyperlink">
    <w:name w:val="Hyperlink"/>
    <w:basedOn w:val="DefaultParagraphFont"/>
    <w:uiPriority w:val="99"/>
    <w:unhideWhenUsed/>
    <w:rsid w:val="004C417C"/>
    <w:rPr>
      <w:color w:val="0000FF"/>
      <w:u w:val="single"/>
    </w:rPr>
  </w:style>
  <w:style w:type="character" w:customStyle="1" w:styleId="citation">
    <w:name w:val="citation"/>
    <w:basedOn w:val="DefaultParagraphFont"/>
    <w:rsid w:val="004C417C"/>
  </w:style>
  <w:style w:type="character" w:styleId="PlaceholderText">
    <w:name w:val="Placeholder Text"/>
    <w:basedOn w:val="DefaultParagraphFont"/>
    <w:uiPriority w:val="99"/>
    <w:semiHidden/>
    <w:rsid w:val="00BC3EFD"/>
    <w:rPr>
      <w:color w:val="808080"/>
    </w:rPr>
  </w:style>
  <w:style w:type="character" w:styleId="FollowedHyperlink">
    <w:name w:val="FollowedHyperlink"/>
    <w:basedOn w:val="DefaultParagraphFont"/>
    <w:uiPriority w:val="99"/>
    <w:semiHidden/>
    <w:unhideWhenUsed/>
    <w:rsid w:val="003C2E4D"/>
    <w:rPr>
      <w:color w:val="800080"/>
      <w:u w:val="single"/>
    </w:rPr>
  </w:style>
  <w:style w:type="paragraph" w:customStyle="1" w:styleId="xl65">
    <w:name w:val="xl65"/>
    <w:basedOn w:val="Normal"/>
    <w:rsid w:val="003C2E4D"/>
    <w:pP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66">
    <w:name w:val="xl66"/>
    <w:basedOn w:val="Normal"/>
    <w:rsid w:val="003C2E4D"/>
    <w:pP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67">
    <w:name w:val="xl67"/>
    <w:basedOn w:val="Normal"/>
    <w:rsid w:val="003C2E4D"/>
    <w:pPr>
      <w:pBdr>
        <w:top w:val="single" w:sz="4" w:space="0" w:color="auto"/>
        <w:left w:val="single" w:sz="12"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68">
    <w:name w:val="xl68"/>
    <w:basedOn w:val="Normal"/>
    <w:rsid w:val="003C2E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69">
    <w:name w:val="xl69"/>
    <w:basedOn w:val="Normal"/>
    <w:rsid w:val="003C2E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0">
    <w:name w:val="xl70"/>
    <w:basedOn w:val="Normal"/>
    <w:rsid w:val="003C2E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1">
    <w:name w:val="xl71"/>
    <w:basedOn w:val="Normal"/>
    <w:rsid w:val="003C2E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72">
    <w:name w:val="xl72"/>
    <w:basedOn w:val="Normal"/>
    <w:rsid w:val="003C2E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73">
    <w:name w:val="xl73"/>
    <w:basedOn w:val="Normal"/>
    <w:rsid w:val="003C2E4D"/>
    <w:pPr>
      <w:pBdr>
        <w:top w:val="single" w:sz="4" w:space="0" w:color="auto"/>
        <w:left w:val="single" w:sz="4" w:space="0" w:color="auto"/>
        <w:bottom w:val="single" w:sz="4" w:space="0" w:color="auto"/>
        <w:right w:val="single" w:sz="12" w:space="0" w:color="auto"/>
      </w:pBdr>
      <w:spacing w:before="100" w:beforeAutospacing="1" w:after="100" w:afterAutospacing="1"/>
    </w:pPr>
    <w:rPr>
      <w:rFonts w:ascii="Times New Roman" w:hAnsi="Times New Roman"/>
      <w:sz w:val="24"/>
      <w:szCs w:val="24"/>
      <w:lang w:val="en-CA" w:eastAsia="zh-CN"/>
    </w:rPr>
  </w:style>
  <w:style w:type="paragraph" w:customStyle="1" w:styleId="xl74">
    <w:name w:val="xl74"/>
    <w:basedOn w:val="Normal"/>
    <w:rsid w:val="003C2E4D"/>
    <w:pPr>
      <w:pBdr>
        <w:top w:val="single" w:sz="4" w:space="0" w:color="auto"/>
        <w:left w:val="single" w:sz="12" w:space="0" w:color="auto"/>
        <w:bottom w:val="single" w:sz="12"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5">
    <w:name w:val="xl75"/>
    <w:basedOn w:val="Normal"/>
    <w:rsid w:val="003C2E4D"/>
    <w:pPr>
      <w:pBdr>
        <w:top w:val="single" w:sz="4"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6">
    <w:name w:val="xl76"/>
    <w:basedOn w:val="Normal"/>
    <w:rsid w:val="003C2E4D"/>
    <w:pPr>
      <w:pBdr>
        <w:top w:val="single" w:sz="4"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7">
    <w:name w:val="xl77"/>
    <w:basedOn w:val="Normal"/>
    <w:rsid w:val="003C2E4D"/>
    <w:pPr>
      <w:pBdr>
        <w:top w:val="single" w:sz="4"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78">
    <w:name w:val="xl78"/>
    <w:basedOn w:val="Normal"/>
    <w:rsid w:val="003C2E4D"/>
    <w:pPr>
      <w:pBdr>
        <w:top w:val="single" w:sz="4" w:space="0" w:color="auto"/>
        <w:left w:val="single" w:sz="4" w:space="0" w:color="auto"/>
        <w:bottom w:val="single" w:sz="12"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79">
    <w:name w:val="xl79"/>
    <w:basedOn w:val="Normal"/>
    <w:rsid w:val="003C2E4D"/>
    <w:pPr>
      <w:pBdr>
        <w:top w:val="single" w:sz="4" w:space="0" w:color="auto"/>
        <w:left w:val="single" w:sz="4" w:space="0" w:color="auto"/>
        <w:bottom w:val="single" w:sz="12"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80">
    <w:name w:val="xl80"/>
    <w:basedOn w:val="Normal"/>
    <w:rsid w:val="003C2E4D"/>
    <w:pPr>
      <w:pBdr>
        <w:top w:val="single" w:sz="4" w:space="0" w:color="auto"/>
        <w:left w:val="single" w:sz="4" w:space="0" w:color="auto"/>
        <w:bottom w:val="single" w:sz="12" w:space="0" w:color="auto"/>
        <w:right w:val="single" w:sz="12" w:space="0" w:color="auto"/>
      </w:pBdr>
      <w:spacing w:before="100" w:beforeAutospacing="1" w:after="100" w:afterAutospacing="1"/>
    </w:pPr>
    <w:rPr>
      <w:rFonts w:ascii="Times New Roman" w:hAnsi="Times New Roman"/>
      <w:sz w:val="24"/>
      <w:szCs w:val="24"/>
      <w:lang w:val="en-CA" w:eastAsia="zh-CN"/>
    </w:rPr>
  </w:style>
  <w:style w:type="paragraph" w:customStyle="1" w:styleId="xl81">
    <w:name w:val="xl81"/>
    <w:basedOn w:val="Normal"/>
    <w:rsid w:val="003C2E4D"/>
    <w:pPr>
      <w:pBdr>
        <w:left w:val="single" w:sz="12"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82">
    <w:name w:val="xl82"/>
    <w:basedOn w:val="Normal"/>
    <w:rsid w:val="003C2E4D"/>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83">
    <w:name w:val="xl83"/>
    <w:basedOn w:val="Normal"/>
    <w:rsid w:val="003C2E4D"/>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84">
    <w:name w:val="xl84"/>
    <w:basedOn w:val="Normal"/>
    <w:rsid w:val="003C2E4D"/>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zh-CN"/>
    </w:rPr>
  </w:style>
  <w:style w:type="paragraph" w:customStyle="1" w:styleId="xl85">
    <w:name w:val="xl85"/>
    <w:basedOn w:val="Normal"/>
    <w:rsid w:val="003C2E4D"/>
    <w:pPr>
      <w:pBdr>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86">
    <w:name w:val="xl86"/>
    <w:basedOn w:val="Normal"/>
    <w:rsid w:val="003C2E4D"/>
    <w:pPr>
      <w:pBdr>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sz w:val="24"/>
      <w:szCs w:val="24"/>
      <w:lang w:val="en-CA" w:eastAsia="zh-CN"/>
    </w:rPr>
  </w:style>
  <w:style w:type="paragraph" w:customStyle="1" w:styleId="xl87">
    <w:name w:val="xl87"/>
    <w:basedOn w:val="Normal"/>
    <w:rsid w:val="003C2E4D"/>
    <w:pPr>
      <w:pBdr>
        <w:left w:val="single" w:sz="4" w:space="0" w:color="auto"/>
        <w:bottom w:val="single" w:sz="4" w:space="0" w:color="auto"/>
        <w:right w:val="single" w:sz="12" w:space="0" w:color="auto"/>
      </w:pBdr>
      <w:spacing w:before="100" w:beforeAutospacing="1" w:after="100" w:afterAutospacing="1"/>
    </w:pPr>
    <w:rPr>
      <w:rFonts w:ascii="Times New Roman" w:hAnsi="Times New Roman"/>
      <w:sz w:val="24"/>
      <w:szCs w:val="24"/>
      <w:lang w:val="en-CA" w:eastAsia="zh-CN"/>
    </w:rPr>
  </w:style>
  <w:style w:type="paragraph" w:customStyle="1" w:styleId="xl88">
    <w:name w:val="xl88"/>
    <w:basedOn w:val="Normal"/>
    <w:rsid w:val="003C2E4D"/>
    <w:pPr>
      <w:pBdr>
        <w:top w:val="single" w:sz="12" w:space="0" w:color="auto"/>
        <w:left w:val="single" w:sz="12" w:space="0" w:color="auto"/>
        <w:bottom w:val="single" w:sz="12" w:space="0" w:color="auto"/>
        <w:right w:val="single" w:sz="4" w:space="0" w:color="auto"/>
      </w:pBdr>
      <w:spacing w:before="100" w:beforeAutospacing="1" w:after="100" w:afterAutospacing="1"/>
    </w:pPr>
    <w:rPr>
      <w:rFonts w:ascii="Times New Roman" w:hAnsi="Times New Roman"/>
      <w:b/>
      <w:bCs/>
      <w:sz w:val="24"/>
      <w:szCs w:val="24"/>
      <w:lang w:val="en-CA" w:eastAsia="zh-CN"/>
    </w:rPr>
  </w:style>
  <w:style w:type="paragraph" w:customStyle="1" w:styleId="xl89">
    <w:name w:val="xl89"/>
    <w:basedOn w:val="Normal"/>
    <w:rsid w:val="003C2E4D"/>
    <w:pPr>
      <w:pBdr>
        <w:top w:val="single" w:sz="12"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b/>
      <w:bCs/>
      <w:sz w:val="24"/>
      <w:szCs w:val="24"/>
      <w:lang w:val="en-CA" w:eastAsia="zh-CN"/>
    </w:rPr>
  </w:style>
  <w:style w:type="paragraph" w:customStyle="1" w:styleId="xl90">
    <w:name w:val="xl90"/>
    <w:basedOn w:val="Normal"/>
    <w:rsid w:val="003C2E4D"/>
    <w:pPr>
      <w:pBdr>
        <w:top w:val="single" w:sz="12"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b/>
      <w:bCs/>
      <w:sz w:val="24"/>
      <w:szCs w:val="24"/>
      <w:lang w:val="en-CA" w:eastAsia="zh-CN"/>
    </w:rPr>
  </w:style>
  <w:style w:type="paragraph" w:customStyle="1" w:styleId="xl91">
    <w:name w:val="xl91"/>
    <w:basedOn w:val="Normal"/>
    <w:rsid w:val="003C2E4D"/>
    <w:pPr>
      <w:pBdr>
        <w:top w:val="single" w:sz="12" w:space="0" w:color="auto"/>
        <w:left w:val="single" w:sz="4" w:space="0" w:color="auto"/>
        <w:bottom w:val="single" w:sz="12" w:space="0" w:color="auto"/>
        <w:right w:val="single" w:sz="4" w:space="0" w:color="auto"/>
      </w:pBdr>
      <w:spacing w:before="100" w:beforeAutospacing="1" w:after="100" w:afterAutospacing="1"/>
    </w:pPr>
    <w:rPr>
      <w:rFonts w:ascii="Times New Roman" w:hAnsi="Times New Roman"/>
      <w:b/>
      <w:bCs/>
      <w:sz w:val="24"/>
      <w:szCs w:val="24"/>
      <w:lang w:val="en-CA" w:eastAsia="zh-CN"/>
    </w:rPr>
  </w:style>
  <w:style w:type="paragraph" w:customStyle="1" w:styleId="xl92">
    <w:name w:val="xl92"/>
    <w:basedOn w:val="Normal"/>
    <w:rsid w:val="003C2E4D"/>
    <w:pPr>
      <w:pBdr>
        <w:top w:val="single" w:sz="12" w:space="0" w:color="auto"/>
        <w:left w:val="single" w:sz="4" w:space="0" w:color="auto"/>
        <w:bottom w:val="single" w:sz="12" w:space="0" w:color="auto"/>
        <w:right w:val="single" w:sz="4" w:space="0" w:color="auto"/>
      </w:pBdr>
      <w:shd w:val="clear" w:color="000000" w:fill="FFFF00"/>
      <w:spacing w:before="100" w:beforeAutospacing="1" w:after="100" w:afterAutospacing="1"/>
    </w:pPr>
    <w:rPr>
      <w:rFonts w:ascii="Times New Roman" w:hAnsi="Times New Roman"/>
      <w:b/>
      <w:bCs/>
      <w:sz w:val="24"/>
      <w:szCs w:val="24"/>
      <w:lang w:val="en-CA" w:eastAsia="zh-CN"/>
    </w:rPr>
  </w:style>
  <w:style w:type="paragraph" w:customStyle="1" w:styleId="xl93">
    <w:name w:val="xl93"/>
    <w:basedOn w:val="Normal"/>
    <w:rsid w:val="003C2E4D"/>
    <w:pPr>
      <w:pBdr>
        <w:top w:val="single" w:sz="12" w:space="0" w:color="auto"/>
        <w:left w:val="single" w:sz="4" w:space="0" w:color="auto"/>
        <w:bottom w:val="single" w:sz="12" w:space="0" w:color="auto"/>
        <w:right w:val="single" w:sz="4" w:space="0" w:color="auto"/>
      </w:pBdr>
      <w:shd w:val="clear" w:color="000000" w:fill="FFFF00"/>
      <w:spacing w:before="100" w:beforeAutospacing="1" w:after="100" w:afterAutospacing="1"/>
    </w:pPr>
    <w:rPr>
      <w:rFonts w:ascii="Times New Roman" w:hAnsi="Times New Roman"/>
      <w:b/>
      <w:bCs/>
      <w:sz w:val="24"/>
      <w:szCs w:val="24"/>
      <w:lang w:val="en-CA" w:eastAsia="zh-CN"/>
    </w:rPr>
  </w:style>
  <w:style w:type="paragraph" w:customStyle="1" w:styleId="xl94">
    <w:name w:val="xl94"/>
    <w:basedOn w:val="Normal"/>
    <w:rsid w:val="003C2E4D"/>
    <w:pPr>
      <w:pBdr>
        <w:top w:val="single" w:sz="12" w:space="0" w:color="auto"/>
        <w:left w:val="single" w:sz="4" w:space="0" w:color="auto"/>
        <w:bottom w:val="single" w:sz="12" w:space="0" w:color="auto"/>
        <w:right w:val="single" w:sz="12" w:space="0" w:color="auto"/>
      </w:pBdr>
      <w:spacing w:before="100" w:beforeAutospacing="1" w:after="100" w:afterAutospacing="1"/>
    </w:pPr>
    <w:rPr>
      <w:rFonts w:ascii="Times New Roman" w:hAnsi="Times New Roman"/>
      <w:b/>
      <w:bCs/>
      <w:sz w:val="24"/>
      <w:szCs w:val="24"/>
      <w:lang w:val="en-CA" w:eastAsia="zh-CN"/>
    </w:rPr>
  </w:style>
  <w:style w:type="paragraph" w:customStyle="1" w:styleId="xl95">
    <w:name w:val="xl95"/>
    <w:basedOn w:val="Normal"/>
    <w:rsid w:val="003C2E4D"/>
    <w:pPr>
      <w:pBdr>
        <w:top w:val="single" w:sz="12" w:space="0" w:color="auto"/>
        <w:bottom w:val="single" w:sz="12" w:space="0" w:color="auto"/>
      </w:pBdr>
      <w:spacing w:before="100" w:beforeAutospacing="1" w:after="100" w:afterAutospacing="1"/>
    </w:pPr>
    <w:rPr>
      <w:rFonts w:ascii="Times New Roman" w:hAnsi="Times New Roman"/>
      <w:b/>
      <w:bCs/>
      <w:sz w:val="24"/>
      <w:szCs w:val="24"/>
      <w:lang w:val="en-CA" w:eastAsia="zh-CN"/>
    </w:rPr>
  </w:style>
  <w:style w:type="paragraph" w:customStyle="1" w:styleId="xl96">
    <w:name w:val="xl96"/>
    <w:basedOn w:val="Normal"/>
    <w:rsid w:val="003C2E4D"/>
    <w:pPr>
      <w:spacing w:before="100" w:beforeAutospacing="1" w:after="100" w:afterAutospacing="1"/>
    </w:pPr>
    <w:rPr>
      <w:rFonts w:ascii="Times New Roman" w:hAnsi="Times New Roman"/>
      <w:sz w:val="16"/>
      <w:szCs w:val="16"/>
      <w:lang w:val="en-CA" w:eastAsia="zh-CN"/>
    </w:rPr>
  </w:style>
  <w:style w:type="paragraph" w:customStyle="1" w:styleId="xl97">
    <w:name w:val="xl97"/>
    <w:basedOn w:val="Normal"/>
    <w:rsid w:val="003C2E4D"/>
    <w:pPr>
      <w:shd w:val="clear" w:color="000000" w:fill="FFFF00"/>
      <w:spacing w:before="100" w:beforeAutospacing="1" w:after="100" w:afterAutospacing="1"/>
    </w:pPr>
    <w:rPr>
      <w:rFonts w:ascii="Times New Roman" w:hAnsi="Times New Roman"/>
      <w:sz w:val="16"/>
      <w:szCs w:val="16"/>
      <w:lang w:val="en-CA" w:eastAsia="zh-CN"/>
    </w:rPr>
  </w:style>
  <w:style w:type="paragraph" w:customStyle="1" w:styleId="xl98">
    <w:name w:val="xl98"/>
    <w:basedOn w:val="Normal"/>
    <w:rsid w:val="003C2E4D"/>
    <w:pPr>
      <w:shd w:val="clear" w:color="000000" w:fill="FFFF00"/>
      <w:spacing w:before="100" w:beforeAutospacing="1" w:after="100" w:afterAutospacing="1"/>
    </w:pPr>
    <w:rPr>
      <w:rFonts w:ascii="Times New Roman" w:hAnsi="Times New Roman"/>
      <w:sz w:val="16"/>
      <w:szCs w:val="16"/>
      <w:lang w:val="en-CA" w:eastAsia="zh-CN"/>
    </w:rPr>
  </w:style>
  <w:style w:type="table" w:customStyle="1" w:styleId="TableGrid1">
    <w:name w:val="Table Grid1"/>
    <w:basedOn w:val="TableNormal"/>
    <w:next w:val="TableGrid"/>
    <w:uiPriority w:val="59"/>
    <w:rsid w:val="000627B6"/>
    <w:pPr>
      <w:spacing w:before="120"/>
      <w:ind w:left="360" w:hanging="360"/>
    </w:pPr>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TextChar">
    <w:name w:val="Footnote Text Char"/>
    <w:basedOn w:val="DefaultParagraphFont"/>
    <w:link w:val="FootnoteText"/>
    <w:uiPriority w:val="99"/>
    <w:rsid w:val="00A34D0D"/>
    <w:rPr>
      <w:rFonts w:ascii="Calibri" w:hAnsi="Calibri"/>
      <w:lang w:val="en-US" w:eastAsia="en-US"/>
    </w:rPr>
  </w:style>
  <w:style w:type="character" w:customStyle="1" w:styleId="CommentTextChar">
    <w:name w:val="Comment Text Char"/>
    <w:basedOn w:val="DefaultParagraphFont"/>
    <w:semiHidden/>
    <w:rsid w:val="00A34D0D"/>
    <w:rPr>
      <w:rFonts w:ascii="Calibri" w:hAnsi="Calibri"/>
    </w:rPr>
  </w:style>
  <w:style w:type="table" w:customStyle="1" w:styleId="TableGrid2">
    <w:name w:val="Table Grid2"/>
    <w:basedOn w:val="TableNormal"/>
    <w:next w:val="TableGrid"/>
    <w:uiPriority w:val="59"/>
    <w:rsid w:val="00A34D0D"/>
    <w:pPr>
      <w:spacing w:before="120"/>
      <w:ind w:left="360" w:hanging="360"/>
    </w:pPr>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A34D0D"/>
    <w:pPr>
      <w:spacing w:before="120"/>
      <w:ind w:left="360" w:hanging="360"/>
    </w:pPr>
    <w:rPr>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ommentSubject">
    <w:name w:val="annotation subject"/>
    <w:basedOn w:val="CommentText"/>
    <w:next w:val="CommentText"/>
    <w:link w:val="CommentSubjectChar"/>
    <w:uiPriority w:val="99"/>
    <w:semiHidden/>
    <w:unhideWhenUsed/>
    <w:rsid w:val="00A34D0D"/>
    <w:rPr>
      <w:b/>
      <w:bCs/>
    </w:rPr>
  </w:style>
  <w:style w:type="character" w:customStyle="1" w:styleId="CommentTextChar1">
    <w:name w:val="Comment Text Char1"/>
    <w:basedOn w:val="DefaultParagraphFont"/>
    <w:link w:val="CommentText"/>
    <w:semiHidden/>
    <w:rsid w:val="00A34D0D"/>
    <w:rPr>
      <w:rFonts w:ascii="Calibri" w:hAnsi="Calibri"/>
      <w:lang w:val="en-US" w:eastAsia="en-US"/>
    </w:rPr>
  </w:style>
  <w:style w:type="character" w:customStyle="1" w:styleId="CommentSubjectChar">
    <w:name w:val="Comment Subject Char"/>
    <w:basedOn w:val="CommentTextChar1"/>
    <w:link w:val="CommentSubject"/>
    <w:uiPriority w:val="99"/>
    <w:semiHidden/>
    <w:rsid w:val="00A34D0D"/>
    <w:rPr>
      <w:rFonts w:ascii="Calibri" w:hAnsi="Calibri"/>
      <w:b/>
      <w:bCs/>
      <w:lang w:val="en-US" w:eastAsia="en-US"/>
    </w:rPr>
  </w:style>
  <w:style w:type="table" w:customStyle="1" w:styleId="LightShading2">
    <w:name w:val="Light Shading2"/>
    <w:basedOn w:val="TableNormal"/>
    <w:uiPriority w:val="60"/>
    <w:rsid w:val="00A34D0D"/>
    <w:pPr>
      <w:spacing w:before="120"/>
      <w:ind w:left="360" w:hanging="360"/>
    </w:pPr>
    <w:rPr>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ndnoteText">
    <w:name w:val="endnote text"/>
    <w:basedOn w:val="Normal"/>
    <w:link w:val="EndnoteTextChar"/>
    <w:uiPriority w:val="99"/>
    <w:semiHidden/>
    <w:unhideWhenUsed/>
    <w:rsid w:val="00A34D0D"/>
    <w:pPr>
      <w:spacing w:before="0"/>
    </w:pPr>
  </w:style>
  <w:style w:type="character" w:customStyle="1" w:styleId="EndnoteTextChar">
    <w:name w:val="Endnote Text Char"/>
    <w:basedOn w:val="DefaultParagraphFont"/>
    <w:link w:val="EndnoteText"/>
    <w:uiPriority w:val="99"/>
    <w:semiHidden/>
    <w:rsid w:val="00A34D0D"/>
    <w:rPr>
      <w:rFonts w:ascii="Calibri" w:hAnsi="Calibri"/>
      <w:lang w:val="en-US" w:eastAsia="en-US"/>
    </w:rPr>
  </w:style>
  <w:style w:type="character" w:styleId="EndnoteReference">
    <w:name w:val="endnote reference"/>
    <w:basedOn w:val="DefaultParagraphFont"/>
    <w:uiPriority w:val="99"/>
    <w:semiHidden/>
    <w:unhideWhenUsed/>
    <w:rsid w:val="00A34D0D"/>
    <w:rPr>
      <w:vertAlign w:val="superscript"/>
    </w:rPr>
  </w:style>
  <w:style w:type="table" w:customStyle="1" w:styleId="TableGridLight1">
    <w:name w:val="Table Grid Light1"/>
    <w:basedOn w:val="TableNormal"/>
    <w:uiPriority w:val="40"/>
    <w:rsid w:val="00A34D0D"/>
    <w:pPr>
      <w:spacing w:before="120"/>
      <w:ind w:left="360" w:hanging="360"/>
    </w:pPr>
    <w:rPr>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F66E74"/>
    <w:rPr>
      <w:i/>
      <w:iCs/>
    </w:rPr>
  </w:style>
  <w:style w:type="paragraph" w:styleId="TableofFigures">
    <w:name w:val="table of figures"/>
    <w:basedOn w:val="Normal"/>
    <w:next w:val="Normal"/>
    <w:uiPriority w:val="99"/>
    <w:unhideWhenUsed/>
    <w:rsid w:val="00902C3A"/>
  </w:style>
  <w:style w:type="table" w:styleId="LightShading-Accent1">
    <w:name w:val="Light Shading Accent 1"/>
    <w:basedOn w:val="TableNormal"/>
    <w:uiPriority w:val="60"/>
    <w:rsid w:val="00EA6AA2"/>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34990">
      <w:bodyDiv w:val="1"/>
      <w:marLeft w:val="0"/>
      <w:marRight w:val="0"/>
      <w:marTop w:val="0"/>
      <w:marBottom w:val="0"/>
      <w:divBdr>
        <w:top w:val="none" w:sz="0" w:space="0" w:color="auto"/>
        <w:left w:val="none" w:sz="0" w:space="0" w:color="auto"/>
        <w:bottom w:val="none" w:sz="0" w:space="0" w:color="auto"/>
        <w:right w:val="none" w:sz="0" w:space="0" w:color="auto"/>
      </w:divBdr>
    </w:div>
    <w:div w:id="126362891">
      <w:bodyDiv w:val="1"/>
      <w:marLeft w:val="0"/>
      <w:marRight w:val="0"/>
      <w:marTop w:val="0"/>
      <w:marBottom w:val="0"/>
      <w:divBdr>
        <w:top w:val="none" w:sz="0" w:space="0" w:color="auto"/>
        <w:left w:val="none" w:sz="0" w:space="0" w:color="auto"/>
        <w:bottom w:val="none" w:sz="0" w:space="0" w:color="auto"/>
        <w:right w:val="none" w:sz="0" w:space="0" w:color="auto"/>
      </w:divBdr>
    </w:div>
    <w:div w:id="126893424">
      <w:bodyDiv w:val="1"/>
      <w:marLeft w:val="0"/>
      <w:marRight w:val="0"/>
      <w:marTop w:val="0"/>
      <w:marBottom w:val="0"/>
      <w:divBdr>
        <w:top w:val="none" w:sz="0" w:space="0" w:color="auto"/>
        <w:left w:val="none" w:sz="0" w:space="0" w:color="auto"/>
        <w:bottom w:val="none" w:sz="0" w:space="0" w:color="auto"/>
        <w:right w:val="none" w:sz="0" w:space="0" w:color="auto"/>
      </w:divBdr>
    </w:div>
    <w:div w:id="127088032">
      <w:bodyDiv w:val="1"/>
      <w:marLeft w:val="0"/>
      <w:marRight w:val="0"/>
      <w:marTop w:val="0"/>
      <w:marBottom w:val="0"/>
      <w:divBdr>
        <w:top w:val="none" w:sz="0" w:space="0" w:color="auto"/>
        <w:left w:val="none" w:sz="0" w:space="0" w:color="auto"/>
        <w:bottom w:val="none" w:sz="0" w:space="0" w:color="auto"/>
        <w:right w:val="none" w:sz="0" w:space="0" w:color="auto"/>
      </w:divBdr>
    </w:div>
    <w:div w:id="129521885">
      <w:bodyDiv w:val="1"/>
      <w:marLeft w:val="0"/>
      <w:marRight w:val="0"/>
      <w:marTop w:val="0"/>
      <w:marBottom w:val="0"/>
      <w:divBdr>
        <w:top w:val="none" w:sz="0" w:space="0" w:color="auto"/>
        <w:left w:val="none" w:sz="0" w:space="0" w:color="auto"/>
        <w:bottom w:val="none" w:sz="0" w:space="0" w:color="auto"/>
        <w:right w:val="none" w:sz="0" w:space="0" w:color="auto"/>
      </w:divBdr>
    </w:div>
    <w:div w:id="180896820">
      <w:bodyDiv w:val="1"/>
      <w:marLeft w:val="0"/>
      <w:marRight w:val="0"/>
      <w:marTop w:val="0"/>
      <w:marBottom w:val="0"/>
      <w:divBdr>
        <w:top w:val="none" w:sz="0" w:space="0" w:color="auto"/>
        <w:left w:val="none" w:sz="0" w:space="0" w:color="auto"/>
        <w:bottom w:val="none" w:sz="0" w:space="0" w:color="auto"/>
        <w:right w:val="none" w:sz="0" w:space="0" w:color="auto"/>
      </w:divBdr>
    </w:div>
    <w:div w:id="197931884">
      <w:bodyDiv w:val="1"/>
      <w:marLeft w:val="0"/>
      <w:marRight w:val="0"/>
      <w:marTop w:val="0"/>
      <w:marBottom w:val="0"/>
      <w:divBdr>
        <w:top w:val="none" w:sz="0" w:space="0" w:color="auto"/>
        <w:left w:val="none" w:sz="0" w:space="0" w:color="auto"/>
        <w:bottom w:val="none" w:sz="0" w:space="0" w:color="auto"/>
        <w:right w:val="none" w:sz="0" w:space="0" w:color="auto"/>
      </w:divBdr>
    </w:div>
    <w:div w:id="311327889">
      <w:bodyDiv w:val="1"/>
      <w:marLeft w:val="0"/>
      <w:marRight w:val="0"/>
      <w:marTop w:val="0"/>
      <w:marBottom w:val="0"/>
      <w:divBdr>
        <w:top w:val="none" w:sz="0" w:space="0" w:color="auto"/>
        <w:left w:val="none" w:sz="0" w:space="0" w:color="auto"/>
        <w:bottom w:val="none" w:sz="0" w:space="0" w:color="auto"/>
        <w:right w:val="none" w:sz="0" w:space="0" w:color="auto"/>
      </w:divBdr>
    </w:div>
    <w:div w:id="333605317">
      <w:bodyDiv w:val="1"/>
      <w:marLeft w:val="0"/>
      <w:marRight w:val="0"/>
      <w:marTop w:val="0"/>
      <w:marBottom w:val="0"/>
      <w:divBdr>
        <w:top w:val="none" w:sz="0" w:space="0" w:color="auto"/>
        <w:left w:val="none" w:sz="0" w:space="0" w:color="auto"/>
        <w:bottom w:val="none" w:sz="0" w:space="0" w:color="auto"/>
        <w:right w:val="none" w:sz="0" w:space="0" w:color="auto"/>
      </w:divBdr>
    </w:div>
    <w:div w:id="365326964">
      <w:bodyDiv w:val="1"/>
      <w:marLeft w:val="0"/>
      <w:marRight w:val="0"/>
      <w:marTop w:val="0"/>
      <w:marBottom w:val="0"/>
      <w:divBdr>
        <w:top w:val="none" w:sz="0" w:space="0" w:color="auto"/>
        <w:left w:val="none" w:sz="0" w:space="0" w:color="auto"/>
        <w:bottom w:val="none" w:sz="0" w:space="0" w:color="auto"/>
        <w:right w:val="none" w:sz="0" w:space="0" w:color="auto"/>
      </w:divBdr>
    </w:div>
    <w:div w:id="430780699">
      <w:bodyDiv w:val="1"/>
      <w:marLeft w:val="0"/>
      <w:marRight w:val="0"/>
      <w:marTop w:val="0"/>
      <w:marBottom w:val="0"/>
      <w:divBdr>
        <w:top w:val="none" w:sz="0" w:space="0" w:color="auto"/>
        <w:left w:val="none" w:sz="0" w:space="0" w:color="auto"/>
        <w:bottom w:val="none" w:sz="0" w:space="0" w:color="auto"/>
        <w:right w:val="none" w:sz="0" w:space="0" w:color="auto"/>
      </w:divBdr>
    </w:div>
    <w:div w:id="494537587">
      <w:bodyDiv w:val="1"/>
      <w:marLeft w:val="0"/>
      <w:marRight w:val="0"/>
      <w:marTop w:val="0"/>
      <w:marBottom w:val="0"/>
      <w:divBdr>
        <w:top w:val="none" w:sz="0" w:space="0" w:color="auto"/>
        <w:left w:val="none" w:sz="0" w:space="0" w:color="auto"/>
        <w:bottom w:val="none" w:sz="0" w:space="0" w:color="auto"/>
        <w:right w:val="none" w:sz="0" w:space="0" w:color="auto"/>
      </w:divBdr>
    </w:div>
    <w:div w:id="545458313">
      <w:bodyDiv w:val="1"/>
      <w:marLeft w:val="0"/>
      <w:marRight w:val="0"/>
      <w:marTop w:val="0"/>
      <w:marBottom w:val="0"/>
      <w:divBdr>
        <w:top w:val="none" w:sz="0" w:space="0" w:color="auto"/>
        <w:left w:val="none" w:sz="0" w:space="0" w:color="auto"/>
        <w:bottom w:val="none" w:sz="0" w:space="0" w:color="auto"/>
        <w:right w:val="none" w:sz="0" w:space="0" w:color="auto"/>
      </w:divBdr>
    </w:div>
    <w:div w:id="593788755">
      <w:bodyDiv w:val="1"/>
      <w:marLeft w:val="0"/>
      <w:marRight w:val="0"/>
      <w:marTop w:val="0"/>
      <w:marBottom w:val="0"/>
      <w:divBdr>
        <w:top w:val="none" w:sz="0" w:space="0" w:color="auto"/>
        <w:left w:val="none" w:sz="0" w:space="0" w:color="auto"/>
        <w:bottom w:val="none" w:sz="0" w:space="0" w:color="auto"/>
        <w:right w:val="none" w:sz="0" w:space="0" w:color="auto"/>
      </w:divBdr>
    </w:div>
    <w:div w:id="597713013">
      <w:bodyDiv w:val="1"/>
      <w:marLeft w:val="0"/>
      <w:marRight w:val="0"/>
      <w:marTop w:val="0"/>
      <w:marBottom w:val="0"/>
      <w:divBdr>
        <w:top w:val="none" w:sz="0" w:space="0" w:color="auto"/>
        <w:left w:val="none" w:sz="0" w:space="0" w:color="auto"/>
        <w:bottom w:val="none" w:sz="0" w:space="0" w:color="auto"/>
        <w:right w:val="none" w:sz="0" w:space="0" w:color="auto"/>
      </w:divBdr>
    </w:div>
    <w:div w:id="606733873">
      <w:bodyDiv w:val="1"/>
      <w:marLeft w:val="0"/>
      <w:marRight w:val="0"/>
      <w:marTop w:val="0"/>
      <w:marBottom w:val="0"/>
      <w:divBdr>
        <w:top w:val="none" w:sz="0" w:space="0" w:color="auto"/>
        <w:left w:val="none" w:sz="0" w:space="0" w:color="auto"/>
        <w:bottom w:val="none" w:sz="0" w:space="0" w:color="auto"/>
        <w:right w:val="none" w:sz="0" w:space="0" w:color="auto"/>
      </w:divBdr>
    </w:div>
    <w:div w:id="607353725">
      <w:bodyDiv w:val="1"/>
      <w:marLeft w:val="0"/>
      <w:marRight w:val="0"/>
      <w:marTop w:val="0"/>
      <w:marBottom w:val="0"/>
      <w:divBdr>
        <w:top w:val="none" w:sz="0" w:space="0" w:color="auto"/>
        <w:left w:val="none" w:sz="0" w:space="0" w:color="auto"/>
        <w:bottom w:val="none" w:sz="0" w:space="0" w:color="auto"/>
        <w:right w:val="none" w:sz="0" w:space="0" w:color="auto"/>
      </w:divBdr>
    </w:div>
    <w:div w:id="617184851">
      <w:bodyDiv w:val="1"/>
      <w:marLeft w:val="0"/>
      <w:marRight w:val="0"/>
      <w:marTop w:val="0"/>
      <w:marBottom w:val="0"/>
      <w:divBdr>
        <w:top w:val="none" w:sz="0" w:space="0" w:color="auto"/>
        <w:left w:val="none" w:sz="0" w:space="0" w:color="auto"/>
        <w:bottom w:val="none" w:sz="0" w:space="0" w:color="auto"/>
        <w:right w:val="none" w:sz="0" w:space="0" w:color="auto"/>
      </w:divBdr>
    </w:div>
    <w:div w:id="625623495">
      <w:bodyDiv w:val="1"/>
      <w:marLeft w:val="0"/>
      <w:marRight w:val="0"/>
      <w:marTop w:val="0"/>
      <w:marBottom w:val="0"/>
      <w:divBdr>
        <w:top w:val="none" w:sz="0" w:space="0" w:color="auto"/>
        <w:left w:val="none" w:sz="0" w:space="0" w:color="auto"/>
        <w:bottom w:val="none" w:sz="0" w:space="0" w:color="auto"/>
        <w:right w:val="none" w:sz="0" w:space="0" w:color="auto"/>
      </w:divBdr>
    </w:div>
    <w:div w:id="644622201">
      <w:bodyDiv w:val="1"/>
      <w:marLeft w:val="0"/>
      <w:marRight w:val="0"/>
      <w:marTop w:val="0"/>
      <w:marBottom w:val="0"/>
      <w:divBdr>
        <w:top w:val="none" w:sz="0" w:space="0" w:color="auto"/>
        <w:left w:val="none" w:sz="0" w:space="0" w:color="auto"/>
        <w:bottom w:val="none" w:sz="0" w:space="0" w:color="auto"/>
        <w:right w:val="none" w:sz="0" w:space="0" w:color="auto"/>
      </w:divBdr>
    </w:div>
    <w:div w:id="726301385">
      <w:bodyDiv w:val="1"/>
      <w:marLeft w:val="0"/>
      <w:marRight w:val="0"/>
      <w:marTop w:val="0"/>
      <w:marBottom w:val="0"/>
      <w:divBdr>
        <w:top w:val="none" w:sz="0" w:space="0" w:color="auto"/>
        <w:left w:val="none" w:sz="0" w:space="0" w:color="auto"/>
        <w:bottom w:val="none" w:sz="0" w:space="0" w:color="auto"/>
        <w:right w:val="none" w:sz="0" w:space="0" w:color="auto"/>
      </w:divBdr>
    </w:div>
    <w:div w:id="728379927">
      <w:bodyDiv w:val="1"/>
      <w:marLeft w:val="0"/>
      <w:marRight w:val="0"/>
      <w:marTop w:val="0"/>
      <w:marBottom w:val="0"/>
      <w:divBdr>
        <w:top w:val="none" w:sz="0" w:space="0" w:color="auto"/>
        <w:left w:val="none" w:sz="0" w:space="0" w:color="auto"/>
        <w:bottom w:val="none" w:sz="0" w:space="0" w:color="auto"/>
        <w:right w:val="none" w:sz="0" w:space="0" w:color="auto"/>
      </w:divBdr>
    </w:div>
    <w:div w:id="761680836">
      <w:bodyDiv w:val="1"/>
      <w:marLeft w:val="0"/>
      <w:marRight w:val="0"/>
      <w:marTop w:val="0"/>
      <w:marBottom w:val="0"/>
      <w:divBdr>
        <w:top w:val="none" w:sz="0" w:space="0" w:color="auto"/>
        <w:left w:val="none" w:sz="0" w:space="0" w:color="auto"/>
        <w:bottom w:val="none" w:sz="0" w:space="0" w:color="auto"/>
        <w:right w:val="none" w:sz="0" w:space="0" w:color="auto"/>
      </w:divBdr>
    </w:div>
    <w:div w:id="763499116">
      <w:bodyDiv w:val="1"/>
      <w:marLeft w:val="0"/>
      <w:marRight w:val="0"/>
      <w:marTop w:val="0"/>
      <w:marBottom w:val="0"/>
      <w:divBdr>
        <w:top w:val="none" w:sz="0" w:space="0" w:color="auto"/>
        <w:left w:val="none" w:sz="0" w:space="0" w:color="auto"/>
        <w:bottom w:val="none" w:sz="0" w:space="0" w:color="auto"/>
        <w:right w:val="none" w:sz="0" w:space="0" w:color="auto"/>
      </w:divBdr>
    </w:div>
    <w:div w:id="782845913">
      <w:bodyDiv w:val="1"/>
      <w:marLeft w:val="0"/>
      <w:marRight w:val="0"/>
      <w:marTop w:val="0"/>
      <w:marBottom w:val="0"/>
      <w:divBdr>
        <w:top w:val="none" w:sz="0" w:space="0" w:color="auto"/>
        <w:left w:val="none" w:sz="0" w:space="0" w:color="auto"/>
        <w:bottom w:val="none" w:sz="0" w:space="0" w:color="auto"/>
        <w:right w:val="none" w:sz="0" w:space="0" w:color="auto"/>
      </w:divBdr>
    </w:div>
    <w:div w:id="844131918">
      <w:bodyDiv w:val="1"/>
      <w:marLeft w:val="0"/>
      <w:marRight w:val="0"/>
      <w:marTop w:val="0"/>
      <w:marBottom w:val="0"/>
      <w:divBdr>
        <w:top w:val="none" w:sz="0" w:space="0" w:color="auto"/>
        <w:left w:val="none" w:sz="0" w:space="0" w:color="auto"/>
        <w:bottom w:val="none" w:sz="0" w:space="0" w:color="auto"/>
        <w:right w:val="none" w:sz="0" w:space="0" w:color="auto"/>
      </w:divBdr>
    </w:div>
    <w:div w:id="851453930">
      <w:bodyDiv w:val="1"/>
      <w:marLeft w:val="0"/>
      <w:marRight w:val="0"/>
      <w:marTop w:val="0"/>
      <w:marBottom w:val="0"/>
      <w:divBdr>
        <w:top w:val="none" w:sz="0" w:space="0" w:color="auto"/>
        <w:left w:val="none" w:sz="0" w:space="0" w:color="auto"/>
        <w:bottom w:val="none" w:sz="0" w:space="0" w:color="auto"/>
        <w:right w:val="none" w:sz="0" w:space="0" w:color="auto"/>
      </w:divBdr>
    </w:div>
    <w:div w:id="881788657">
      <w:bodyDiv w:val="1"/>
      <w:marLeft w:val="0"/>
      <w:marRight w:val="0"/>
      <w:marTop w:val="0"/>
      <w:marBottom w:val="0"/>
      <w:divBdr>
        <w:top w:val="none" w:sz="0" w:space="0" w:color="auto"/>
        <w:left w:val="none" w:sz="0" w:space="0" w:color="auto"/>
        <w:bottom w:val="none" w:sz="0" w:space="0" w:color="auto"/>
        <w:right w:val="none" w:sz="0" w:space="0" w:color="auto"/>
      </w:divBdr>
    </w:div>
    <w:div w:id="884178564">
      <w:bodyDiv w:val="1"/>
      <w:marLeft w:val="0"/>
      <w:marRight w:val="0"/>
      <w:marTop w:val="0"/>
      <w:marBottom w:val="0"/>
      <w:divBdr>
        <w:top w:val="none" w:sz="0" w:space="0" w:color="auto"/>
        <w:left w:val="none" w:sz="0" w:space="0" w:color="auto"/>
        <w:bottom w:val="none" w:sz="0" w:space="0" w:color="auto"/>
        <w:right w:val="none" w:sz="0" w:space="0" w:color="auto"/>
      </w:divBdr>
    </w:div>
    <w:div w:id="903756611">
      <w:bodyDiv w:val="1"/>
      <w:marLeft w:val="0"/>
      <w:marRight w:val="0"/>
      <w:marTop w:val="0"/>
      <w:marBottom w:val="0"/>
      <w:divBdr>
        <w:top w:val="none" w:sz="0" w:space="0" w:color="auto"/>
        <w:left w:val="none" w:sz="0" w:space="0" w:color="auto"/>
        <w:bottom w:val="none" w:sz="0" w:space="0" w:color="auto"/>
        <w:right w:val="none" w:sz="0" w:space="0" w:color="auto"/>
      </w:divBdr>
    </w:div>
    <w:div w:id="917057215">
      <w:bodyDiv w:val="1"/>
      <w:marLeft w:val="0"/>
      <w:marRight w:val="0"/>
      <w:marTop w:val="0"/>
      <w:marBottom w:val="0"/>
      <w:divBdr>
        <w:top w:val="none" w:sz="0" w:space="0" w:color="auto"/>
        <w:left w:val="none" w:sz="0" w:space="0" w:color="auto"/>
        <w:bottom w:val="none" w:sz="0" w:space="0" w:color="auto"/>
        <w:right w:val="none" w:sz="0" w:space="0" w:color="auto"/>
      </w:divBdr>
    </w:div>
    <w:div w:id="948050219">
      <w:bodyDiv w:val="1"/>
      <w:marLeft w:val="0"/>
      <w:marRight w:val="0"/>
      <w:marTop w:val="0"/>
      <w:marBottom w:val="0"/>
      <w:divBdr>
        <w:top w:val="none" w:sz="0" w:space="0" w:color="auto"/>
        <w:left w:val="none" w:sz="0" w:space="0" w:color="auto"/>
        <w:bottom w:val="none" w:sz="0" w:space="0" w:color="auto"/>
        <w:right w:val="none" w:sz="0" w:space="0" w:color="auto"/>
      </w:divBdr>
    </w:div>
    <w:div w:id="1086918415">
      <w:bodyDiv w:val="1"/>
      <w:marLeft w:val="0"/>
      <w:marRight w:val="0"/>
      <w:marTop w:val="0"/>
      <w:marBottom w:val="0"/>
      <w:divBdr>
        <w:top w:val="none" w:sz="0" w:space="0" w:color="auto"/>
        <w:left w:val="none" w:sz="0" w:space="0" w:color="auto"/>
        <w:bottom w:val="none" w:sz="0" w:space="0" w:color="auto"/>
        <w:right w:val="none" w:sz="0" w:space="0" w:color="auto"/>
      </w:divBdr>
    </w:div>
    <w:div w:id="1102145410">
      <w:bodyDiv w:val="1"/>
      <w:marLeft w:val="0"/>
      <w:marRight w:val="0"/>
      <w:marTop w:val="0"/>
      <w:marBottom w:val="0"/>
      <w:divBdr>
        <w:top w:val="none" w:sz="0" w:space="0" w:color="auto"/>
        <w:left w:val="none" w:sz="0" w:space="0" w:color="auto"/>
        <w:bottom w:val="none" w:sz="0" w:space="0" w:color="auto"/>
        <w:right w:val="none" w:sz="0" w:space="0" w:color="auto"/>
      </w:divBdr>
    </w:div>
    <w:div w:id="1132863717">
      <w:bodyDiv w:val="1"/>
      <w:marLeft w:val="0"/>
      <w:marRight w:val="0"/>
      <w:marTop w:val="0"/>
      <w:marBottom w:val="0"/>
      <w:divBdr>
        <w:top w:val="none" w:sz="0" w:space="0" w:color="auto"/>
        <w:left w:val="none" w:sz="0" w:space="0" w:color="auto"/>
        <w:bottom w:val="none" w:sz="0" w:space="0" w:color="auto"/>
        <w:right w:val="none" w:sz="0" w:space="0" w:color="auto"/>
      </w:divBdr>
    </w:div>
    <w:div w:id="1180436353">
      <w:bodyDiv w:val="1"/>
      <w:marLeft w:val="0"/>
      <w:marRight w:val="0"/>
      <w:marTop w:val="0"/>
      <w:marBottom w:val="0"/>
      <w:divBdr>
        <w:top w:val="none" w:sz="0" w:space="0" w:color="auto"/>
        <w:left w:val="none" w:sz="0" w:space="0" w:color="auto"/>
        <w:bottom w:val="none" w:sz="0" w:space="0" w:color="auto"/>
        <w:right w:val="none" w:sz="0" w:space="0" w:color="auto"/>
      </w:divBdr>
    </w:div>
    <w:div w:id="1231967998">
      <w:bodyDiv w:val="1"/>
      <w:marLeft w:val="0"/>
      <w:marRight w:val="0"/>
      <w:marTop w:val="0"/>
      <w:marBottom w:val="0"/>
      <w:divBdr>
        <w:top w:val="none" w:sz="0" w:space="0" w:color="auto"/>
        <w:left w:val="none" w:sz="0" w:space="0" w:color="auto"/>
        <w:bottom w:val="none" w:sz="0" w:space="0" w:color="auto"/>
        <w:right w:val="none" w:sz="0" w:space="0" w:color="auto"/>
      </w:divBdr>
    </w:div>
    <w:div w:id="1262831779">
      <w:bodyDiv w:val="1"/>
      <w:marLeft w:val="0"/>
      <w:marRight w:val="0"/>
      <w:marTop w:val="0"/>
      <w:marBottom w:val="0"/>
      <w:divBdr>
        <w:top w:val="none" w:sz="0" w:space="0" w:color="auto"/>
        <w:left w:val="none" w:sz="0" w:space="0" w:color="auto"/>
        <w:bottom w:val="none" w:sz="0" w:space="0" w:color="auto"/>
        <w:right w:val="none" w:sz="0" w:space="0" w:color="auto"/>
      </w:divBdr>
    </w:div>
    <w:div w:id="1267036996">
      <w:bodyDiv w:val="1"/>
      <w:marLeft w:val="0"/>
      <w:marRight w:val="0"/>
      <w:marTop w:val="0"/>
      <w:marBottom w:val="0"/>
      <w:divBdr>
        <w:top w:val="none" w:sz="0" w:space="0" w:color="auto"/>
        <w:left w:val="none" w:sz="0" w:space="0" w:color="auto"/>
        <w:bottom w:val="none" w:sz="0" w:space="0" w:color="auto"/>
        <w:right w:val="none" w:sz="0" w:space="0" w:color="auto"/>
      </w:divBdr>
    </w:div>
    <w:div w:id="1272471459">
      <w:bodyDiv w:val="1"/>
      <w:marLeft w:val="0"/>
      <w:marRight w:val="0"/>
      <w:marTop w:val="0"/>
      <w:marBottom w:val="0"/>
      <w:divBdr>
        <w:top w:val="none" w:sz="0" w:space="0" w:color="auto"/>
        <w:left w:val="none" w:sz="0" w:space="0" w:color="auto"/>
        <w:bottom w:val="none" w:sz="0" w:space="0" w:color="auto"/>
        <w:right w:val="none" w:sz="0" w:space="0" w:color="auto"/>
      </w:divBdr>
    </w:div>
    <w:div w:id="1340932842">
      <w:bodyDiv w:val="1"/>
      <w:marLeft w:val="0"/>
      <w:marRight w:val="0"/>
      <w:marTop w:val="0"/>
      <w:marBottom w:val="0"/>
      <w:divBdr>
        <w:top w:val="none" w:sz="0" w:space="0" w:color="auto"/>
        <w:left w:val="none" w:sz="0" w:space="0" w:color="auto"/>
        <w:bottom w:val="none" w:sz="0" w:space="0" w:color="auto"/>
        <w:right w:val="none" w:sz="0" w:space="0" w:color="auto"/>
      </w:divBdr>
    </w:div>
    <w:div w:id="1363246108">
      <w:bodyDiv w:val="1"/>
      <w:marLeft w:val="0"/>
      <w:marRight w:val="0"/>
      <w:marTop w:val="0"/>
      <w:marBottom w:val="0"/>
      <w:divBdr>
        <w:top w:val="none" w:sz="0" w:space="0" w:color="auto"/>
        <w:left w:val="none" w:sz="0" w:space="0" w:color="auto"/>
        <w:bottom w:val="none" w:sz="0" w:space="0" w:color="auto"/>
        <w:right w:val="none" w:sz="0" w:space="0" w:color="auto"/>
      </w:divBdr>
    </w:div>
    <w:div w:id="1374617740">
      <w:bodyDiv w:val="1"/>
      <w:marLeft w:val="0"/>
      <w:marRight w:val="0"/>
      <w:marTop w:val="0"/>
      <w:marBottom w:val="0"/>
      <w:divBdr>
        <w:top w:val="none" w:sz="0" w:space="0" w:color="auto"/>
        <w:left w:val="none" w:sz="0" w:space="0" w:color="auto"/>
        <w:bottom w:val="none" w:sz="0" w:space="0" w:color="auto"/>
        <w:right w:val="none" w:sz="0" w:space="0" w:color="auto"/>
      </w:divBdr>
    </w:div>
    <w:div w:id="1388845172">
      <w:bodyDiv w:val="1"/>
      <w:marLeft w:val="0"/>
      <w:marRight w:val="0"/>
      <w:marTop w:val="0"/>
      <w:marBottom w:val="0"/>
      <w:divBdr>
        <w:top w:val="none" w:sz="0" w:space="0" w:color="auto"/>
        <w:left w:val="none" w:sz="0" w:space="0" w:color="auto"/>
        <w:bottom w:val="none" w:sz="0" w:space="0" w:color="auto"/>
        <w:right w:val="none" w:sz="0" w:space="0" w:color="auto"/>
      </w:divBdr>
    </w:div>
    <w:div w:id="1449736427">
      <w:bodyDiv w:val="1"/>
      <w:marLeft w:val="0"/>
      <w:marRight w:val="0"/>
      <w:marTop w:val="0"/>
      <w:marBottom w:val="0"/>
      <w:divBdr>
        <w:top w:val="none" w:sz="0" w:space="0" w:color="auto"/>
        <w:left w:val="none" w:sz="0" w:space="0" w:color="auto"/>
        <w:bottom w:val="none" w:sz="0" w:space="0" w:color="auto"/>
        <w:right w:val="none" w:sz="0" w:space="0" w:color="auto"/>
      </w:divBdr>
      <w:divsChild>
        <w:div w:id="1020398959">
          <w:marLeft w:val="0"/>
          <w:marRight w:val="0"/>
          <w:marTop w:val="75"/>
          <w:marBottom w:val="0"/>
          <w:divBdr>
            <w:top w:val="single" w:sz="6" w:space="0" w:color="FFFFFF"/>
            <w:left w:val="single" w:sz="6" w:space="0" w:color="FFFFFF"/>
            <w:bottom w:val="single" w:sz="6" w:space="0" w:color="FFFFFF"/>
            <w:right w:val="single" w:sz="6" w:space="0" w:color="FFFFFF"/>
          </w:divBdr>
          <w:divsChild>
            <w:div w:id="272176097">
              <w:marLeft w:val="0"/>
              <w:marRight w:val="0"/>
              <w:marTop w:val="0"/>
              <w:marBottom w:val="0"/>
              <w:divBdr>
                <w:top w:val="none" w:sz="0" w:space="0" w:color="auto"/>
                <w:left w:val="none" w:sz="0" w:space="0" w:color="auto"/>
                <w:bottom w:val="none" w:sz="0" w:space="0" w:color="auto"/>
                <w:right w:val="none" w:sz="0" w:space="0" w:color="auto"/>
              </w:divBdr>
              <w:divsChild>
                <w:div w:id="1994872108">
                  <w:marLeft w:val="0"/>
                  <w:marRight w:val="0"/>
                  <w:marTop w:val="0"/>
                  <w:marBottom w:val="0"/>
                  <w:divBdr>
                    <w:top w:val="none" w:sz="0" w:space="0" w:color="auto"/>
                    <w:left w:val="none" w:sz="0" w:space="0" w:color="auto"/>
                    <w:bottom w:val="none" w:sz="0" w:space="0" w:color="auto"/>
                    <w:right w:val="none" w:sz="0" w:space="0" w:color="auto"/>
                  </w:divBdr>
                  <w:divsChild>
                    <w:div w:id="1599948267">
                      <w:marLeft w:val="0"/>
                      <w:marRight w:val="0"/>
                      <w:marTop w:val="0"/>
                      <w:marBottom w:val="0"/>
                      <w:divBdr>
                        <w:top w:val="none" w:sz="0" w:space="0" w:color="auto"/>
                        <w:left w:val="none" w:sz="0" w:space="0" w:color="auto"/>
                        <w:bottom w:val="none" w:sz="0" w:space="0" w:color="auto"/>
                        <w:right w:val="none" w:sz="0" w:space="0" w:color="auto"/>
                      </w:divBdr>
                      <w:divsChild>
                        <w:div w:id="1426223962">
                          <w:marLeft w:val="0"/>
                          <w:marRight w:val="0"/>
                          <w:marTop w:val="0"/>
                          <w:marBottom w:val="0"/>
                          <w:divBdr>
                            <w:top w:val="none" w:sz="0" w:space="0" w:color="auto"/>
                            <w:left w:val="none" w:sz="0" w:space="0" w:color="auto"/>
                            <w:bottom w:val="none" w:sz="0" w:space="0" w:color="auto"/>
                            <w:right w:val="none" w:sz="0" w:space="0" w:color="auto"/>
                          </w:divBdr>
                          <w:divsChild>
                            <w:div w:id="273750277">
                              <w:marLeft w:val="4950"/>
                              <w:marRight w:val="0"/>
                              <w:marTop w:val="0"/>
                              <w:marBottom w:val="0"/>
                              <w:divBdr>
                                <w:top w:val="none" w:sz="0" w:space="0" w:color="auto"/>
                                <w:left w:val="none" w:sz="0" w:space="0" w:color="auto"/>
                                <w:bottom w:val="none" w:sz="0" w:space="0" w:color="auto"/>
                                <w:right w:val="none" w:sz="0" w:space="0" w:color="auto"/>
                              </w:divBdr>
                              <w:divsChild>
                                <w:div w:id="1878083143">
                                  <w:marLeft w:val="0"/>
                                  <w:marRight w:val="0"/>
                                  <w:marTop w:val="0"/>
                                  <w:marBottom w:val="0"/>
                                  <w:divBdr>
                                    <w:top w:val="none" w:sz="0" w:space="0" w:color="auto"/>
                                    <w:left w:val="none" w:sz="0" w:space="0" w:color="auto"/>
                                    <w:bottom w:val="none" w:sz="0" w:space="0" w:color="auto"/>
                                    <w:right w:val="none" w:sz="0" w:space="0" w:color="auto"/>
                                  </w:divBdr>
                                </w:div>
                                <w:div w:id="908811087">
                                  <w:marLeft w:val="0"/>
                                  <w:marRight w:val="0"/>
                                  <w:marTop w:val="0"/>
                                  <w:marBottom w:val="0"/>
                                  <w:divBdr>
                                    <w:top w:val="none" w:sz="0" w:space="0" w:color="auto"/>
                                    <w:left w:val="none" w:sz="0" w:space="0" w:color="auto"/>
                                    <w:bottom w:val="none" w:sz="0" w:space="0" w:color="auto"/>
                                    <w:right w:val="none" w:sz="0" w:space="0" w:color="auto"/>
                                  </w:divBdr>
                                </w:div>
                                <w:div w:id="61031580">
                                  <w:marLeft w:val="0"/>
                                  <w:marRight w:val="0"/>
                                  <w:marTop w:val="0"/>
                                  <w:marBottom w:val="120"/>
                                  <w:divBdr>
                                    <w:top w:val="single" w:sz="2" w:space="0" w:color="ECE9D8"/>
                                    <w:left w:val="single" w:sz="2" w:space="0" w:color="ECE9D8"/>
                                    <w:bottom w:val="single" w:sz="6" w:space="8" w:color="ECE9D8"/>
                                    <w:right w:val="single" w:sz="2" w:space="0" w:color="ECE9D8"/>
                                  </w:divBdr>
                                  <w:divsChild>
                                    <w:div w:id="156650564">
                                      <w:marLeft w:val="0"/>
                                      <w:marRight w:val="0"/>
                                      <w:marTop w:val="0"/>
                                      <w:marBottom w:val="0"/>
                                      <w:divBdr>
                                        <w:top w:val="none" w:sz="0" w:space="0" w:color="auto"/>
                                        <w:left w:val="none" w:sz="0" w:space="0" w:color="auto"/>
                                        <w:bottom w:val="none" w:sz="0" w:space="0" w:color="auto"/>
                                        <w:right w:val="none" w:sz="0" w:space="0" w:color="auto"/>
                                      </w:divBdr>
                                    </w:div>
                                    <w:div w:id="1722286897">
                                      <w:marLeft w:val="0"/>
                                      <w:marRight w:val="0"/>
                                      <w:marTop w:val="0"/>
                                      <w:marBottom w:val="0"/>
                                      <w:divBdr>
                                        <w:top w:val="none" w:sz="0" w:space="0" w:color="auto"/>
                                        <w:left w:val="none" w:sz="0" w:space="0" w:color="auto"/>
                                        <w:bottom w:val="none" w:sz="0" w:space="0" w:color="auto"/>
                                        <w:right w:val="none" w:sz="0" w:space="0" w:color="auto"/>
                                      </w:divBdr>
                                    </w:div>
                                  </w:divsChild>
                                </w:div>
                                <w:div w:id="795026371">
                                  <w:marLeft w:val="0"/>
                                  <w:marRight w:val="0"/>
                                  <w:marTop w:val="0"/>
                                  <w:marBottom w:val="0"/>
                                  <w:divBdr>
                                    <w:top w:val="none" w:sz="0" w:space="0" w:color="auto"/>
                                    <w:left w:val="none" w:sz="0" w:space="0" w:color="auto"/>
                                    <w:bottom w:val="none" w:sz="0" w:space="0" w:color="auto"/>
                                    <w:right w:val="none" w:sz="0" w:space="0" w:color="auto"/>
                                  </w:divBdr>
                                </w:div>
                                <w:div w:id="2095735142">
                                  <w:marLeft w:val="0"/>
                                  <w:marRight w:val="0"/>
                                  <w:marTop w:val="0"/>
                                  <w:marBottom w:val="0"/>
                                  <w:divBdr>
                                    <w:top w:val="none" w:sz="0" w:space="0" w:color="auto"/>
                                    <w:left w:val="none" w:sz="0" w:space="0" w:color="auto"/>
                                    <w:bottom w:val="none" w:sz="0" w:space="0" w:color="auto"/>
                                    <w:right w:val="none" w:sz="0" w:space="0" w:color="auto"/>
                                  </w:divBdr>
                                </w:div>
                                <w:div w:id="548423680">
                                  <w:marLeft w:val="0"/>
                                  <w:marRight w:val="0"/>
                                  <w:marTop w:val="0"/>
                                  <w:marBottom w:val="0"/>
                                  <w:divBdr>
                                    <w:top w:val="none" w:sz="0" w:space="0" w:color="auto"/>
                                    <w:left w:val="none" w:sz="0" w:space="0" w:color="auto"/>
                                    <w:bottom w:val="none" w:sz="0" w:space="0" w:color="auto"/>
                                    <w:right w:val="none" w:sz="0" w:space="0" w:color="auto"/>
                                  </w:divBdr>
                                </w:div>
                                <w:div w:id="1459028260">
                                  <w:marLeft w:val="0"/>
                                  <w:marRight w:val="0"/>
                                  <w:marTop w:val="0"/>
                                  <w:marBottom w:val="0"/>
                                  <w:divBdr>
                                    <w:top w:val="none" w:sz="0" w:space="0" w:color="auto"/>
                                    <w:left w:val="none" w:sz="0" w:space="0" w:color="auto"/>
                                    <w:bottom w:val="none" w:sz="0" w:space="0" w:color="auto"/>
                                    <w:right w:val="none" w:sz="0" w:space="0" w:color="auto"/>
                                  </w:divBdr>
                                </w:div>
                                <w:div w:id="391120977">
                                  <w:marLeft w:val="0"/>
                                  <w:marRight w:val="120"/>
                                  <w:marTop w:val="0"/>
                                  <w:marBottom w:val="60"/>
                                  <w:divBdr>
                                    <w:top w:val="none" w:sz="0" w:space="0" w:color="auto"/>
                                    <w:left w:val="none" w:sz="0" w:space="0" w:color="auto"/>
                                    <w:bottom w:val="none" w:sz="0" w:space="0" w:color="auto"/>
                                    <w:right w:val="none" w:sz="0" w:space="0" w:color="auto"/>
                                  </w:divBdr>
                                </w:div>
                                <w:div w:id="441653331">
                                  <w:marLeft w:val="0"/>
                                  <w:marRight w:val="120"/>
                                  <w:marTop w:val="0"/>
                                  <w:marBottom w:val="60"/>
                                  <w:divBdr>
                                    <w:top w:val="none" w:sz="0" w:space="0" w:color="auto"/>
                                    <w:left w:val="none" w:sz="0" w:space="0" w:color="auto"/>
                                    <w:bottom w:val="none" w:sz="0" w:space="0" w:color="auto"/>
                                    <w:right w:val="none" w:sz="0" w:space="0" w:color="auto"/>
                                  </w:divBdr>
                                </w:div>
                                <w:div w:id="1023869609">
                                  <w:marLeft w:val="0"/>
                                  <w:marRight w:val="120"/>
                                  <w:marTop w:val="0"/>
                                  <w:marBottom w:val="60"/>
                                  <w:divBdr>
                                    <w:top w:val="none" w:sz="0" w:space="0" w:color="auto"/>
                                    <w:left w:val="none" w:sz="0" w:space="0" w:color="auto"/>
                                    <w:bottom w:val="none" w:sz="0" w:space="0" w:color="auto"/>
                                    <w:right w:val="none" w:sz="0" w:space="0" w:color="auto"/>
                                  </w:divBdr>
                                </w:div>
                                <w:div w:id="539513513">
                                  <w:marLeft w:val="0"/>
                                  <w:marRight w:val="120"/>
                                  <w:marTop w:val="0"/>
                                  <w:marBottom w:val="60"/>
                                  <w:divBdr>
                                    <w:top w:val="none" w:sz="0" w:space="0" w:color="auto"/>
                                    <w:left w:val="none" w:sz="0" w:space="0" w:color="auto"/>
                                    <w:bottom w:val="none" w:sz="0" w:space="0" w:color="auto"/>
                                    <w:right w:val="none" w:sz="0" w:space="0" w:color="auto"/>
                                  </w:divBdr>
                                </w:div>
                                <w:div w:id="1218316006">
                                  <w:marLeft w:val="0"/>
                                  <w:marRight w:val="120"/>
                                  <w:marTop w:val="0"/>
                                  <w:marBottom w:val="60"/>
                                  <w:divBdr>
                                    <w:top w:val="none" w:sz="0" w:space="0" w:color="auto"/>
                                    <w:left w:val="none" w:sz="0" w:space="0" w:color="auto"/>
                                    <w:bottom w:val="none" w:sz="0" w:space="0" w:color="auto"/>
                                    <w:right w:val="none" w:sz="0" w:space="0" w:color="auto"/>
                                  </w:divBdr>
                                </w:div>
                                <w:div w:id="911548988">
                                  <w:marLeft w:val="0"/>
                                  <w:marRight w:val="120"/>
                                  <w:marTop w:val="0"/>
                                  <w:marBottom w:val="60"/>
                                  <w:divBdr>
                                    <w:top w:val="none" w:sz="0" w:space="0" w:color="auto"/>
                                    <w:left w:val="none" w:sz="0" w:space="0" w:color="auto"/>
                                    <w:bottom w:val="none" w:sz="0" w:space="0" w:color="auto"/>
                                    <w:right w:val="none" w:sz="0" w:space="0" w:color="auto"/>
                                  </w:divBdr>
                                </w:div>
                                <w:div w:id="1596789117">
                                  <w:marLeft w:val="0"/>
                                  <w:marRight w:val="120"/>
                                  <w:marTop w:val="0"/>
                                  <w:marBottom w:val="60"/>
                                  <w:divBdr>
                                    <w:top w:val="none" w:sz="0" w:space="0" w:color="auto"/>
                                    <w:left w:val="none" w:sz="0" w:space="0" w:color="auto"/>
                                    <w:bottom w:val="none" w:sz="0" w:space="0" w:color="auto"/>
                                    <w:right w:val="none" w:sz="0" w:space="0" w:color="auto"/>
                                  </w:divBdr>
                                </w:div>
                                <w:div w:id="1939556952">
                                  <w:marLeft w:val="0"/>
                                  <w:marRight w:val="12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5701204">
      <w:bodyDiv w:val="1"/>
      <w:marLeft w:val="0"/>
      <w:marRight w:val="0"/>
      <w:marTop w:val="0"/>
      <w:marBottom w:val="0"/>
      <w:divBdr>
        <w:top w:val="none" w:sz="0" w:space="0" w:color="auto"/>
        <w:left w:val="none" w:sz="0" w:space="0" w:color="auto"/>
        <w:bottom w:val="none" w:sz="0" w:space="0" w:color="auto"/>
        <w:right w:val="none" w:sz="0" w:space="0" w:color="auto"/>
      </w:divBdr>
    </w:div>
    <w:div w:id="1488404023">
      <w:bodyDiv w:val="1"/>
      <w:marLeft w:val="0"/>
      <w:marRight w:val="0"/>
      <w:marTop w:val="0"/>
      <w:marBottom w:val="0"/>
      <w:divBdr>
        <w:top w:val="none" w:sz="0" w:space="0" w:color="auto"/>
        <w:left w:val="none" w:sz="0" w:space="0" w:color="auto"/>
        <w:bottom w:val="none" w:sz="0" w:space="0" w:color="auto"/>
        <w:right w:val="none" w:sz="0" w:space="0" w:color="auto"/>
      </w:divBdr>
    </w:div>
    <w:div w:id="1530487314">
      <w:bodyDiv w:val="1"/>
      <w:marLeft w:val="0"/>
      <w:marRight w:val="0"/>
      <w:marTop w:val="0"/>
      <w:marBottom w:val="0"/>
      <w:divBdr>
        <w:top w:val="none" w:sz="0" w:space="0" w:color="auto"/>
        <w:left w:val="none" w:sz="0" w:space="0" w:color="auto"/>
        <w:bottom w:val="none" w:sz="0" w:space="0" w:color="auto"/>
        <w:right w:val="none" w:sz="0" w:space="0" w:color="auto"/>
      </w:divBdr>
    </w:div>
    <w:div w:id="1545404780">
      <w:bodyDiv w:val="1"/>
      <w:marLeft w:val="0"/>
      <w:marRight w:val="0"/>
      <w:marTop w:val="0"/>
      <w:marBottom w:val="0"/>
      <w:divBdr>
        <w:top w:val="none" w:sz="0" w:space="0" w:color="auto"/>
        <w:left w:val="none" w:sz="0" w:space="0" w:color="auto"/>
        <w:bottom w:val="none" w:sz="0" w:space="0" w:color="auto"/>
        <w:right w:val="none" w:sz="0" w:space="0" w:color="auto"/>
      </w:divBdr>
    </w:div>
    <w:div w:id="1555579045">
      <w:bodyDiv w:val="1"/>
      <w:marLeft w:val="0"/>
      <w:marRight w:val="0"/>
      <w:marTop w:val="0"/>
      <w:marBottom w:val="0"/>
      <w:divBdr>
        <w:top w:val="none" w:sz="0" w:space="0" w:color="auto"/>
        <w:left w:val="none" w:sz="0" w:space="0" w:color="auto"/>
        <w:bottom w:val="none" w:sz="0" w:space="0" w:color="auto"/>
        <w:right w:val="none" w:sz="0" w:space="0" w:color="auto"/>
      </w:divBdr>
    </w:div>
    <w:div w:id="1573351636">
      <w:bodyDiv w:val="1"/>
      <w:marLeft w:val="0"/>
      <w:marRight w:val="0"/>
      <w:marTop w:val="0"/>
      <w:marBottom w:val="0"/>
      <w:divBdr>
        <w:top w:val="none" w:sz="0" w:space="0" w:color="auto"/>
        <w:left w:val="none" w:sz="0" w:space="0" w:color="auto"/>
        <w:bottom w:val="none" w:sz="0" w:space="0" w:color="auto"/>
        <w:right w:val="none" w:sz="0" w:space="0" w:color="auto"/>
      </w:divBdr>
    </w:div>
    <w:div w:id="1583024463">
      <w:bodyDiv w:val="1"/>
      <w:marLeft w:val="0"/>
      <w:marRight w:val="0"/>
      <w:marTop w:val="0"/>
      <w:marBottom w:val="0"/>
      <w:divBdr>
        <w:top w:val="none" w:sz="0" w:space="0" w:color="auto"/>
        <w:left w:val="none" w:sz="0" w:space="0" w:color="auto"/>
        <w:bottom w:val="none" w:sz="0" w:space="0" w:color="auto"/>
        <w:right w:val="none" w:sz="0" w:space="0" w:color="auto"/>
      </w:divBdr>
    </w:div>
    <w:div w:id="1630747950">
      <w:bodyDiv w:val="1"/>
      <w:marLeft w:val="0"/>
      <w:marRight w:val="0"/>
      <w:marTop w:val="0"/>
      <w:marBottom w:val="0"/>
      <w:divBdr>
        <w:top w:val="none" w:sz="0" w:space="0" w:color="auto"/>
        <w:left w:val="none" w:sz="0" w:space="0" w:color="auto"/>
        <w:bottom w:val="none" w:sz="0" w:space="0" w:color="auto"/>
        <w:right w:val="none" w:sz="0" w:space="0" w:color="auto"/>
      </w:divBdr>
    </w:div>
    <w:div w:id="1718822850">
      <w:bodyDiv w:val="1"/>
      <w:marLeft w:val="0"/>
      <w:marRight w:val="0"/>
      <w:marTop w:val="0"/>
      <w:marBottom w:val="0"/>
      <w:divBdr>
        <w:top w:val="none" w:sz="0" w:space="0" w:color="auto"/>
        <w:left w:val="none" w:sz="0" w:space="0" w:color="auto"/>
        <w:bottom w:val="none" w:sz="0" w:space="0" w:color="auto"/>
        <w:right w:val="none" w:sz="0" w:space="0" w:color="auto"/>
      </w:divBdr>
    </w:div>
    <w:div w:id="1720124491">
      <w:bodyDiv w:val="1"/>
      <w:marLeft w:val="0"/>
      <w:marRight w:val="0"/>
      <w:marTop w:val="0"/>
      <w:marBottom w:val="0"/>
      <w:divBdr>
        <w:top w:val="none" w:sz="0" w:space="0" w:color="auto"/>
        <w:left w:val="none" w:sz="0" w:space="0" w:color="auto"/>
        <w:bottom w:val="none" w:sz="0" w:space="0" w:color="auto"/>
        <w:right w:val="none" w:sz="0" w:space="0" w:color="auto"/>
      </w:divBdr>
      <w:divsChild>
        <w:div w:id="15429999">
          <w:marLeft w:val="0"/>
          <w:marRight w:val="0"/>
          <w:marTop w:val="0"/>
          <w:marBottom w:val="0"/>
          <w:divBdr>
            <w:top w:val="none" w:sz="0" w:space="0" w:color="auto"/>
            <w:left w:val="none" w:sz="0" w:space="0" w:color="auto"/>
            <w:bottom w:val="none" w:sz="0" w:space="0" w:color="auto"/>
            <w:right w:val="none" w:sz="0" w:space="0" w:color="auto"/>
          </w:divBdr>
          <w:divsChild>
            <w:div w:id="103501034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723945135">
      <w:bodyDiv w:val="1"/>
      <w:marLeft w:val="0"/>
      <w:marRight w:val="0"/>
      <w:marTop w:val="0"/>
      <w:marBottom w:val="0"/>
      <w:divBdr>
        <w:top w:val="none" w:sz="0" w:space="0" w:color="auto"/>
        <w:left w:val="none" w:sz="0" w:space="0" w:color="auto"/>
        <w:bottom w:val="none" w:sz="0" w:space="0" w:color="auto"/>
        <w:right w:val="none" w:sz="0" w:space="0" w:color="auto"/>
      </w:divBdr>
    </w:div>
    <w:div w:id="1758475390">
      <w:bodyDiv w:val="1"/>
      <w:marLeft w:val="0"/>
      <w:marRight w:val="0"/>
      <w:marTop w:val="0"/>
      <w:marBottom w:val="0"/>
      <w:divBdr>
        <w:top w:val="none" w:sz="0" w:space="0" w:color="auto"/>
        <w:left w:val="none" w:sz="0" w:space="0" w:color="auto"/>
        <w:bottom w:val="none" w:sz="0" w:space="0" w:color="auto"/>
        <w:right w:val="none" w:sz="0" w:space="0" w:color="auto"/>
      </w:divBdr>
    </w:div>
    <w:div w:id="1808741746">
      <w:bodyDiv w:val="1"/>
      <w:marLeft w:val="0"/>
      <w:marRight w:val="0"/>
      <w:marTop w:val="0"/>
      <w:marBottom w:val="0"/>
      <w:divBdr>
        <w:top w:val="none" w:sz="0" w:space="0" w:color="auto"/>
        <w:left w:val="none" w:sz="0" w:space="0" w:color="auto"/>
        <w:bottom w:val="none" w:sz="0" w:space="0" w:color="auto"/>
        <w:right w:val="none" w:sz="0" w:space="0" w:color="auto"/>
      </w:divBdr>
    </w:div>
    <w:div w:id="1832603271">
      <w:bodyDiv w:val="1"/>
      <w:marLeft w:val="0"/>
      <w:marRight w:val="0"/>
      <w:marTop w:val="0"/>
      <w:marBottom w:val="0"/>
      <w:divBdr>
        <w:top w:val="none" w:sz="0" w:space="0" w:color="auto"/>
        <w:left w:val="none" w:sz="0" w:space="0" w:color="auto"/>
        <w:bottom w:val="none" w:sz="0" w:space="0" w:color="auto"/>
        <w:right w:val="none" w:sz="0" w:space="0" w:color="auto"/>
      </w:divBdr>
    </w:div>
    <w:div w:id="1840459732">
      <w:bodyDiv w:val="1"/>
      <w:marLeft w:val="0"/>
      <w:marRight w:val="0"/>
      <w:marTop w:val="0"/>
      <w:marBottom w:val="0"/>
      <w:divBdr>
        <w:top w:val="none" w:sz="0" w:space="0" w:color="auto"/>
        <w:left w:val="none" w:sz="0" w:space="0" w:color="auto"/>
        <w:bottom w:val="none" w:sz="0" w:space="0" w:color="auto"/>
        <w:right w:val="none" w:sz="0" w:space="0" w:color="auto"/>
      </w:divBdr>
    </w:div>
    <w:div w:id="1937521773">
      <w:bodyDiv w:val="1"/>
      <w:marLeft w:val="0"/>
      <w:marRight w:val="0"/>
      <w:marTop w:val="0"/>
      <w:marBottom w:val="0"/>
      <w:divBdr>
        <w:top w:val="none" w:sz="0" w:space="0" w:color="auto"/>
        <w:left w:val="none" w:sz="0" w:space="0" w:color="auto"/>
        <w:bottom w:val="none" w:sz="0" w:space="0" w:color="auto"/>
        <w:right w:val="none" w:sz="0" w:space="0" w:color="auto"/>
      </w:divBdr>
    </w:div>
    <w:div w:id="1965698958">
      <w:bodyDiv w:val="1"/>
      <w:marLeft w:val="0"/>
      <w:marRight w:val="0"/>
      <w:marTop w:val="0"/>
      <w:marBottom w:val="0"/>
      <w:divBdr>
        <w:top w:val="none" w:sz="0" w:space="0" w:color="auto"/>
        <w:left w:val="none" w:sz="0" w:space="0" w:color="auto"/>
        <w:bottom w:val="none" w:sz="0" w:space="0" w:color="auto"/>
        <w:right w:val="none" w:sz="0" w:space="0" w:color="auto"/>
      </w:divBdr>
    </w:div>
    <w:div w:id="2036154557">
      <w:bodyDiv w:val="1"/>
      <w:marLeft w:val="0"/>
      <w:marRight w:val="0"/>
      <w:marTop w:val="0"/>
      <w:marBottom w:val="0"/>
      <w:divBdr>
        <w:top w:val="none" w:sz="0" w:space="0" w:color="auto"/>
        <w:left w:val="none" w:sz="0" w:space="0" w:color="auto"/>
        <w:bottom w:val="none" w:sz="0" w:space="0" w:color="auto"/>
        <w:right w:val="none" w:sz="0" w:space="0" w:color="auto"/>
      </w:divBdr>
    </w:div>
    <w:div w:id="2072846827">
      <w:bodyDiv w:val="1"/>
      <w:marLeft w:val="0"/>
      <w:marRight w:val="0"/>
      <w:marTop w:val="0"/>
      <w:marBottom w:val="0"/>
      <w:divBdr>
        <w:top w:val="none" w:sz="0" w:space="0" w:color="auto"/>
        <w:left w:val="none" w:sz="0" w:space="0" w:color="auto"/>
        <w:bottom w:val="none" w:sz="0" w:space="0" w:color="auto"/>
        <w:right w:val="none" w:sz="0" w:space="0" w:color="auto"/>
      </w:divBdr>
    </w:div>
    <w:div w:id="214716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oleObject" Target="embeddings/oleObject2.bin"/><Relationship Id="rId39" Type="http://schemas.openxmlformats.org/officeDocument/2006/relationships/chart" Target="charts/chart4.xml"/><Relationship Id="rId21" Type="http://schemas.openxmlformats.org/officeDocument/2006/relationships/image" Target="media/image3.png"/><Relationship Id="rId34" Type="http://schemas.openxmlformats.org/officeDocument/2006/relationships/oleObject" Target="embeddings/oleObject6.bin"/><Relationship Id="rId42" Type="http://schemas.openxmlformats.org/officeDocument/2006/relationships/image" Target="media/image12.png"/><Relationship Id="rId47" Type="http://schemas.openxmlformats.org/officeDocument/2006/relationships/image" Target="media/image17.png"/><Relationship Id="rId50" Type="http://schemas.openxmlformats.org/officeDocument/2006/relationships/image" Target="media/image20.jpeg"/><Relationship Id="rId55" Type="http://schemas.openxmlformats.org/officeDocument/2006/relationships/image" Target="media/image25.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image" Target="media/image8.wmf"/><Relationship Id="rId41" Type="http://schemas.openxmlformats.org/officeDocument/2006/relationships/chart" Target="charts/chart6.xml"/><Relationship Id="rId54"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image" Target="media/image15.PNG"/><Relationship Id="rId53" Type="http://schemas.openxmlformats.org/officeDocument/2006/relationships/image" Target="media/image23.jpeg"/><Relationship Id="rId58" Type="http://schemas.openxmlformats.org/officeDocument/2006/relationships/image" Target="media/image28.jpeg"/><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oleObject" Target="embeddings/oleObject3.bin"/><Relationship Id="rId36" Type="http://schemas.openxmlformats.org/officeDocument/2006/relationships/chart" Target="charts/chart1.xml"/><Relationship Id="rId49" Type="http://schemas.openxmlformats.org/officeDocument/2006/relationships/image" Target="media/image19.jpeg"/><Relationship Id="rId57" Type="http://schemas.openxmlformats.org/officeDocument/2006/relationships/image" Target="media/image27.jpeg"/><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1.png"/><Relationship Id="rId31" Type="http://schemas.openxmlformats.org/officeDocument/2006/relationships/image" Target="media/image9.wmf"/><Relationship Id="rId44" Type="http://schemas.openxmlformats.org/officeDocument/2006/relationships/image" Target="media/image14.png"/><Relationship Id="rId52" Type="http://schemas.openxmlformats.org/officeDocument/2006/relationships/image" Target="media/image22.jpeg"/><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image" Target="media/image7.wmf"/><Relationship Id="rId30" Type="http://schemas.openxmlformats.org/officeDocument/2006/relationships/oleObject" Target="embeddings/oleObject4.bin"/><Relationship Id="rId35" Type="http://schemas.openxmlformats.org/officeDocument/2006/relationships/image" Target="media/image11.tmp"/><Relationship Id="rId43" Type="http://schemas.openxmlformats.org/officeDocument/2006/relationships/image" Target="media/image13.png"/><Relationship Id="rId48" Type="http://schemas.openxmlformats.org/officeDocument/2006/relationships/image" Target="media/image18.jpeg"/><Relationship Id="rId56" Type="http://schemas.openxmlformats.org/officeDocument/2006/relationships/image" Target="media/image26.jpeg"/><Relationship Id="rId8" Type="http://schemas.openxmlformats.org/officeDocument/2006/relationships/endnotes" Target="endnotes.xml"/><Relationship Id="rId51" Type="http://schemas.openxmlformats.org/officeDocument/2006/relationships/image" Target="media/image2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chart" Target="charts/chart3.xml"/><Relationship Id="rId46" Type="http://schemas.openxmlformats.org/officeDocument/2006/relationships/image" Target="media/image16.png"/><Relationship Id="rId59" Type="http://schemas.openxmlformats.org/officeDocument/2006/relationships/hyperlink" Target="https://www.r-project.or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7.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8.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9.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10.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11.bin"/></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12.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tx>
            <c:strRef>
              <c:f>by_inv_stand!$C$1</c:f>
              <c:strCache>
                <c:ptCount val="1"/>
                <c:pt idx="0">
                  <c:v>AREA</c:v>
                </c:pt>
              </c:strCache>
            </c:strRef>
          </c:tx>
          <c:spPr>
            <a:solidFill>
              <a:srgbClr val="0070C0"/>
            </a:solidFill>
          </c:spPr>
          <c:invertIfNegative val="0"/>
          <c:cat>
            <c:strRef>
              <c:f>by_inv_stand!$A$2:$A$4</c:f>
              <c:strCache>
                <c:ptCount val="3"/>
                <c:pt idx="0">
                  <c:v>F</c:v>
                </c:pt>
                <c:pt idx="1">
                  <c:v>I</c:v>
                </c:pt>
                <c:pt idx="2">
                  <c:v>V</c:v>
                </c:pt>
              </c:strCache>
            </c:strRef>
          </c:cat>
          <c:val>
            <c:numRef>
              <c:f>by_inv_stand!$C$2:$C$4</c:f>
              <c:numCache>
                <c:formatCode>0</c:formatCode>
                <c:ptCount val="3"/>
                <c:pt idx="0">
                  <c:v>148296.29999999999</c:v>
                </c:pt>
                <c:pt idx="1">
                  <c:v>29249</c:v>
                </c:pt>
                <c:pt idx="2">
                  <c:v>293014.09999999998</c:v>
                </c:pt>
              </c:numCache>
            </c:numRef>
          </c:val>
        </c:ser>
        <c:dLbls>
          <c:showLegendKey val="0"/>
          <c:showVal val="0"/>
          <c:showCatName val="0"/>
          <c:showSerName val="0"/>
          <c:showPercent val="0"/>
          <c:showBubbleSize val="0"/>
        </c:dLbls>
        <c:gapWidth val="150"/>
        <c:axId val="90697088"/>
        <c:axId val="105022976"/>
      </c:barChart>
      <c:catAx>
        <c:axId val="90697088"/>
        <c:scaling>
          <c:orientation val="minMax"/>
        </c:scaling>
        <c:delete val="0"/>
        <c:axPos val="b"/>
        <c:title>
          <c:tx>
            <c:rich>
              <a:bodyPr/>
              <a:lstStyle/>
              <a:p>
                <a:pPr>
                  <a:defRPr/>
                </a:pPr>
                <a:r>
                  <a:rPr lang="en-CA"/>
                  <a:t>Inventory</a:t>
                </a:r>
                <a:r>
                  <a:rPr lang="en-CA" baseline="0"/>
                  <a:t> Standard</a:t>
                </a:r>
                <a:endParaRPr lang="en-CA"/>
              </a:p>
            </c:rich>
          </c:tx>
          <c:layout/>
          <c:overlay val="0"/>
        </c:title>
        <c:numFmt formatCode="0" sourceLinked="1"/>
        <c:majorTickMark val="out"/>
        <c:minorTickMark val="none"/>
        <c:tickLblPos val="nextTo"/>
        <c:crossAx val="105022976"/>
        <c:crosses val="autoZero"/>
        <c:auto val="1"/>
        <c:lblAlgn val="ctr"/>
        <c:lblOffset val="100"/>
        <c:noMultiLvlLbl val="0"/>
      </c:catAx>
      <c:valAx>
        <c:axId val="105022976"/>
        <c:scaling>
          <c:orientation val="minMax"/>
        </c:scaling>
        <c:delete val="0"/>
        <c:axPos val="l"/>
        <c:majorGridlines/>
        <c:title>
          <c:tx>
            <c:rich>
              <a:bodyPr rot="-5400000" vert="horz"/>
              <a:lstStyle/>
              <a:p>
                <a:pPr>
                  <a:defRPr/>
                </a:pPr>
                <a:r>
                  <a:rPr lang="en-CA"/>
                  <a:t>Area (ha)</a:t>
                </a:r>
              </a:p>
            </c:rich>
          </c:tx>
          <c:layout/>
          <c:overlay val="0"/>
        </c:title>
        <c:numFmt formatCode="0" sourceLinked="1"/>
        <c:majorTickMark val="out"/>
        <c:minorTickMark val="none"/>
        <c:tickLblPos val="nextTo"/>
        <c:crossAx val="9069708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tx>
            <c:strRef>
              <c:f>area_by_ref_year!$C$1</c:f>
              <c:strCache>
                <c:ptCount val="1"/>
                <c:pt idx="0">
                  <c:v>AREA</c:v>
                </c:pt>
              </c:strCache>
            </c:strRef>
          </c:tx>
          <c:invertIfNegative val="0"/>
          <c:cat>
            <c:numRef>
              <c:f>area_by_ref_year!$A$2:$A$56</c:f>
              <c:numCache>
                <c:formatCode>0</c:formatCode>
                <c:ptCount val="55"/>
                <c:pt idx="0">
                  <c:v>1955</c:v>
                </c:pt>
                <c:pt idx="1">
                  <c:v>1956</c:v>
                </c:pt>
                <c:pt idx="2">
                  <c:v>1957</c:v>
                </c:pt>
                <c:pt idx="3">
                  <c:v>1960</c:v>
                </c:pt>
                <c:pt idx="4">
                  <c:v>1961</c:v>
                </c:pt>
                <c:pt idx="5">
                  <c:v>1964</c:v>
                </c:pt>
                <c:pt idx="6">
                  <c:v>1965</c:v>
                </c:pt>
                <c:pt idx="7">
                  <c:v>1966</c:v>
                </c:pt>
                <c:pt idx="8">
                  <c:v>1967</c:v>
                </c:pt>
                <c:pt idx="9">
                  <c:v>1968</c:v>
                </c:pt>
                <c:pt idx="10">
                  <c:v>1969</c:v>
                </c:pt>
                <c:pt idx="11">
                  <c:v>1970</c:v>
                </c:pt>
                <c:pt idx="12">
                  <c:v>1971</c:v>
                </c:pt>
                <c:pt idx="13">
                  <c:v>1972</c:v>
                </c:pt>
                <c:pt idx="14">
                  <c:v>1973</c:v>
                </c:pt>
                <c:pt idx="15">
                  <c:v>1974</c:v>
                </c:pt>
                <c:pt idx="16">
                  <c:v>1975</c:v>
                </c:pt>
                <c:pt idx="17">
                  <c:v>1976</c:v>
                </c:pt>
                <c:pt idx="18">
                  <c:v>1977</c:v>
                </c:pt>
                <c:pt idx="19">
                  <c:v>1978</c:v>
                </c:pt>
                <c:pt idx="20">
                  <c:v>1979</c:v>
                </c:pt>
                <c:pt idx="21">
                  <c:v>1980</c:v>
                </c:pt>
                <c:pt idx="22">
                  <c:v>1981</c:v>
                </c:pt>
                <c:pt idx="23">
                  <c:v>1982</c:v>
                </c:pt>
                <c:pt idx="24">
                  <c:v>1983</c:v>
                </c:pt>
                <c:pt idx="25">
                  <c:v>1984</c:v>
                </c:pt>
                <c:pt idx="26">
                  <c:v>1985</c:v>
                </c:pt>
                <c:pt idx="27">
                  <c:v>1986</c:v>
                </c:pt>
                <c:pt idx="28">
                  <c:v>1987</c:v>
                </c:pt>
                <c:pt idx="29">
                  <c:v>1988</c:v>
                </c:pt>
                <c:pt idx="30">
                  <c:v>1989</c:v>
                </c:pt>
                <c:pt idx="31">
                  <c:v>1990</c:v>
                </c:pt>
                <c:pt idx="32">
                  <c:v>1991</c:v>
                </c:pt>
                <c:pt idx="33">
                  <c:v>1992</c:v>
                </c:pt>
                <c:pt idx="34">
                  <c:v>1993</c:v>
                </c:pt>
                <c:pt idx="35">
                  <c:v>1994</c:v>
                </c:pt>
                <c:pt idx="36">
                  <c:v>1995</c:v>
                </c:pt>
                <c:pt idx="37">
                  <c:v>1996</c:v>
                </c:pt>
                <c:pt idx="38">
                  <c:v>1997</c:v>
                </c:pt>
                <c:pt idx="39">
                  <c:v>1998</c:v>
                </c:pt>
                <c:pt idx="40">
                  <c:v>1999</c:v>
                </c:pt>
                <c:pt idx="41">
                  <c:v>2000</c:v>
                </c:pt>
                <c:pt idx="42">
                  <c:v>2001</c:v>
                </c:pt>
                <c:pt idx="43">
                  <c:v>2002</c:v>
                </c:pt>
                <c:pt idx="44">
                  <c:v>2003</c:v>
                </c:pt>
                <c:pt idx="45">
                  <c:v>2004</c:v>
                </c:pt>
                <c:pt idx="46">
                  <c:v>2005</c:v>
                </c:pt>
                <c:pt idx="47">
                  <c:v>2006</c:v>
                </c:pt>
                <c:pt idx="48">
                  <c:v>2007</c:v>
                </c:pt>
                <c:pt idx="49">
                  <c:v>2008</c:v>
                </c:pt>
                <c:pt idx="50">
                  <c:v>2009</c:v>
                </c:pt>
                <c:pt idx="51">
                  <c:v>2010</c:v>
                </c:pt>
                <c:pt idx="52">
                  <c:v>2011</c:v>
                </c:pt>
                <c:pt idx="53">
                  <c:v>2012</c:v>
                </c:pt>
                <c:pt idx="54">
                  <c:v>2013</c:v>
                </c:pt>
              </c:numCache>
            </c:numRef>
          </c:cat>
          <c:val>
            <c:numRef>
              <c:f>area_by_ref_year!$C$2:$C$56</c:f>
              <c:numCache>
                <c:formatCode>#,##0</c:formatCode>
                <c:ptCount val="55"/>
                <c:pt idx="0">
                  <c:v>1069</c:v>
                </c:pt>
                <c:pt idx="1">
                  <c:v>50.9</c:v>
                </c:pt>
                <c:pt idx="2">
                  <c:v>81</c:v>
                </c:pt>
                <c:pt idx="3">
                  <c:v>78.7</c:v>
                </c:pt>
                <c:pt idx="4">
                  <c:v>1553</c:v>
                </c:pt>
                <c:pt idx="5">
                  <c:v>2240.4</c:v>
                </c:pt>
                <c:pt idx="6">
                  <c:v>46.3</c:v>
                </c:pt>
                <c:pt idx="7">
                  <c:v>8945.7000000000007</c:v>
                </c:pt>
                <c:pt idx="8">
                  <c:v>10243</c:v>
                </c:pt>
                <c:pt idx="9">
                  <c:v>122.8</c:v>
                </c:pt>
                <c:pt idx="10">
                  <c:v>4441.1000000000004</c:v>
                </c:pt>
                <c:pt idx="11">
                  <c:v>1814.4</c:v>
                </c:pt>
                <c:pt idx="12">
                  <c:v>1235.3</c:v>
                </c:pt>
                <c:pt idx="13">
                  <c:v>6650.4</c:v>
                </c:pt>
                <c:pt idx="14">
                  <c:v>210.1</c:v>
                </c:pt>
                <c:pt idx="15">
                  <c:v>493.9</c:v>
                </c:pt>
                <c:pt idx="16">
                  <c:v>8847.7000000000007</c:v>
                </c:pt>
                <c:pt idx="17">
                  <c:v>7771.2</c:v>
                </c:pt>
                <c:pt idx="18">
                  <c:v>1341.7</c:v>
                </c:pt>
                <c:pt idx="19">
                  <c:v>275.7</c:v>
                </c:pt>
                <c:pt idx="20">
                  <c:v>335.9</c:v>
                </c:pt>
                <c:pt idx="21">
                  <c:v>1269.0999999999999</c:v>
                </c:pt>
                <c:pt idx="22">
                  <c:v>722.6</c:v>
                </c:pt>
                <c:pt idx="23">
                  <c:v>228.6</c:v>
                </c:pt>
                <c:pt idx="24">
                  <c:v>552.1</c:v>
                </c:pt>
                <c:pt idx="25">
                  <c:v>958.5</c:v>
                </c:pt>
                <c:pt idx="26">
                  <c:v>2098.1</c:v>
                </c:pt>
                <c:pt idx="27">
                  <c:v>732.8</c:v>
                </c:pt>
                <c:pt idx="28">
                  <c:v>1803.2</c:v>
                </c:pt>
                <c:pt idx="29">
                  <c:v>2297.6</c:v>
                </c:pt>
                <c:pt idx="30">
                  <c:v>4276.3</c:v>
                </c:pt>
                <c:pt idx="31">
                  <c:v>22714</c:v>
                </c:pt>
                <c:pt idx="32">
                  <c:v>28700.2</c:v>
                </c:pt>
                <c:pt idx="33">
                  <c:v>15481.8</c:v>
                </c:pt>
                <c:pt idx="34">
                  <c:v>3808.8</c:v>
                </c:pt>
                <c:pt idx="35">
                  <c:v>3212</c:v>
                </c:pt>
                <c:pt idx="36">
                  <c:v>15047.6</c:v>
                </c:pt>
                <c:pt idx="37">
                  <c:v>11031.3</c:v>
                </c:pt>
                <c:pt idx="38">
                  <c:v>2823.7</c:v>
                </c:pt>
                <c:pt idx="39">
                  <c:v>916.9</c:v>
                </c:pt>
                <c:pt idx="40">
                  <c:v>511.1</c:v>
                </c:pt>
                <c:pt idx="41">
                  <c:v>2855.5</c:v>
                </c:pt>
                <c:pt idx="42">
                  <c:v>81138.3</c:v>
                </c:pt>
                <c:pt idx="43">
                  <c:v>12936.4</c:v>
                </c:pt>
                <c:pt idx="44">
                  <c:v>22217.3</c:v>
                </c:pt>
                <c:pt idx="45">
                  <c:v>2599.6999999999998</c:v>
                </c:pt>
                <c:pt idx="46">
                  <c:v>19381.7</c:v>
                </c:pt>
                <c:pt idx="47">
                  <c:v>18898.2</c:v>
                </c:pt>
                <c:pt idx="48">
                  <c:v>67935.3</c:v>
                </c:pt>
                <c:pt idx="49">
                  <c:v>3644.2</c:v>
                </c:pt>
                <c:pt idx="50">
                  <c:v>2277.4</c:v>
                </c:pt>
                <c:pt idx="51">
                  <c:v>3883</c:v>
                </c:pt>
                <c:pt idx="52">
                  <c:v>47112.4</c:v>
                </c:pt>
                <c:pt idx="53">
                  <c:v>8345.1</c:v>
                </c:pt>
                <c:pt idx="54">
                  <c:v>300.39999999999969</c:v>
                </c:pt>
              </c:numCache>
            </c:numRef>
          </c:val>
        </c:ser>
        <c:dLbls>
          <c:showLegendKey val="0"/>
          <c:showVal val="0"/>
          <c:showCatName val="0"/>
          <c:showSerName val="0"/>
          <c:showPercent val="0"/>
          <c:showBubbleSize val="0"/>
        </c:dLbls>
        <c:gapWidth val="150"/>
        <c:axId val="105028992"/>
        <c:axId val="105043456"/>
      </c:barChart>
      <c:catAx>
        <c:axId val="105028992"/>
        <c:scaling>
          <c:orientation val="minMax"/>
        </c:scaling>
        <c:delete val="0"/>
        <c:axPos val="b"/>
        <c:title>
          <c:tx>
            <c:rich>
              <a:bodyPr/>
              <a:lstStyle/>
              <a:p>
                <a:pPr>
                  <a:defRPr/>
                </a:pPr>
                <a:r>
                  <a:rPr lang="en-CA"/>
                  <a:t>Reference</a:t>
                </a:r>
                <a:r>
                  <a:rPr lang="en-CA" baseline="0"/>
                  <a:t> Y</a:t>
                </a:r>
                <a:r>
                  <a:rPr lang="en-CA"/>
                  <a:t>ear</a:t>
                </a:r>
              </a:p>
            </c:rich>
          </c:tx>
          <c:layout/>
          <c:overlay val="0"/>
        </c:title>
        <c:numFmt formatCode="0" sourceLinked="1"/>
        <c:majorTickMark val="out"/>
        <c:minorTickMark val="none"/>
        <c:tickLblPos val="nextTo"/>
        <c:crossAx val="105043456"/>
        <c:crosses val="autoZero"/>
        <c:auto val="1"/>
        <c:lblAlgn val="ctr"/>
        <c:lblOffset val="100"/>
        <c:noMultiLvlLbl val="0"/>
      </c:catAx>
      <c:valAx>
        <c:axId val="105043456"/>
        <c:scaling>
          <c:orientation val="minMax"/>
        </c:scaling>
        <c:delete val="0"/>
        <c:axPos val="l"/>
        <c:majorGridlines/>
        <c:title>
          <c:tx>
            <c:rich>
              <a:bodyPr rot="-5400000" vert="horz"/>
              <a:lstStyle/>
              <a:p>
                <a:pPr>
                  <a:defRPr/>
                </a:pPr>
                <a:r>
                  <a:rPr lang="en-CA"/>
                  <a:t>Area (ha)</a:t>
                </a:r>
              </a:p>
            </c:rich>
          </c:tx>
          <c:layout/>
          <c:overlay val="0"/>
        </c:title>
        <c:numFmt formatCode="#,##0" sourceLinked="1"/>
        <c:majorTickMark val="out"/>
        <c:minorTickMark val="none"/>
        <c:tickLblPos val="nextTo"/>
        <c:crossAx val="10502899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by_lead_sp!$C$1</c:f>
              <c:strCache>
                <c:ptCount val="1"/>
                <c:pt idx="0">
                  <c:v>AREA</c:v>
                </c:pt>
              </c:strCache>
            </c:strRef>
          </c:tx>
          <c:invertIfNegative val="0"/>
          <c:cat>
            <c:strRef>
              <c:f>by_lead_sp!$A$2:$A$11</c:f>
              <c:strCache>
                <c:ptCount val="10"/>
                <c:pt idx="0">
                  <c:v>no_tree</c:v>
                </c:pt>
                <c:pt idx="1">
                  <c:v>A</c:v>
                </c:pt>
                <c:pt idx="2">
                  <c:v>B</c:v>
                </c:pt>
                <c:pt idx="3">
                  <c:v>C</c:v>
                </c:pt>
                <c:pt idx="4">
                  <c:v>E</c:v>
                </c:pt>
                <c:pt idx="5">
                  <c:v>F</c:v>
                </c:pt>
                <c:pt idx="6">
                  <c:v>H</c:v>
                </c:pt>
                <c:pt idx="7">
                  <c:v>L</c:v>
                </c:pt>
                <c:pt idx="8">
                  <c:v>P</c:v>
                </c:pt>
                <c:pt idx="9">
                  <c:v>S</c:v>
                </c:pt>
              </c:strCache>
            </c:strRef>
          </c:cat>
          <c:val>
            <c:numRef>
              <c:f>by_lead_sp!$C$2:$C$11</c:f>
              <c:numCache>
                <c:formatCode>#,##0</c:formatCode>
                <c:ptCount val="10"/>
                <c:pt idx="0">
                  <c:v>72163.899999999994</c:v>
                </c:pt>
                <c:pt idx="1">
                  <c:v>4606.7</c:v>
                </c:pt>
                <c:pt idx="2">
                  <c:v>87755</c:v>
                </c:pt>
                <c:pt idx="3">
                  <c:v>20741</c:v>
                </c:pt>
                <c:pt idx="4">
                  <c:v>3727.7</c:v>
                </c:pt>
                <c:pt idx="5">
                  <c:v>104512.5</c:v>
                </c:pt>
                <c:pt idx="6">
                  <c:v>16736.899999999994</c:v>
                </c:pt>
                <c:pt idx="7">
                  <c:v>4012.1</c:v>
                </c:pt>
                <c:pt idx="8">
                  <c:v>68967.100000000006</c:v>
                </c:pt>
                <c:pt idx="9">
                  <c:v>87336.5</c:v>
                </c:pt>
              </c:numCache>
            </c:numRef>
          </c:val>
        </c:ser>
        <c:dLbls>
          <c:showLegendKey val="0"/>
          <c:showVal val="0"/>
          <c:showCatName val="0"/>
          <c:showSerName val="0"/>
          <c:showPercent val="0"/>
          <c:showBubbleSize val="0"/>
        </c:dLbls>
        <c:gapWidth val="150"/>
        <c:axId val="111170688"/>
        <c:axId val="111172608"/>
      </c:barChart>
      <c:catAx>
        <c:axId val="111170688"/>
        <c:scaling>
          <c:orientation val="minMax"/>
        </c:scaling>
        <c:delete val="0"/>
        <c:axPos val="b"/>
        <c:title>
          <c:tx>
            <c:rich>
              <a:bodyPr/>
              <a:lstStyle/>
              <a:p>
                <a:pPr>
                  <a:defRPr/>
                </a:pPr>
                <a:r>
                  <a:rPr lang="en-US"/>
                  <a:t>Leading Sepcies</a:t>
                </a:r>
              </a:p>
            </c:rich>
          </c:tx>
          <c:layout/>
          <c:overlay val="0"/>
        </c:title>
        <c:numFmt formatCode="General" sourceLinked="1"/>
        <c:majorTickMark val="out"/>
        <c:minorTickMark val="none"/>
        <c:tickLblPos val="nextTo"/>
        <c:crossAx val="111172608"/>
        <c:crosses val="autoZero"/>
        <c:auto val="1"/>
        <c:lblAlgn val="ctr"/>
        <c:lblOffset val="100"/>
        <c:noMultiLvlLbl val="0"/>
      </c:catAx>
      <c:valAx>
        <c:axId val="111172608"/>
        <c:scaling>
          <c:orientation val="minMax"/>
        </c:scaling>
        <c:delete val="0"/>
        <c:axPos val="l"/>
        <c:majorGridlines/>
        <c:title>
          <c:tx>
            <c:rich>
              <a:bodyPr rot="-5400000" vert="horz"/>
              <a:lstStyle/>
              <a:p>
                <a:pPr>
                  <a:defRPr/>
                </a:pPr>
                <a:r>
                  <a:rPr lang="en-US"/>
                  <a:t>Area (ha)</a:t>
                </a:r>
              </a:p>
            </c:rich>
          </c:tx>
          <c:layout/>
          <c:overlay val="0"/>
        </c:title>
        <c:numFmt formatCode="#,##0" sourceLinked="1"/>
        <c:majorTickMark val="out"/>
        <c:minorTickMark val="none"/>
        <c:tickLblPos val="nextTo"/>
        <c:crossAx val="11117068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by_age!$C$1</c:f>
              <c:strCache>
                <c:ptCount val="1"/>
                <c:pt idx="0">
                  <c:v>AREA</c:v>
                </c:pt>
              </c:strCache>
            </c:strRef>
          </c:tx>
          <c:invertIfNegative val="0"/>
          <c:cat>
            <c:strRef>
              <c:f>by_age!$A$2:$A$11</c:f>
              <c:strCache>
                <c:ptCount val="10"/>
                <c:pt idx="0">
                  <c:v>0</c:v>
                </c:pt>
                <c:pt idx="1">
                  <c:v>1</c:v>
                </c:pt>
                <c:pt idx="2">
                  <c:v>2</c:v>
                </c:pt>
                <c:pt idx="3">
                  <c:v>3</c:v>
                </c:pt>
                <c:pt idx="4">
                  <c:v>4</c:v>
                </c:pt>
                <c:pt idx="5">
                  <c:v>5</c:v>
                </c:pt>
                <c:pt idx="6">
                  <c:v>6</c:v>
                </c:pt>
                <c:pt idx="7">
                  <c:v>7</c:v>
                </c:pt>
                <c:pt idx="8">
                  <c:v>8</c:v>
                </c:pt>
                <c:pt idx="9">
                  <c:v>9</c:v>
                </c:pt>
              </c:strCache>
            </c:strRef>
          </c:cat>
          <c:val>
            <c:numRef>
              <c:f>by_age!$C$2:$C$11</c:f>
              <c:numCache>
                <c:formatCode>#,##0</c:formatCode>
                <c:ptCount val="10"/>
                <c:pt idx="0">
                  <c:v>72189.2</c:v>
                </c:pt>
                <c:pt idx="1">
                  <c:v>24653</c:v>
                </c:pt>
                <c:pt idx="2">
                  <c:v>40880.1</c:v>
                </c:pt>
                <c:pt idx="3">
                  <c:v>11924.8</c:v>
                </c:pt>
                <c:pt idx="4">
                  <c:v>18516.900000000001</c:v>
                </c:pt>
                <c:pt idx="5">
                  <c:v>42910.1</c:v>
                </c:pt>
                <c:pt idx="6">
                  <c:v>50196.1</c:v>
                </c:pt>
                <c:pt idx="7">
                  <c:v>55957.8</c:v>
                </c:pt>
                <c:pt idx="8">
                  <c:v>128841.1</c:v>
                </c:pt>
                <c:pt idx="9">
                  <c:v>24490.3</c:v>
                </c:pt>
              </c:numCache>
            </c:numRef>
          </c:val>
        </c:ser>
        <c:dLbls>
          <c:showLegendKey val="0"/>
          <c:showVal val="0"/>
          <c:showCatName val="0"/>
          <c:showSerName val="0"/>
          <c:showPercent val="0"/>
          <c:showBubbleSize val="0"/>
        </c:dLbls>
        <c:gapWidth val="150"/>
        <c:axId val="111204992"/>
        <c:axId val="112526080"/>
      </c:barChart>
      <c:catAx>
        <c:axId val="111204992"/>
        <c:scaling>
          <c:orientation val="minMax"/>
        </c:scaling>
        <c:delete val="0"/>
        <c:axPos val="b"/>
        <c:title>
          <c:tx>
            <c:rich>
              <a:bodyPr/>
              <a:lstStyle/>
              <a:p>
                <a:pPr>
                  <a:defRPr/>
                </a:pPr>
                <a:r>
                  <a:rPr lang="en-CA"/>
                  <a:t>Age Class</a:t>
                </a:r>
              </a:p>
            </c:rich>
          </c:tx>
          <c:layout/>
          <c:overlay val="0"/>
        </c:title>
        <c:majorTickMark val="out"/>
        <c:minorTickMark val="none"/>
        <c:tickLblPos val="nextTo"/>
        <c:crossAx val="112526080"/>
        <c:crosses val="autoZero"/>
        <c:auto val="1"/>
        <c:lblAlgn val="ctr"/>
        <c:lblOffset val="100"/>
        <c:noMultiLvlLbl val="0"/>
      </c:catAx>
      <c:valAx>
        <c:axId val="112526080"/>
        <c:scaling>
          <c:orientation val="minMax"/>
        </c:scaling>
        <c:delete val="0"/>
        <c:axPos val="l"/>
        <c:majorGridlines/>
        <c:title>
          <c:tx>
            <c:rich>
              <a:bodyPr rot="-5400000" vert="horz"/>
              <a:lstStyle/>
              <a:p>
                <a:pPr>
                  <a:defRPr/>
                </a:pPr>
                <a:r>
                  <a:rPr lang="en-US"/>
                  <a:t>Area (ha)</a:t>
                </a:r>
              </a:p>
            </c:rich>
          </c:tx>
          <c:layout/>
          <c:overlay val="0"/>
        </c:title>
        <c:numFmt formatCode="#,##0" sourceLinked="1"/>
        <c:majorTickMark val="out"/>
        <c:minorTickMark val="none"/>
        <c:tickLblPos val="nextTo"/>
        <c:crossAx val="11120499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by_height!$C$1</c:f>
              <c:strCache>
                <c:ptCount val="1"/>
                <c:pt idx="0">
                  <c:v>AREA</c:v>
                </c:pt>
              </c:strCache>
            </c:strRef>
          </c:tx>
          <c:invertIfNegative val="0"/>
          <c:cat>
            <c:strRef>
              <c:f>by_height!$A$2:$A$8</c:f>
              <c:strCache>
                <c:ptCount val="7"/>
                <c:pt idx="0">
                  <c:v>0</c:v>
                </c:pt>
                <c:pt idx="1">
                  <c:v>1</c:v>
                </c:pt>
                <c:pt idx="2">
                  <c:v>2</c:v>
                </c:pt>
                <c:pt idx="3">
                  <c:v>3</c:v>
                </c:pt>
                <c:pt idx="4">
                  <c:v>4</c:v>
                </c:pt>
                <c:pt idx="5">
                  <c:v>5</c:v>
                </c:pt>
                <c:pt idx="6">
                  <c:v>6</c:v>
                </c:pt>
              </c:strCache>
            </c:strRef>
          </c:cat>
          <c:val>
            <c:numRef>
              <c:f>by_height!$C$2:$C$8</c:f>
              <c:numCache>
                <c:formatCode>#,##0</c:formatCode>
                <c:ptCount val="7"/>
                <c:pt idx="0">
                  <c:v>72176.899999999994</c:v>
                </c:pt>
                <c:pt idx="1">
                  <c:v>64494.3</c:v>
                </c:pt>
                <c:pt idx="2">
                  <c:v>67019.3</c:v>
                </c:pt>
                <c:pt idx="3">
                  <c:v>165879.20000000001</c:v>
                </c:pt>
                <c:pt idx="4">
                  <c:v>95168.7</c:v>
                </c:pt>
                <c:pt idx="5">
                  <c:v>5792.1</c:v>
                </c:pt>
                <c:pt idx="6">
                  <c:v>28.9</c:v>
                </c:pt>
              </c:numCache>
            </c:numRef>
          </c:val>
        </c:ser>
        <c:dLbls>
          <c:showLegendKey val="0"/>
          <c:showVal val="0"/>
          <c:showCatName val="0"/>
          <c:showSerName val="0"/>
          <c:showPercent val="0"/>
          <c:showBubbleSize val="0"/>
        </c:dLbls>
        <c:gapWidth val="150"/>
        <c:axId val="112546560"/>
        <c:axId val="112548480"/>
      </c:barChart>
      <c:catAx>
        <c:axId val="112546560"/>
        <c:scaling>
          <c:orientation val="minMax"/>
        </c:scaling>
        <c:delete val="0"/>
        <c:axPos val="b"/>
        <c:title>
          <c:tx>
            <c:rich>
              <a:bodyPr/>
              <a:lstStyle/>
              <a:p>
                <a:pPr>
                  <a:defRPr/>
                </a:pPr>
                <a:r>
                  <a:rPr lang="en-US"/>
                  <a:t>Height Class</a:t>
                </a:r>
              </a:p>
            </c:rich>
          </c:tx>
          <c:layout/>
          <c:overlay val="0"/>
        </c:title>
        <c:majorTickMark val="out"/>
        <c:minorTickMark val="none"/>
        <c:tickLblPos val="nextTo"/>
        <c:crossAx val="112548480"/>
        <c:crosses val="autoZero"/>
        <c:auto val="1"/>
        <c:lblAlgn val="ctr"/>
        <c:lblOffset val="100"/>
        <c:noMultiLvlLbl val="0"/>
      </c:catAx>
      <c:valAx>
        <c:axId val="112548480"/>
        <c:scaling>
          <c:orientation val="minMax"/>
        </c:scaling>
        <c:delete val="0"/>
        <c:axPos val="l"/>
        <c:majorGridlines/>
        <c:title>
          <c:tx>
            <c:rich>
              <a:bodyPr rot="-5400000" vert="horz"/>
              <a:lstStyle/>
              <a:p>
                <a:pPr>
                  <a:defRPr/>
                </a:pPr>
                <a:r>
                  <a:rPr lang="en-US"/>
                  <a:t>Area (ha)</a:t>
                </a:r>
              </a:p>
            </c:rich>
          </c:tx>
          <c:layout/>
          <c:overlay val="0"/>
        </c:title>
        <c:numFmt formatCode="#,##0" sourceLinked="1"/>
        <c:majorTickMark val="out"/>
        <c:minorTickMark val="none"/>
        <c:tickLblPos val="nextTo"/>
        <c:crossAx val="11254656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by_BEC!$C$1</c:f>
              <c:strCache>
                <c:ptCount val="1"/>
                <c:pt idx="0">
                  <c:v>AREA</c:v>
                </c:pt>
              </c:strCache>
            </c:strRef>
          </c:tx>
          <c:invertIfNegative val="0"/>
          <c:cat>
            <c:strRef>
              <c:f>by_BEC!$A$2:$A$7</c:f>
              <c:strCache>
                <c:ptCount val="6"/>
                <c:pt idx="0">
                  <c:v>BG</c:v>
                </c:pt>
                <c:pt idx="1">
                  <c:v>ESSF</c:v>
                </c:pt>
                <c:pt idx="2">
                  <c:v>ICH</c:v>
                </c:pt>
                <c:pt idx="3">
                  <c:v>IDF</c:v>
                </c:pt>
                <c:pt idx="4">
                  <c:v>IMA</c:v>
                </c:pt>
                <c:pt idx="5">
                  <c:v>MS</c:v>
                </c:pt>
              </c:strCache>
            </c:strRef>
          </c:cat>
          <c:val>
            <c:numRef>
              <c:f>by_BEC!$C$2:$C$7</c:f>
              <c:numCache>
                <c:formatCode>#,##0</c:formatCode>
                <c:ptCount val="6"/>
                <c:pt idx="0">
                  <c:v>44.5</c:v>
                </c:pt>
                <c:pt idx="1">
                  <c:v>203363</c:v>
                </c:pt>
                <c:pt idx="2">
                  <c:v>192789.4</c:v>
                </c:pt>
                <c:pt idx="3">
                  <c:v>43524.4</c:v>
                </c:pt>
                <c:pt idx="4">
                  <c:v>56.4</c:v>
                </c:pt>
                <c:pt idx="5">
                  <c:v>30781.7</c:v>
                </c:pt>
              </c:numCache>
            </c:numRef>
          </c:val>
        </c:ser>
        <c:dLbls>
          <c:showLegendKey val="0"/>
          <c:showVal val="0"/>
          <c:showCatName val="0"/>
          <c:showSerName val="0"/>
          <c:showPercent val="0"/>
          <c:showBubbleSize val="0"/>
        </c:dLbls>
        <c:gapWidth val="150"/>
        <c:axId val="112564480"/>
        <c:axId val="112578944"/>
      </c:barChart>
      <c:catAx>
        <c:axId val="112564480"/>
        <c:scaling>
          <c:orientation val="minMax"/>
        </c:scaling>
        <c:delete val="0"/>
        <c:axPos val="b"/>
        <c:title>
          <c:tx>
            <c:rich>
              <a:bodyPr/>
              <a:lstStyle/>
              <a:p>
                <a:pPr>
                  <a:defRPr/>
                </a:pPr>
                <a:r>
                  <a:rPr lang="en-US"/>
                  <a:t>BEC Zone</a:t>
                </a:r>
              </a:p>
            </c:rich>
          </c:tx>
          <c:layout/>
          <c:overlay val="0"/>
        </c:title>
        <c:numFmt formatCode="General" sourceLinked="1"/>
        <c:majorTickMark val="out"/>
        <c:minorTickMark val="none"/>
        <c:tickLblPos val="nextTo"/>
        <c:crossAx val="112578944"/>
        <c:crosses val="autoZero"/>
        <c:auto val="1"/>
        <c:lblAlgn val="ctr"/>
        <c:lblOffset val="100"/>
        <c:noMultiLvlLbl val="0"/>
      </c:catAx>
      <c:valAx>
        <c:axId val="112578944"/>
        <c:scaling>
          <c:orientation val="minMax"/>
        </c:scaling>
        <c:delete val="0"/>
        <c:axPos val="l"/>
        <c:majorGridlines/>
        <c:title>
          <c:tx>
            <c:rich>
              <a:bodyPr rot="-5400000" vert="horz"/>
              <a:lstStyle/>
              <a:p>
                <a:pPr>
                  <a:defRPr/>
                </a:pPr>
                <a:r>
                  <a:rPr lang="en-US"/>
                  <a:t>Area (ha)</a:t>
                </a:r>
              </a:p>
            </c:rich>
          </c:tx>
          <c:layout/>
          <c:overlay val="0"/>
        </c:title>
        <c:numFmt formatCode="#,##0" sourceLinked="1"/>
        <c:majorTickMark val="out"/>
        <c:minorTickMark val="none"/>
        <c:tickLblPos val="nextTo"/>
        <c:crossAx val="112564480"/>
        <c:crosses val="autoZero"/>
        <c:crossBetween val="between"/>
      </c:valAx>
    </c:plotArea>
    <c:plotVisOnly val="1"/>
    <c:dispBlanksAs val="gap"/>
    <c:showDLblsOverMax val="0"/>
  </c:chart>
  <c:spPr>
    <a:ln w="12700">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ACE82B-D499-4561-AC02-8AC5285D1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7875</Words>
  <Characters>43397</Characters>
  <Application>Microsoft Office Word</Application>
  <DocSecurity>0</DocSecurity>
  <Lines>361</Lines>
  <Paragraphs>102</Paragraphs>
  <ScaleCrop>false</ScaleCrop>
  <HeadingPairs>
    <vt:vector size="2" baseType="variant">
      <vt:variant>
        <vt:lpstr>Title</vt:lpstr>
      </vt:variant>
      <vt:variant>
        <vt:i4>1</vt:i4>
      </vt:variant>
    </vt:vector>
  </HeadingPairs>
  <TitlesOfParts>
    <vt:vector size="1" baseType="lpstr">
      <vt:lpstr>Biometrical Services</vt:lpstr>
    </vt:vector>
  </TitlesOfParts>
  <Company>Forest Analysis Ltd.</Company>
  <LinksUpToDate>false</LinksUpToDate>
  <CharactersWithSpaces>51170</CharactersWithSpaces>
  <SharedDoc>false</SharedDoc>
  <HLinks>
    <vt:vector size="6" baseType="variant">
      <vt:variant>
        <vt:i4>2424898</vt:i4>
      </vt:variant>
      <vt:variant>
        <vt:i4>8482</vt:i4>
      </vt:variant>
      <vt:variant>
        <vt:i4>1025</vt:i4>
      </vt:variant>
      <vt:variant>
        <vt:i4>1</vt:i4>
      </vt:variant>
      <vt:variant>
        <vt:lpwstr>cid:image002.jpg@01CE2552.A6566970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Biometrical Services</dc:title>
  <dc:creator>Yuan, Xiaoping FLNR:EX</dc:creator>
  <cp:lastModifiedBy>Yuan, Xiaoping FLNR:EX</cp:lastModifiedBy>
  <cp:revision>2</cp:revision>
  <cp:lastPrinted>2013-05-07T16:00:00Z</cp:lastPrinted>
  <dcterms:created xsi:type="dcterms:W3CDTF">2017-11-03T20:47:00Z</dcterms:created>
  <dcterms:modified xsi:type="dcterms:W3CDTF">2017-11-03T20:47:00Z</dcterms:modified>
</cp:coreProperties>
</file>